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4A3A" w14:textId="77777777" w:rsidR="001128EB" w:rsidRPr="000C42E6" w:rsidRDefault="001128EB" w:rsidP="00504DF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Gobierno del Estado de Tabasco</w:t>
      </w:r>
    </w:p>
    <w:p w14:paraId="48A970A8" w14:textId="77777777" w:rsidR="001128EB" w:rsidRPr="000C42E6" w:rsidRDefault="001128EB" w:rsidP="00504DF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Poder Ejecutivo</w:t>
      </w:r>
    </w:p>
    <w:p w14:paraId="2753B1DA" w14:textId="6CAC4756" w:rsidR="001128EB" w:rsidRPr="000C42E6" w:rsidRDefault="001128EB" w:rsidP="00504DFD">
      <w:pPr>
        <w:pStyle w:val="Ttulo1"/>
        <w:spacing w:before="0" w:line="240" w:lineRule="auto"/>
        <w:jc w:val="center"/>
        <w:rPr>
          <w:rFonts w:ascii="Arial" w:eastAsia="Times New Roman" w:hAnsi="Arial" w:cs="Arial"/>
          <w:b/>
          <w:bCs/>
          <w:color w:val="000000"/>
          <w:sz w:val="20"/>
          <w:szCs w:val="20"/>
          <w:lang w:eastAsia="es-MX"/>
        </w:rPr>
      </w:pPr>
      <w:r w:rsidRPr="000C42E6">
        <w:rPr>
          <w:rFonts w:ascii="Arial" w:hAnsi="Arial" w:cs="Arial"/>
          <w:b/>
          <w:color w:val="auto"/>
          <w:sz w:val="20"/>
          <w:szCs w:val="20"/>
        </w:rPr>
        <w:t xml:space="preserve">Notas a los Estados Financieros </w:t>
      </w:r>
      <w:r w:rsidRPr="000C42E6">
        <w:rPr>
          <w:rFonts w:ascii="Arial" w:eastAsia="Times New Roman" w:hAnsi="Arial" w:cs="Arial"/>
          <w:b/>
          <w:color w:val="000000"/>
          <w:sz w:val="20"/>
          <w:szCs w:val="20"/>
          <w:lang w:eastAsia="es-MX"/>
        </w:rPr>
        <w:t>al 3</w:t>
      </w:r>
      <w:r w:rsidR="00B67FE3" w:rsidRPr="000C42E6">
        <w:rPr>
          <w:rFonts w:ascii="Arial" w:eastAsia="Times New Roman" w:hAnsi="Arial" w:cs="Arial"/>
          <w:b/>
          <w:color w:val="000000"/>
          <w:sz w:val="20"/>
          <w:szCs w:val="20"/>
          <w:lang w:eastAsia="es-MX"/>
        </w:rPr>
        <w:t>1</w:t>
      </w:r>
      <w:r w:rsidRPr="000C42E6">
        <w:rPr>
          <w:rFonts w:ascii="Arial" w:eastAsia="Times New Roman" w:hAnsi="Arial" w:cs="Arial"/>
          <w:b/>
          <w:color w:val="000000"/>
          <w:sz w:val="20"/>
          <w:szCs w:val="20"/>
          <w:lang w:eastAsia="es-MX"/>
        </w:rPr>
        <w:t xml:space="preserve"> de </w:t>
      </w:r>
      <w:r w:rsidR="00B67FE3" w:rsidRPr="000C42E6">
        <w:rPr>
          <w:rFonts w:ascii="Arial" w:eastAsia="Times New Roman" w:hAnsi="Arial" w:cs="Arial"/>
          <w:b/>
          <w:color w:val="000000"/>
          <w:sz w:val="20"/>
          <w:szCs w:val="20"/>
          <w:lang w:eastAsia="es-MX"/>
        </w:rPr>
        <w:t>dicie</w:t>
      </w:r>
      <w:r w:rsidRPr="000C42E6">
        <w:rPr>
          <w:rFonts w:ascii="Arial" w:eastAsia="Times New Roman" w:hAnsi="Arial" w:cs="Arial"/>
          <w:b/>
          <w:color w:val="000000"/>
          <w:sz w:val="20"/>
          <w:szCs w:val="20"/>
          <w:lang w:eastAsia="es-MX"/>
        </w:rPr>
        <w:t>mbre de 2025</w:t>
      </w:r>
    </w:p>
    <w:p w14:paraId="50DAC359" w14:textId="77777777" w:rsidR="001128EB" w:rsidRPr="000C42E6" w:rsidRDefault="001128EB" w:rsidP="00504DFD">
      <w:pPr>
        <w:spacing w:after="0" w:line="240" w:lineRule="auto"/>
        <w:jc w:val="center"/>
        <w:rPr>
          <w:rFonts w:ascii="Arial" w:hAnsi="Arial" w:cs="Arial"/>
          <w:b/>
          <w:sz w:val="20"/>
          <w:szCs w:val="20"/>
        </w:rPr>
      </w:pPr>
      <w:r w:rsidRPr="000C42E6">
        <w:rPr>
          <w:rFonts w:ascii="Arial" w:hAnsi="Arial" w:cs="Arial"/>
          <w:b/>
          <w:sz w:val="20"/>
          <w:szCs w:val="20"/>
        </w:rPr>
        <w:t>Cifras en pesos</w:t>
      </w:r>
    </w:p>
    <w:p w14:paraId="43C3BB40" w14:textId="77777777" w:rsidR="00FD66A3" w:rsidRPr="000C42E6" w:rsidRDefault="00FD66A3" w:rsidP="00504DFD">
      <w:pPr>
        <w:spacing w:after="0" w:line="240" w:lineRule="auto"/>
        <w:jc w:val="center"/>
        <w:rPr>
          <w:rFonts w:ascii="Arial" w:hAnsi="Arial" w:cs="Arial"/>
          <w:b/>
          <w:sz w:val="20"/>
          <w:szCs w:val="20"/>
        </w:rPr>
      </w:pPr>
    </w:p>
    <w:p w14:paraId="77E36147" w14:textId="77777777" w:rsidR="00FD66A3" w:rsidRPr="000C42E6" w:rsidRDefault="00FD66A3" w:rsidP="00504DFD">
      <w:pPr>
        <w:numPr>
          <w:ilvl w:val="0"/>
          <w:numId w:val="18"/>
        </w:numPr>
        <w:spacing w:after="0" w:line="240" w:lineRule="auto"/>
        <w:ind w:left="2062"/>
        <w:jc w:val="center"/>
        <w:rPr>
          <w:rFonts w:ascii="Arial" w:hAnsi="Arial" w:cs="Arial"/>
          <w:b/>
          <w:sz w:val="20"/>
          <w:szCs w:val="20"/>
        </w:rPr>
      </w:pPr>
      <w:r w:rsidRPr="000C42E6">
        <w:rPr>
          <w:rFonts w:ascii="Arial" w:hAnsi="Arial" w:cs="Arial"/>
          <w:b/>
          <w:sz w:val="20"/>
          <w:szCs w:val="20"/>
        </w:rPr>
        <w:t>NOTAS DE GESTION ADMINISTRATIVA</w:t>
      </w:r>
    </w:p>
    <w:p w14:paraId="6917E497" w14:textId="77777777" w:rsidR="00FD66A3" w:rsidRPr="000C42E6" w:rsidRDefault="00FD66A3" w:rsidP="00504DFD">
      <w:pPr>
        <w:spacing w:after="0" w:line="240" w:lineRule="auto"/>
        <w:jc w:val="center"/>
        <w:rPr>
          <w:rFonts w:ascii="Arial" w:hAnsi="Arial" w:cs="Arial"/>
          <w:b/>
          <w:sz w:val="20"/>
          <w:szCs w:val="20"/>
        </w:rPr>
      </w:pPr>
    </w:p>
    <w:p w14:paraId="54A9622D" w14:textId="4BD6BAE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Estas Notas tienen el objetivo de revelar el contexto y los aspectos económico-financieros más relevantes que influyeron en las decisiones del período, y deben ser considerados en la elaboración de los estados financieros para su mejor comprensión y de sus particularidades. De esta manera, se explican las condiciones relacionadas con la información financiera de cada período de gestión; además de exponer las políticas que podrían afectar la toma de decisiones en </w:t>
      </w:r>
      <w:r w:rsidR="00C609EF" w:rsidRPr="000C42E6">
        <w:rPr>
          <w:rFonts w:ascii="Arial" w:hAnsi="Arial" w:cs="Arial"/>
          <w:b/>
          <w:sz w:val="20"/>
          <w:szCs w:val="20"/>
        </w:rPr>
        <w:t>el futuro.</w:t>
      </w:r>
    </w:p>
    <w:p w14:paraId="012832B7" w14:textId="77777777" w:rsidR="00FD66A3" w:rsidRPr="000C42E6" w:rsidRDefault="00FD66A3" w:rsidP="00FD66A3">
      <w:pPr>
        <w:spacing w:after="0" w:line="240" w:lineRule="auto"/>
        <w:rPr>
          <w:rFonts w:ascii="Arial" w:hAnsi="Arial" w:cs="Arial"/>
          <w:b/>
          <w:sz w:val="20"/>
          <w:szCs w:val="20"/>
        </w:rPr>
      </w:pPr>
    </w:p>
    <w:p w14:paraId="6FAA94DA" w14:textId="77777777" w:rsidR="00C609EF" w:rsidRPr="000C42E6" w:rsidRDefault="00C609EF" w:rsidP="00FD66A3">
      <w:pPr>
        <w:spacing w:after="0" w:line="240" w:lineRule="auto"/>
        <w:rPr>
          <w:rFonts w:ascii="Arial" w:hAnsi="Arial" w:cs="Arial"/>
          <w:b/>
          <w:sz w:val="20"/>
          <w:szCs w:val="20"/>
        </w:rPr>
      </w:pPr>
    </w:p>
    <w:p w14:paraId="7E2E4C33" w14:textId="77777777" w:rsidR="00FD66A3" w:rsidRPr="000C42E6" w:rsidRDefault="00FD66A3" w:rsidP="00FD66A3">
      <w:pPr>
        <w:numPr>
          <w:ilvl w:val="0"/>
          <w:numId w:val="10"/>
        </w:numPr>
        <w:spacing w:after="0" w:line="240" w:lineRule="auto"/>
        <w:rPr>
          <w:rFonts w:ascii="Arial" w:hAnsi="Arial" w:cs="Arial"/>
          <w:b/>
          <w:sz w:val="20"/>
          <w:szCs w:val="20"/>
        </w:rPr>
      </w:pPr>
      <w:r w:rsidRPr="000C42E6">
        <w:rPr>
          <w:rFonts w:ascii="Arial" w:hAnsi="Arial" w:cs="Arial"/>
          <w:b/>
          <w:sz w:val="20"/>
          <w:szCs w:val="20"/>
        </w:rPr>
        <w:t>Autorización e Historia</w:t>
      </w:r>
    </w:p>
    <w:p w14:paraId="512E49CC" w14:textId="77777777" w:rsidR="00FD66A3" w:rsidRPr="000C42E6" w:rsidRDefault="00FD66A3" w:rsidP="00FD66A3">
      <w:pPr>
        <w:spacing w:after="0" w:line="240" w:lineRule="auto"/>
        <w:rPr>
          <w:rFonts w:ascii="Arial" w:hAnsi="Arial" w:cs="Arial"/>
          <w:b/>
          <w:bCs/>
          <w:sz w:val="20"/>
          <w:szCs w:val="20"/>
        </w:rPr>
      </w:pPr>
    </w:p>
    <w:p w14:paraId="77D1F37E"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Las obras y acciones de gobierno dependen de obtener los recursos necesarios para su financiamiento. Para no crear nuevos impuestos, el esfuerzo se orienta a incrementar la captación directa, a través de ampliar la base de contribuyentes y el cumplimiento de sus obligaciones fiscales, así como administrar los recursos ordinarios o especiales transferidos por la Federación.</w:t>
      </w:r>
    </w:p>
    <w:p w14:paraId="4C77278D"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En esta administración, los esfuerzos en materia de ingresos propios se centraron en campañas de regularización, aprovechar y modernizar unidades móviles para realizar trámites y cobros, la firma de convenios con instituciones para incrementar los puntos de recaudación y fortalecer los respectivos sistemas electrónicos vía internet.</w:t>
      </w:r>
    </w:p>
    <w:p w14:paraId="123532F4" w14:textId="77777777" w:rsidR="00FD66A3" w:rsidRPr="000C42E6" w:rsidRDefault="00FD66A3" w:rsidP="00FD66A3">
      <w:pPr>
        <w:spacing w:after="0" w:line="240" w:lineRule="auto"/>
        <w:jc w:val="both"/>
        <w:rPr>
          <w:rFonts w:ascii="Arial" w:hAnsi="Arial" w:cs="Arial"/>
          <w:b/>
          <w:sz w:val="20"/>
          <w:szCs w:val="20"/>
        </w:rPr>
      </w:pPr>
    </w:p>
    <w:p w14:paraId="1DF06F3E" w14:textId="3189BEE9"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El Gobierno del Estado de Tabasco ha recibido ingresos presupuestales propios, participaciones federales y perce</w:t>
      </w:r>
      <w:r w:rsidR="001D3FD6" w:rsidRPr="000C42E6">
        <w:rPr>
          <w:rFonts w:ascii="Arial" w:hAnsi="Arial" w:cs="Arial"/>
          <w:b/>
          <w:sz w:val="20"/>
          <w:szCs w:val="20"/>
        </w:rPr>
        <w:t>pciones extraordinarias, en el</w:t>
      </w:r>
      <w:r w:rsidRPr="000C42E6">
        <w:rPr>
          <w:rFonts w:ascii="Arial" w:hAnsi="Arial" w:cs="Arial"/>
          <w:b/>
          <w:sz w:val="20"/>
          <w:szCs w:val="20"/>
        </w:rPr>
        <w:t xml:space="preserve"> ejercicio fiscal</w:t>
      </w:r>
      <w:r w:rsidR="00375DC9" w:rsidRPr="000C42E6">
        <w:rPr>
          <w:rFonts w:ascii="Arial" w:hAnsi="Arial" w:cs="Arial"/>
          <w:b/>
          <w:sz w:val="20"/>
          <w:szCs w:val="20"/>
        </w:rPr>
        <w:t xml:space="preserve"> 2025</w:t>
      </w:r>
      <w:r w:rsidRPr="000C42E6">
        <w:rPr>
          <w:rFonts w:ascii="Arial" w:hAnsi="Arial" w:cs="Arial"/>
          <w:b/>
          <w:sz w:val="20"/>
          <w:szCs w:val="20"/>
        </w:rPr>
        <w:t>. La Secretaría de Administración y Finanzas es responsable del correcto ejercici</w:t>
      </w:r>
      <w:r w:rsidR="00CF51E7" w:rsidRPr="000C42E6">
        <w:rPr>
          <w:rFonts w:ascii="Arial" w:hAnsi="Arial" w:cs="Arial"/>
          <w:b/>
          <w:sz w:val="20"/>
          <w:szCs w:val="20"/>
        </w:rPr>
        <w:t>o del presupuesto a</w:t>
      </w:r>
      <w:r w:rsidRPr="000C42E6">
        <w:rPr>
          <w:rFonts w:ascii="Arial" w:hAnsi="Arial" w:cs="Arial"/>
          <w:b/>
          <w:sz w:val="20"/>
          <w:szCs w:val="20"/>
        </w:rPr>
        <w:t xml:space="preserve"> ejecutar con oportunidad, eficiencia y eficacia de acuerdo a las acciones previstas en sus programas y proyectos para lograr las estrategias, metas y objetivos del Plan Estatal de Desarrollo (PLED) 2024-2030. </w:t>
      </w:r>
    </w:p>
    <w:p w14:paraId="2BE864A2" w14:textId="77777777" w:rsidR="00FD66A3" w:rsidRPr="000C42E6" w:rsidRDefault="00FD66A3" w:rsidP="00FD66A3">
      <w:pPr>
        <w:spacing w:after="0" w:line="240" w:lineRule="auto"/>
        <w:jc w:val="both"/>
        <w:rPr>
          <w:rFonts w:ascii="Arial" w:hAnsi="Arial" w:cs="Arial"/>
          <w:b/>
          <w:sz w:val="20"/>
          <w:szCs w:val="20"/>
        </w:rPr>
      </w:pPr>
    </w:p>
    <w:p w14:paraId="0D695CCB"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Los ingresos y los gastos presupuestarios,  se presentan  y revelan en los capítulos y partidas correspondientes, en apego a la Ley Federal de Presupuesto y Responsabilidad  Hacendaria; la Ley General de Contabilidad Gubernamental, la normatividad emitida por el Consejo Nacional de Armonización Contable, incluidos los Criterios para la elaboración y presentación homogénea de la información financiera y de los formatos a que hace referencia la Ley de Disciplina Financiera de las Entidades Federativas y los Municipios; la Ley de Presupuesto y Responsabilidad Hacendaria del Estado de Tabasco y sus Municipios, así como a su Reglamento; </w:t>
      </w:r>
    </w:p>
    <w:p w14:paraId="1E19853B" w14:textId="77777777" w:rsidR="00FD66A3" w:rsidRPr="000C42E6" w:rsidRDefault="00FD66A3" w:rsidP="00FD66A3">
      <w:pPr>
        <w:spacing w:after="0" w:line="240" w:lineRule="auto"/>
        <w:rPr>
          <w:rFonts w:ascii="Arial" w:hAnsi="Arial" w:cs="Arial"/>
          <w:b/>
          <w:sz w:val="20"/>
          <w:szCs w:val="20"/>
        </w:rPr>
      </w:pPr>
    </w:p>
    <w:p w14:paraId="5418E5B9"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Creación y Entorno legal.</w:t>
      </w:r>
    </w:p>
    <w:p w14:paraId="5A31DA60" w14:textId="77777777" w:rsidR="00FD66A3" w:rsidRPr="000C42E6" w:rsidRDefault="00FD66A3" w:rsidP="00FD66A3">
      <w:pPr>
        <w:spacing w:after="0" w:line="240" w:lineRule="auto"/>
        <w:rPr>
          <w:rFonts w:ascii="Arial" w:hAnsi="Arial" w:cs="Arial"/>
          <w:b/>
          <w:bCs/>
          <w:sz w:val="20"/>
          <w:szCs w:val="20"/>
        </w:rPr>
      </w:pPr>
    </w:p>
    <w:p w14:paraId="45936B7E"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La fecha del Registro Federal de Contribuyentes del Poder Ejecutivo del Gobierno del Estado de Tabasco es 01 de enero de 1971.</w:t>
      </w:r>
    </w:p>
    <w:p w14:paraId="438F99B7" w14:textId="77777777" w:rsidR="00FD66A3" w:rsidRPr="000C42E6" w:rsidRDefault="00FD66A3" w:rsidP="00FD66A3">
      <w:pPr>
        <w:spacing w:after="0" w:line="240" w:lineRule="auto"/>
        <w:rPr>
          <w:rFonts w:ascii="Arial" w:hAnsi="Arial" w:cs="Arial"/>
          <w:b/>
          <w:sz w:val="20"/>
          <w:szCs w:val="20"/>
        </w:rPr>
      </w:pPr>
    </w:p>
    <w:p w14:paraId="7708CC42"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De conformidad con la Constitución Política de los Estados Unidos Mexicanos en su artículo 40,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esa ley fundamental. La organización, estructura y funciones del Gobierno del Estado de Tabasco están regidas por la Constitución Política de los Estados Unidos Mexicanos, la Constitución Política del Estado de Tabasco, la Ley Orgánica del Poder Ejecutivo del Estado, los Reglamentos de las Secretarías, reglamentos y decretos específicos de la administración centralizada y paraestatal, la Ley Orgánica del Poder Legislativo y la Ley Orgánica del Poder Judicial.</w:t>
      </w:r>
    </w:p>
    <w:p w14:paraId="7C99264E" w14:textId="77777777" w:rsidR="00FD66A3" w:rsidRPr="000C42E6" w:rsidRDefault="00FD66A3" w:rsidP="00FD66A3">
      <w:pPr>
        <w:spacing w:after="0" w:line="240" w:lineRule="auto"/>
        <w:rPr>
          <w:rFonts w:ascii="Arial" w:hAnsi="Arial" w:cs="Arial"/>
          <w:b/>
          <w:bCs/>
          <w:sz w:val="20"/>
          <w:szCs w:val="20"/>
        </w:rPr>
      </w:pPr>
      <w:r w:rsidRPr="000C42E6">
        <w:rPr>
          <w:rFonts w:ascii="Arial" w:hAnsi="Arial" w:cs="Arial"/>
          <w:b/>
          <w:bCs/>
          <w:sz w:val="20"/>
          <w:szCs w:val="20"/>
        </w:rPr>
        <w:lastRenderedPageBreak/>
        <w:t>Principales cambios en su estructura.</w:t>
      </w:r>
    </w:p>
    <w:p w14:paraId="1A5F7B52" w14:textId="77777777" w:rsidR="00FD66A3" w:rsidRPr="000C42E6" w:rsidRDefault="00FD66A3" w:rsidP="00FD66A3">
      <w:pPr>
        <w:spacing w:after="0" w:line="240" w:lineRule="auto"/>
        <w:rPr>
          <w:rFonts w:ascii="Arial" w:hAnsi="Arial" w:cs="Arial"/>
          <w:b/>
          <w:sz w:val="20"/>
          <w:szCs w:val="20"/>
        </w:rPr>
      </w:pPr>
    </w:p>
    <w:p w14:paraId="5C0AAB5D" w14:textId="6A2B4571"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La Ley Orgánica del Poder Ejecutivo del Estado de Taba</w:t>
      </w:r>
      <w:r w:rsidR="00F14C68">
        <w:rPr>
          <w:rFonts w:ascii="Arial" w:hAnsi="Arial" w:cs="Arial"/>
          <w:b/>
          <w:sz w:val="20"/>
          <w:szCs w:val="20"/>
        </w:rPr>
        <w:t>s</w:t>
      </w:r>
      <w:r w:rsidRPr="000C42E6">
        <w:rPr>
          <w:rFonts w:ascii="Arial" w:hAnsi="Arial" w:cs="Arial"/>
          <w:b/>
          <w:sz w:val="20"/>
          <w:szCs w:val="20"/>
        </w:rPr>
        <w:t>co vigente, publicada en el Periódico Oficial del Estado el 09 de noviembre de 2024 por Decreto 013 y reformada el 16 de diciembre del mismo año; transformó la estructura de la Administración Pública, la cual quedó como sigue:</w:t>
      </w:r>
    </w:p>
    <w:p w14:paraId="205CFFEE" w14:textId="77777777" w:rsidR="00FD66A3" w:rsidRPr="000C42E6" w:rsidRDefault="00FD66A3" w:rsidP="00FD66A3">
      <w:pPr>
        <w:spacing w:after="0" w:line="240" w:lineRule="auto"/>
        <w:jc w:val="both"/>
        <w:rPr>
          <w:rFonts w:ascii="Arial" w:hAnsi="Arial" w:cs="Arial"/>
          <w:b/>
          <w:sz w:val="20"/>
          <w:szCs w:val="20"/>
        </w:rPr>
      </w:pPr>
    </w:p>
    <w:p w14:paraId="2AD30B94" w14:textId="34607025"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La Administración Pública centralizada se integra por la Oficina de la Gube</w:t>
      </w:r>
      <w:r w:rsidR="002F51E2">
        <w:rPr>
          <w:rFonts w:ascii="Arial" w:hAnsi="Arial" w:cs="Arial"/>
          <w:b/>
          <w:sz w:val="20"/>
          <w:szCs w:val="20"/>
        </w:rPr>
        <w:t>rnatura, las Secretarías y sus Órganos D</w:t>
      </w:r>
      <w:r w:rsidRPr="000C42E6">
        <w:rPr>
          <w:rFonts w:ascii="Arial" w:hAnsi="Arial" w:cs="Arial"/>
          <w:b/>
          <w:sz w:val="20"/>
          <w:szCs w:val="20"/>
        </w:rPr>
        <w:t>esconcentrados, la Consejería Jurídica del Poder Ejecutivo del Estado y las demás unidades administrativas que refieran las normas.</w:t>
      </w:r>
    </w:p>
    <w:p w14:paraId="7D6FF67E" w14:textId="77777777" w:rsidR="00FD66A3" w:rsidRPr="000C42E6" w:rsidRDefault="00FD66A3" w:rsidP="00FD66A3">
      <w:pPr>
        <w:spacing w:after="0" w:line="240" w:lineRule="auto"/>
        <w:rPr>
          <w:rFonts w:ascii="Arial" w:hAnsi="Arial" w:cs="Arial"/>
          <w:b/>
          <w:sz w:val="20"/>
          <w:szCs w:val="20"/>
        </w:rPr>
      </w:pPr>
    </w:p>
    <w:p w14:paraId="4B5035C9" w14:textId="77777777" w:rsidR="00FD66A3" w:rsidRPr="000C42E6" w:rsidRDefault="00FD66A3" w:rsidP="00FD66A3">
      <w:pPr>
        <w:numPr>
          <w:ilvl w:val="0"/>
          <w:numId w:val="9"/>
        </w:numPr>
        <w:spacing w:after="0" w:line="240" w:lineRule="auto"/>
        <w:rPr>
          <w:rFonts w:ascii="Arial" w:hAnsi="Arial" w:cs="Arial"/>
          <w:b/>
          <w:sz w:val="20"/>
          <w:szCs w:val="20"/>
        </w:rPr>
      </w:pPr>
      <w:r w:rsidRPr="000C42E6">
        <w:rPr>
          <w:rFonts w:ascii="Arial" w:hAnsi="Arial" w:cs="Arial"/>
          <w:b/>
          <w:sz w:val="20"/>
          <w:szCs w:val="20"/>
        </w:rPr>
        <w:t>Oficina de la Gubernatura</w:t>
      </w:r>
    </w:p>
    <w:p w14:paraId="5F2C3D27" w14:textId="77777777" w:rsidR="00FD66A3" w:rsidRPr="000C42E6" w:rsidRDefault="00FD66A3" w:rsidP="00FD66A3">
      <w:pPr>
        <w:spacing w:after="0" w:line="240" w:lineRule="auto"/>
        <w:rPr>
          <w:rFonts w:ascii="Arial" w:hAnsi="Arial" w:cs="Arial"/>
          <w:b/>
          <w:sz w:val="20"/>
          <w:szCs w:val="20"/>
        </w:rPr>
      </w:pPr>
    </w:p>
    <w:tbl>
      <w:tblPr>
        <w:tblW w:w="12900" w:type="dxa"/>
        <w:tblCellMar>
          <w:left w:w="70" w:type="dxa"/>
          <w:right w:w="70" w:type="dxa"/>
        </w:tblCellMar>
        <w:tblLook w:val="04A0" w:firstRow="1" w:lastRow="0" w:firstColumn="1" w:lastColumn="0" w:noHBand="0" w:noVBand="1"/>
      </w:tblPr>
      <w:tblGrid>
        <w:gridCol w:w="12900"/>
      </w:tblGrid>
      <w:tr w:rsidR="00FD66A3" w:rsidRPr="000C42E6" w14:paraId="315961A4" w14:textId="77777777" w:rsidTr="00764DE5">
        <w:trPr>
          <w:trHeight w:val="360"/>
        </w:trPr>
        <w:tc>
          <w:tcPr>
            <w:tcW w:w="12900" w:type="dxa"/>
            <w:noWrap/>
            <w:vAlign w:val="center"/>
          </w:tcPr>
          <w:p w14:paraId="3F32F8E7" w14:textId="77777777" w:rsidR="00FD66A3" w:rsidRPr="000C42E6" w:rsidRDefault="00FD66A3" w:rsidP="00764DE5">
            <w:pPr>
              <w:spacing w:after="0" w:line="240" w:lineRule="auto"/>
              <w:ind w:left="-143"/>
              <w:rPr>
                <w:rFonts w:ascii="Arial" w:hAnsi="Arial" w:cs="Arial"/>
                <w:b/>
                <w:sz w:val="20"/>
                <w:szCs w:val="20"/>
              </w:rPr>
            </w:pPr>
            <w:r w:rsidRPr="000C42E6">
              <w:rPr>
                <w:rFonts w:ascii="Arial" w:hAnsi="Arial" w:cs="Arial"/>
                <w:b/>
                <w:sz w:val="20"/>
                <w:szCs w:val="20"/>
              </w:rPr>
              <w:t>III.   Dependencias</w:t>
            </w:r>
          </w:p>
          <w:p w14:paraId="218399CD"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Gobierno;</w:t>
            </w:r>
          </w:p>
          <w:p w14:paraId="50B005D1"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Seguridad y de Protección Ciudadana;</w:t>
            </w:r>
          </w:p>
          <w:p w14:paraId="0BDC138C"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Administración y Finanzas;</w:t>
            </w:r>
          </w:p>
          <w:p w14:paraId="14E69590"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Bienestar;</w:t>
            </w:r>
          </w:p>
          <w:p w14:paraId="6D047586"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Medio Ambiente y Desarrollo Sostenibles;</w:t>
            </w:r>
          </w:p>
          <w:p w14:paraId="5F1D8911"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 xml:space="preserve">Secretaría de Turismo y Desarrollo Económico;  </w:t>
            </w:r>
          </w:p>
          <w:p w14:paraId="0B2046E4"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Desarrollo Agropecuario y Pesca;</w:t>
            </w:r>
          </w:p>
          <w:p w14:paraId="704C5A03"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Movilidad;</w:t>
            </w:r>
          </w:p>
          <w:p w14:paraId="3C262657"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Anticorrupción y Buen Gobierno;</w:t>
            </w:r>
          </w:p>
          <w:p w14:paraId="1E99BE2F"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 xml:space="preserve">Secretaría de Educación; </w:t>
            </w:r>
          </w:p>
          <w:p w14:paraId="0B21DE1B"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 xml:space="preserve">Secretaría de Salud; </w:t>
            </w:r>
          </w:p>
          <w:p w14:paraId="2D525ACC"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Ordenamiento Territorial y Obras Públicas;</w:t>
            </w:r>
          </w:p>
          <w:p w14:paraId="4B72054C"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Secretaría de Cultura; y </w:t>
            </w:r>
          </w:p>
          <w:p w14:paraId="70420F7F" w14:textId="77777777" w:rsidR="00FD66A3" w:rsidRPr="000C42E6" w:rsidRDefault="00FD66A3" w:rsidP="00764DE5">
            <w:pPr>
              <w:spacing w:after="0" w:line="240" w:lineRule="auto"/>
              <w:rPr>
                <w:rFonts w:ascii="Arial" w:hAnsi="Arial" w:cs="Arial"/>
                <w:b/>
                <w:sz w:val="20"/>
                <w:szCs w:val="20"/>
              </w:rPr>
            </w:pPr>
            <w:r w:rsidRPr="000C42E6">
              <w:rPr>
                <w:rFonts w:ascii="Arial" w:hAnsi="Arial" w:cs="Arial"/>
                <w:b/>
                <w:sz w:val="20"/>
                <w:szCs w:val="20"/>
              </w:rPr>
              <w:t>Consejería Jurídica del Poder Ejecutivo del Estado.</w:t>
            </w:r>
          </w:p>
        </w:tc>
      </w:tr>
    </w:tbl>
    <w:p w14:paraId="4D0396A3" w14:textId="77777777" w:rsidR="00FD66A3" w:rsidRPr="000C42E6" w:rsidRDefault="00FD66A3" w:rsidP="00FD66A3">
      <w:pPr>
        <w:spacing w:after="0" w:line="240" w:lineRule="auto"/>
        <w:rPr>
          <w:rFonts w:ascii="Arial" w:hAnsi="Arial" w:cs="Arial"/>
          <w:b/>
          <w:sz w:val="20"/>
          <w:szCs w:val="20"/>
        </w:rPr>
      </w:pPr>
    </w:p>
    <w:p w14:paraId="1DB6BEB0" w14:textId="77777777" w:rsidR="00FD66A3" w:rsidRPr="000C42E6" w:rsidRDefault="00FD66A3" w:rsidP="00FD66A3">
      <w:pPr>
        <w:spacing w:after="0" w:line="240" w:lineRule="auto"/>
        <w:rPr>
          <w:rFonts w:ascii="Arial" w:hAnsi="Arial" w:cs="Arial"/>
          <w:b/>
          <w:sz w:val="20"/>
          <w:szCs w:val="20"/>
        </w:rPr>
      </w:pPr>
    </w:p>
    <w:p w14:paraId="06BE26C1" w14:textId="77777777" w:rsidR="00FD66A3" w:rsidRPr="000C42E6" w:rsidRDefault="00FD66A3" w:rsidP="00FD66A3">
      <w:pPr>
        <w:numPr>
          <w:ilvl w:val="0"/>
          <w:numId w:val="40"/>
        </w:numPr>
        <w:spacing w:after="0" w:line="240" w:lineRule="auto"/>
        <w:rPr>
          <w:rFonts w:ascii="Arial" w:hAnsi="Arial" w:cs="Arial"/>
          <w:b/>
          <w:sz w:val="20"/>
          <w:szCs w:val="20"/>
        </w:rPr>
      </w:pPr>
      <w:r w:rsidRPr="000C42E6">
        <w:rPr>
          <w:rFonts w:ascii="Arial" w:hAnsi="Arial" w:cs="Arial"/>
          <w:b/>
          <w:sz w:val="20"/>
          <w:szCs w:val="20"/>
        </w:rPr>
        <w:t>Órganos Desconcentrados</w:t>
      </w:r>
    </w:p>
    <w:p w14:paraId="47E17229"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Servicio Estatal de Empleo</w:t>
      </w:r>
    </w:p>
    <w:p w14:paraId="2EE563A4"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Secretariado Ejecutivo del Sistema Estatal de Seguridad Pública</w:t>
      </w:r>
    </w:p>
    <w:p w14:paraId="312C4EC4"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Comisión Estatal de Búsqueda de Personas</w:t>
      </w:r>
    </w:p>
    <w:p w14:paraId="0BD673EC"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Comisión Estatal Forestal</w:t>
      </w:r>
    </w:p>
    <w:p w14:paraId="3D29D97C"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Junta Estatal de Caminos</w:t>
      </w:r>
    </w:p>
    <w:p w14:paraId="09893F18"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Instituto de la Juventud y el Deporte de Tabasco</w:t>
      </w:r>
    </w:p>
    <w:p w14:paraId="71463569"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Coordinación Estatal  para la Regularización de la Tenencia de la Tierra</w:t>
      </w:r>
    </w:p>
    <w:p w14:paraId="2D7BF81A" w14:textId="77777777" w:rsidR="00FD66A3" w:rsidRPr="000C42E6" w:rsidRDefault="00FD66A3" w:rsidP="00FD66A3">
      <w:pPr>
        <w:spacing w:after="0" w:line="240" w:lineRule="auto"/>
        <w:rPr>
          <w:rFonts w:ascii="Arial" w:hAnsi="Arial" w:cs="Arial"/>
          <w:b/>
          <w:sz w:val="20"/>
          <w:szCs w:val="20"/>
        </w:rPr>
      </w:pPr>
    </w:p>
    <w:p w14:paraId="07E9DA23" w14:textId="431D6485"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La Administración Pública paraestatal se conforma por los organismos públicos descentral</w:t>
      </w:r>
      <w:bookmarkStart w:id="0" w:name="_GoBack"/>
      <w:bookmarkEnd w:id="0"/>
      <w:r w:rsidRPr="000C42E6">
        <w:rPr>
          <w:rFonts w:ascii="Arial" w:hAnsi="Arial" w:cs="Arial"/>
          <w:b/>
          <w:sz w:val="20"/>
          <w:szCs w:val="20"/>
        </w:rPr>
        <w:t>izados, las empresas de participación estatal mayoritaria, los fideicomisos públicos y las de</w:t>
      </w:r>
      <w:r w:rsidR="00957BBA">
        <w:rPr>
          <w:rFonts w:ascii="Arial" w:hAnsi="Arial" w:cs="Arial"/>
          <w:b/>
          <w:sz w:val="20"/>
          <w:szCs w:val="20"/>
        </w:rPr>
        <w:t>más Entidades creadas por ley, d</w:t>
      </w:r>
      <w:r w:rsidRPr="000C42E6">
        <w:rPr>
          <w:rFonts w:ascii="Arial" w:hAnsi="Arial" w:cs="Arial"/>
          <w:b/>
          <w:sz w:val="20"/>
          <w:szCs w:val="20"/>
        </w:rPr>
        <w:t>ecreto o acuerdo de creación.</w:t>
      </w:r>
    </w:p>
    <w:p w14:paraId="31621847" w14:textId="59A6103E"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En los términos de los considerandos insertos en el referido decreto</w:t>
      </w:r>
      <w:r w:rsidR="00957BBA">
        <w:rPr>
          <w:rFonts w:ascii="Arial" w:hAnsi="Arial" w:cs="Arial"/>
          <w:b/>
          <w:sz w:val="20"/>
          <w:szCs w:val="20"/>
        </w:rPr>
        <w:t>,</w:t>
      </w:r>
      <w:r w:rsidRPr="000C42E6">
        <w:rPr>
          <w:rFonts w:ascii="Arial" w:hAnsi="Arial" w:cs="Arial"/>
          <w:b/>
          <w:sz w:val="20"/>
          <w:szCs w:val="20"/>
        </w:rPr>
        <w:t xml:space="preserve"> así como de los artículos transitorios de la correspondiente Ley Orgánica, el Titular del Poder Ejecutivo y el H. Congreso del Estado habrán de realizar en el ámbito de sus respectivas competencias, las modificaciones a los instrumentos jurídicos, reglamentarios y administrativos para disolver, fusionar y/o sectorizar los organismos estatales que corresponda.</w:t>
      </w:r>
    </w:p>
    <w:p w14:paraId="1B4A320A" w14:textId="77777777" w:rsidR="00FD66A3" w:rsidRPr="000C42E6" w:rsidRDefault="00FD66A3" w:rsidP="00FD66A3">
      <w:pPr>
        <w:spacing w:after="0" w:line="240" w:lineRule="auto"/>
        <w:rPr>
          <w:rFonts w:ascii="Arial" w:hAnsi="Arial" w:cs="Arial"/>
          <w:b/>
          <w:sz w:val="20"/>
          <w:szCs w:val="20"/>
        </w:rPr>
      </w:pPr>
    </w:p>
    <w:p w14:paraId="086E5FBC" w14:textId="77777777" w:rsidR="00FD66A3" w:rsidRPr="000C42E6" w:rsidRDefault="00FD66A3" w:rsidP="00FD66A3">
      <w:pPr>
        <w:numPr>
          <w:ilvl w:val="0"/>
          <w:numId w:val="10"/>
        </w:numPr>
        <w:spacing w:after="0" w:line="240" w:lineRule="auto"/>
        <w:rPr>
          <w:rFonts w:ascii="Arial" w:hAnsi="Arial" w:cs="Arial"/>
          <w:b/>
          <w:sz w:val="20"/>
          <w:szCs w:val="20"/>
        </w:rPr>
      </w:pPr>
      <w:r w:rsidRPr="000C42E6">
        <w:rPr>
          <w:rFonts w:ascii="Arial" w:hAnsi="Arial" w:cs="Arial"/>
          <w:b/>
          <w:sz w:val="20"/>
          <w:szCs w:val="20"/>
        </w:rPr>
        <w:lastRenderedPageBreak/>
        <w:t xml:space="preserve">Panorama Económico y Financiero </w:t>
      </w:r>
    </w:p>
    <w:p w14:paraId="0D5B6852" w14:textId="77777777" w:rsidR="00FD66A3" w:rsidRPr="000C42E6" w:rsidRDefault="00FD66A3" w:rsidP="00FD66A3">
      <w:pPr>
        <w:spacing w:after="0" w:line="240" w:lineRule="auto"/>
        <w:rPr>
          <w:rFonts w:ascii="Arial" w:hAnsi="Arial" w:cs="Arial"/>
          <w:b/>
          <w:sz w:val="20"/>
          <w:szCs w:val="20"/>
        </w:rPr>
      </w:pPr>
    </w:p>
    <w:p w14:paraId="06BDCE09"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En el cuarto trimestre de 2025 y con cifras ajustadas por estacionalidad, los resultados de la Estimación Oportuna del Producto Interno Bruto publicada por el INEGI indican que, el PIB creció 0.8 % en términos reales, con respecto al trimestre inmediato anterior. A tasa anual, la estimación oportuna presentó un alza de 1.6 por ciento real. Fuente Boletín de Indicador 64/26 del 30 de enero de 2026 del INEGI.</w:t>
      </w:r>
    </w:p>
    <w:p w14:paraId="3A95E43F" w14:textId="77777777" w:rsidR="00FD66A3" w:rsidRPr="000C42E6" w:rsidRDefault="00FD66A3" w:rsidP="00FD66A3">
      <w:pPr>
        <w:spacing w:after="0" w:line="240" w:lineRule="auto"/>
        <w:jc w:val="both"/>
        <w:rPr>
          <w:rFonts w:ascii="Arial" w:hAnsi="Arial" w:cs="Arial"/>
          <w:b/>
          <w:sz w:val="20"/>
          <w:szCs w:val="20"/>
        </w:rPr>
      </w:pPr>
    </w:p>
    <w:p w14:paraId="23620879"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El Gobierno Federal ha seguido la política: en materia de los bienes y servicios que ofrece, no aumentar sus precios en términos reales; las tasas impositivas no han tenido alzas; y ha mantenido finanzas sanas. El financiamiento del gasto público se apoyó mediante austeridad y combate a la corrupción.     </w:t>
      </w:r>
    </w:p>
    <w:p w14:paraId="02EBDDA8"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               </w:t>
      </w:r>
    </w:p>
    <w:p w14:paraId="2DA32563"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El gasto público fortaleció la inversión en el sector energético, apoyos al campo con precios de garantía y el programa Sembrando Vida. También se impulsó la política social con apoyo a los jóvenes, adultos mayores y grupos vulnerables.</w:t>
      </w:r>
    </w:p>
    <w:p w14:paraId="66DE1903" w14:textId="77777777" w:rsidR="00FD66A3" w:rsidRPr="000C42E6" w:rsidRDefault="00FD66A3" w:rsidP="00FD66A3">
      <w:pPr>
        <w:spacing w:after="0" w:line="240" w:lineRule="auto"/>
        <w:jc w:val="both"/>
        <w:rPr>
          <w:rFonts w:ascii="Arial" w:hAnsi="Arial" w:cs="Arial"/>
          <w:b/>
          <w:sz w:val="20"/>
          <w:szCs w:val="20"/>
        </w:rPr>
      </w:pPr>
    </w:p>
    <w:p w14:paraId="717274F5" w14:textId="77777777" w:rsidR="00FD66A3" w:rsidRPr="000C42E6" w:rsidRDefault="00FD66A3" w:rsidP="00FD66A3">
      <w:pPr>
        <w:spacing w:after="0" w:line="240" w:lineRule="auto"/>
        <w:rPr>
          <w:rFonts w:ascii="Arial" w:hAnsi="Arial" w:cs="Arial"/>
          <w:b/>
          <w:bCs/>
          <w:sz w:val="20"/>
          <w:szCs w:val="20"/>
        </w:rPr>
      </w:pPr>
      <w:r w:rsidRPr="000C42E6">
        <w:rPr>
          <w:rFonts w:ascii="Arial" w:hAnsi="Arial" w:cs="Arial"/>
          <w:b/>
          <w:bCs/>
          <w:sz w:val="20"/>
          <w:szCs w:val="20"/>
        </w:rPr>
        <w:t>Tabasco</w:t>
      </w:r>
    </w:p>
    <w:p w14:paraId="4EFDD849" w14:textId="77777777" w:rsidR="00FD66A3" w:rsidRPr="000C42E6" w:rsidRDefault="00FD66A3" w:rsidP="00FD66A3">
      <w:pPr>
        <w:spacing w:after="0" w:line="240" w:lineRule="auto"/>
        <w:rPr>
          <w:rFonts w:ascii="Arial" w:hAnsi="Arial" w:cs="Arial"/>
          <w:b/>
          <w:bCs/>
          <w:sz w:val="20"/>
          <w:szCs w:val="20"/>
        </w:rPr>
      </w:pPr>
    </w:p>
    <w:p w14:paraId="7B5F36F7" w14:textId="672BC3F2"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El Gobierno del Estado ha continuado la política económica en concordancia con el Gobierno Federal, mediante el humanístico y razonable equilibrio de las medidas financieras y económicas, constantemente en revisió</w:t>
      </w:r>
      <w:r w:rsidR="00C22940" w:rsidRPr="000C42E6">
        <w:rPr>
          <w:rFonts w:ascii="Arial" w:hAnsi="Arial" w:cs="Arial"/>
          <w:b/>
          <w:sz w:val="20"/>
          <w:szCs w:val="20"/>
        </w:rPr>
        <w:t>n y actualizadas oportunamente. E</w:t>
      </w:r>
      <w:r w:rsidR="00A25604" w:rsidRPr="000C42E6">
        <w:rPr>
          <w:rFonts w:ascii="Arial" w:hAnsi="Arial" w:cs="Arial"/>
          <w:b/>
          <w:sz w:val="20"/>
          <w:szCs w:val="20"/>
        </w:rPr>
        <w:t xml:space="preserve">l gasto público, </w:t>
      </w:r>
      <w:r w:rsidRPr="000C42E6">
        <w:rPr>
          <w:rFonts w:ascii="Arial" w:hAnsi="Arial" w:cs="Arial"/>
          <w:b/>
          <w:sz w:val="20"/>
          <w:szCs w:val="20"/>
        </w:rPr>
        <w:t xml:space="preserve">priorizó el sector educativo, al regularizar los pagos al magisterio e </w:t>
      </w:r>
      <w:r w:rsidR="00796B40" w:rsidRPr="000C42E6">
        <w:rPr>
          <w:rFonts w:ascii="Arial" w:hAnsi="Arial" w:cs="Arial"/>
          <w:b/>
          <w:sz w:val="20"/>
          <w:szCs w:val="20"/>
        </w:rPr>
        <w:t>infraestructura, al sector salud y l</w:t>
      </w:r>
      <w:r w:rsidRPr="000C42E6">
        <w:rPr>
          <w:rFonts w:ascii="Arial" w:hAnsi="Arial" w:cs="Arial"/>
          <w:b/>
          <w:sz w:val="20"/>
          <w:szCs w:val="20"/>
        </w:rPr>
        <w:t>a seguridad pública ha sido otra prioridad de gasto, incluyendo a la Fiscalía General del Estado.</w:t>
      </w:r>
    </w:p>
    <w:p w14:paraId="0ECCA8C1"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Se incrementó la inversión a través del sector ordenamiento territorial y obras públicas, con infraestructura hidráulica y carreteras.</w:t>
      </w:r>
    </w:p>
    <w:p w14:paraId="5C72B3E0" w14:textId="77777777" w:rsidR="00FD66A3" w:rsidRPr="000C42E6" w:rsidRDefault="00FD66A3" w:rsidP="00FD66A3">
      <w:pPr>
        <w:spacing w:after="0" w:line="240" w:lineRule="auto"/>
        <w:jc w:val="both"/>
        <w:rPr>
          <w:rFonts w:ascii="Arial" w:hAnsi="Arial" w:cs="Arial"/>
          <w:b/>
          <w:bCs/>
          <w:sz w:val="20"/>
          <w:szCs w:val="20"/>
        </w:rPr>
      </w:pPr>
    </w:p>
    <w:p w14:paraId="376B8852" w14:textId="77777777" w:rsidR="00FD66A3" w:rsidRPr="000C42E6" w:rsidRDefault="00FD66A3" w:rsidP="00FD66A3">
      <w:pPr>
        <w:spacing w:after="0" w:line="240" w:lineRule="auto"/>
        <w:jc w:val="both"/>
        <w:rPr>
          <w:rFonts w:ascii="Arial" w:hAnsi="Arial" w:cs="Arial"/>
          <w:b/>
          <w:bCs/>
          <w:sz w:val="20"/>
          <w:szCs w:val="20"/>
        </w:rPr>
      </w:pPr>
      <w:r w:rsidRPr="000C42E6">
        <w:rPr>
          <w:rFonts w:ascii="Arial" w:hAnsi="Arial" w:cs="Arial"/>
          <w:b/>
          <w:bCs/>
          <w:sz w:val="20"/>
          <w:szCs w:val="20"/>
        </w:rPr>
        <w:t>Planeación del desarrollo</w:t>
      </w:r>
    </w:p>
    <w:p w14:paraId="33597381" w14:textId="77777777" w:rsidR="00FD66A3" w:rsidRPr="000C42E6" w:rsidRDefault="00FD66A3" w:rsidP="00FD66A3">
      <w:pPr>
        <w:spacing w:after="0" w:line="240" w:lineRule="auto"/>
        <w:jc w:val="both"/>
        <w:rPr>
          <w:rFonts w:ascii="Arial" w:hAnsi="Arial" w:cs="Arial"/>
          <w:b/>
          <w:sz w:val="20"/>
          <w:szCs w:val="20"/>
        </w:rPr>
      </w:pPr>
    </w:p>
    <w:p w14:paraId="09B0DACF"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La  estructura del Plan Estatal de Desarrollo 2024-2030 cumple lo establecido en la ley de Planeación del Estado de Tabasco y en la Ley para el Desarrollo Económico Sostenible del Estado de Tabasco del 12 de noviembre de 2019; y se alinea con los Objetivos del Desarrollo Sostenible (ODS) de la agenda 2030, a través de los temas incluidos en los 13 sectores que forman parte de los 10 ejes transformadores de dicho Plan.</w:t>
      </w:r>
    </w:p>
    <w:p w14:paraId="60C6DA7D" w14:textId="77777777" w:rsidR="00FD66A3" w:rsidRPr="000C42E6" w:rsidRDefault="00FD66A3" w:rsidP="00FD66A3">
      <w:pPr>
        <w:spacing w:after="0" w:line="240" w:lineRule="auto"/>
        <w:jc w:val="both"/>
        <w:rPr>
          <w:rFonts w:ascii="Arial" w:hAnsi="Arial" w:cs="Arial"/>
          <w:b/>
          <w:sz w:val="20"/>
          <w:szCs w:val="20"/>
        </w:rPr>
      </w:pPr>
    </w:p>
    <w:p w14:paraId="47B8DC74"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Además, atendiendo los criterios establecidos en la normatividad federal y estatal, las acciones establecidas por el Gobierno del Estado, se alinean a las emprendidas por el Gobierno Federal, con el propósito de conjuntar esfuerzos, recursos y visiones, que contribuyan a mejorar la calidad de vida de los tabasqueños. Los compromisos y los denominados pasos por la transformación, asumidos durante las campañas electorales, quedan consignados como plan de trabajo para la administración 2024 – 2030, a través de una coordinación interinstitucional.</w:t>
      </w:r>
    </w:p>
    <w:p w14:paraId="19EE2F53" w14:textId="77777777" w:rsidR="00FD66A3" w:rsidRPr="000C42E6" w:rsidRDefault="00FD66A3" w:rsidP="00FD66A3">
      <w:pPr>
        <w:spacing w:after="0" w:line="240" w:lineRule="auto"/>
        <w:jc w:val="both"/>
        <w:rPr>
          <w:rFonts w:ascii="Arial" w:hAnsi="Arial" w:cs="Arial"/>
          <w:b/>
          <w:sz w:val="20"/>
          <w:szCs w:val="20"/>
        </w:rPr>
      </w:pPr>
    </w:p>
    <w:p w14:paraId="619A4D2E"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Para el desarrollo de sus funciones, el Gobierno del Estado de Tabasco obtiene los recursos económicos previstos en la Ley de Ingresos del Estado, que por su origen son los siguientes:</w:t>
      </w:r>
    </w:p>
    <w:p w14:paraId="778FC93B" w14:textId="77777777" w:rsidR="00FD66A3" w:rsidRPr="000C42E6" w:rsidRDefault="00FD66A3" w:rsidP="00FD66A3">
      <w:pPr>
        <w:spacing w:after="0" w:line="240" w:lineRule="auto"/>
        <w:rPr>
          <w:rFonts w:ascii="Arial" w:hAnsi="Arial" w:cs="Arial"/>
          <w:b/>
          <w:sz w:val="20"/>
          <w:szCs w:val="20"/>
        </w:rPr>
      </w:pPr>
    </w:p>
    <w:p w14:paraId="6227CF5F" w14:textId="77777777" w:rsidR="00FD66A3" w:rsidRPr="000C42E6" w:rsidRDefault="00FD66A3" w:rsidP="00FD66A3">
      <w:pPr>
        <w:numPr>
          <w:ilvl w:val="0"/>
          <w:numId w:val="13"/>
        </w:numPr>
        <w:spacing w:after="0" w:line="240" w:lineRule="auto"/>
        <w:jc w:val="both"/>
        <w:rPr>
          <w:rFonts w:ascii="Arial" w:hAnsi="Arial" w:cs="Arial"/>
          <w:b/>
          <w:sz w:val="20"/>
          <w:szCs w:val="20"/>
        </w:rPr>
      </w:pPr>
      <w:r w:rsidRPr="000C42E6">
        <w:rPr>
          <w:rFonts w:ascii="Arial" w:hAnsi="Arial" w:cs="Arial"/>
          <w:b/>
          <w:bCs/>
          <w:sz w:val="20"/>
          <w:szCs w:val="20"/>
        </w:rPr>
        <w:t xml:space="preserve">Ingresos propios: </w:t>
      </w:r>
      <w:r w:rsidRPr="000C42E6">
        <w:rPr>
          <w:rFonts w:ascii="Arial" w:hAnsi="Arial" w:cs="Arial"/>
          <w:b/>
          <w:sz w:val="20"/>
          <w:szCs w:val="20"/>
        </w:rPr>
        <w:t>principalmente impuestos, derechos, productos y aprovechamientos,</w:t>
      </w:r>
    </w:p>
    <w:p w14:paraId="2C4B61EE" w14:textId="798124BB" w:rsidR="00FD66A3" w:rsidRPr="000C42E6" w:rsidRDefault="00FD66A3" w:rsidP="00FD66A3">
      <w:pPr>
        <w:numPr>
          <w:ilvl w:val="0"/>
          <w:numId w:val="13"/>
        </w:numPr>
        <w:spacing w:after="0" w:line="240" w:lineRule="auto"/>
        <w:jc w:val="both"/>
        <w:rPr>
          <w:rFonts w:ascii="Arial" w:hAnsi="Arial" w:cs="Arial"/>
          <w:b/>
          <w:sz w:val="20"/>
          <w:szCs w:val="20"/>
        </w:rPr>
      </w:pPr>
      <w:r w:rsidRPr="000C42E6">
        <w:rPr>
          <w:rFonts w:ascii="Arial" w:hAnsi="Arial" w:cs="Arial"/>
          <w:b/>
          <w:bCs/>
          <w:sz w:val="20"/>
          <w:szCs w:val="20"/>
        </w:rPr>
        <w:t>Participaciones federales</w:t>
      </w:r>
      <w:r w:rsidRPr="000C42E6">
        <w:rPr>
          <w:rFonts w:ascii="Arial" w:hAnsi="Arial" w:cs="Arial"/>
          <w:b/>
          <w:sz w:val="20"/>
          <w:szCs w:val="20"/>
        </w:rPr>
        <w:t>: de conformidad  con la Ley de Coordinación Fiscal, el Gobierno del Estado de Tabasco tiene derecho a participar de la recaudación  fed</w:t>
      </w:r>
      <w:r w:rsidR="00D413BE" w:rsidRPr="000C42E6">
        <w:rPr>
          <w:rFonts w:ascii="Arial" w:hAnsi="Arial" w:cs="Arial"/>
          <w:b/>
          <w:sz w:val="20"/>
          <w:szCs w:val="20"/>
        </w:rPr>
        <w:t>eral</w:t>
      </w:r>
      <w:r w:rsidRPr="000C42E6">
        <w:rPr>
          <w:rFonts w:ascii="Arial" w:hAnsi="Arial" w:cs="Arial"/>
          <w:b/>
          <w:sz w:val="20"/>
          <w:szCs w:val="20"/>
        </w:rPr>
        <w:t>, de acuerdo a criterios formales de distribución establecidos en las mismas disposiciones,</w:t>
      </w:r>
    </w:p>
    <w:p w14:paraId="62F8A8F2" w14:textId="77777777" w:rsidR="00FD66A3" w:rsidRPr="000C42E6" w:rsidRDefault="00FD66A3" w:rsidP="00FD66A3">
      <w:pPr>
        <w:numPr>
          <w:ilvl w:val="0"/>
          <w:numId w:val="13"/>
        </w:numPr>
        <w:spacing w:after="0" w:line="240" w:lineRule="auto"/>
        <w:jc w:val="both"/>
        <w:rPr>
          <w:rFonts w:ascii="Arial" w:hAnsi="Arial" w:cs="Arial"/>
          <w:b/>
          <w:sz w:val="20"/>
          <w:szCs w:val="20"/>
        </w:rPr>
      </w:pPr>
      <w:r w:rsidRPr="000C42E6">
        <w:rPr>
          <w:rFonts w:ascii="Arial" w:hAnsi="Arial" w:cs="Arial"/>
          <w:b/>
          <w:bCs/>
          <w:sz w:val="20"/>
          <w:szCs w:val="20"/>
        </w:rPr>
        <w:t xml:space="preserve">Aportaciones federales: </w:t>
      </w:r>
      <w:r w:rsidRPr="000C42E6">
        <w:rPr>
          <w:rFonts w:ascii="Arial" w:hAnsi="Arial" w:cs="Arial"/>
          <w:b/>
          <w:sz w:val="20"/>
          <w:szCs w:val="20"/>
        </w:rPr>
        <w:t>son principalmente ingresos federales coordinados e ingresos provenientes del Ramo 33,</w:t>
      </w:r>
    </w:p>
    <w:p w14:paraId="787642AC" w14:textId="77777777" w:rsidR="00FD66A3" w:rsidRPr="000C42E6" w:rsidRDefault="00FD66A3" w:rsidP="00FD66A3">
      <w:pPr>
        <w:numPr>
          <w:ilvl w:val="0"/>
          <w:numId w:val="13"/>
        </w:numPr>
        <w:spacing w:after="0" w:line="240" w:lineRule="auto"/>
        <w:jc w:val="both"/>
        <w:rPr>
          <w:rFonts w:ascii="Arial" w:hAnsi="Arial" w:cs="Arial"/>
          <w:b/>
          <w:sz w:val="20"/>
          <w:szCs w:val="20"/>
        </w:rPr>
      </w:pPr>
      <w:r w:rsidRPr="000C42E6">
        <w:rPr>
          <w:rFonts w:ascii="Arial" w:hAnsi="Arial" w:cs="Arial"/>
          <w:b/>
          <w:sz w:val="20"/>
          <w:szCs w:val="20"/>
        </w:rPr>
        <w:t>Convenios principalmente  de Medio Ambiente y Recursos Naturales y de Educación,</w:t>
      </w:r>
    </w:p>
    <w:p w14:paraId="6BE8BCDD" w14:textId="77777777" w:rsidR="00FD66A3" w:rsidRPr="000C42E6" w:rsidRDefault="00FD66A3" w:rsidP="00FD66A3">
      <w:pPr>
        <w:numPr>
          <w:ilvl w:val="0"/>
          <w:numId w:val="13"/>
        </w:numPr>
        <w:spacing w:after="0" w:line="240" w:lineRule="auto"/>
        <w:jc w:val="both"/>
        <w:rPr>
          <w:rFonts w:ascii="Arial" w:hAnsi="Arial" w:cs="Arial"/>
          <w:b/>
          <w:sz w:val="20"/>
          <w:szCs w:val="20"/>
        </w:rPr>
      </w:pPr>
      <w:r w:rsidRPr="000C42E6">
        <w:rPr>
          <w:rFonts w:ascii="Arial" w:hAnsi="Arial" w:cs="Arial"/>
          <w:b/>
          <w:sz w:val="20"/>
          <w:szCs w:val="20"/>
        </w:rPr>
        <w:t>Incentivos Derivados de la Colaboración Fiscal, Fondos Distintos de Aportaciones, Transferencias, Asignaciones, Subsidios y Subvenciones  y Pensiones y Jubilaciones.</w:t>
      </w:r>
    </w:p>
    <w:p w14:paraId="31216492" w14:textId="0D350CA5" w:rsidR="00FD66A3" w:rsidRDefault="00E30052" w:rsidP="00FD66A3">
      <w:pPr>
        <w:spacing w:after="0" w:line="240" w:lineRule="auto"/>
        <w:jc w:val="both"/>
        <w:rPr>
          <w:rFonts w:ascii="Arial" w:hAnsi="Arial" w:cs="Arial"/>
          <w:b/>
          <w:sz w:val="20"/>
          <w:szCs w:val="20"/>
        </w:rPr>
      </w:pPr>
      <w:r w:rsidRPr="00E30052">
        <w:rPr>
          <w:rFonts w:ascii="Arial" w:hAnsi="Arial" w:cs="Arial"/>
          <w:b/>
          <w:sz w:val="20"/>
          <w:szCs w:val="20"/>
        </w:rPr>
        <w:lastRenderedPageBreak/>
        <w:t>El Estado de Tabasco está adherido al Sistema Nacional de Coordinación Fiscal mediante convenio. De igual forma con la Federación en materia recaudatoria Federal, en colaboración administrativa; lo que representa proporciones constantes de recaudación,  a cambio de no mantener en vigor impuestos estatales o municipales que vayan en contra de las limitaciones señaladas en las Leyes Federales.</w:t>
      </w:r>
    </w:p>
    <w:p w14:paraId="4732CED0" w14:textId="77777777" w:rsidR="00E30052" w:rsidRPr="000C42E6" w:rsidRDefault="00E30052" w:rsidP="00FD66A3">
      <w:pPr>
        <w:spacing w:after="0" w:line="240" w:lineRule="auto"/>
        <w:jc w:val="both"/>
        <w:rPr>
          <w:rFonts w:ascii="Arial" w:hAnsi="Arial" w:cs="Arial"/>
          <w:b/>
          <w:sz w:val="20"/>
          <w:szCs w:val="20"/>
        </w:rPr>
      </w:pPr>
    </w:p>
    <w:p w14:paraId="691BF074" w14:textId="77777777" w:rsidR="00FD66A3" w:rsidRPr="000C42E6" w:rsidRDefault="00FD66A3" w:rsidP="00FD66A3">
      <w:pPr>
        <w:numPr>
          <w:ilvl w:val="0"/>
          <w:numId w:val="10"/>
        </w:numPr>
        <w:spacing w:after="0" w:line="240" w:lineRule="auto"/>
        <w:rPr>
          <w:rFonts w:ascii="Arial" w:hAnsi="Arial" w:cs="Arial"/>
          <w:b/>
          <w:sz w:val="20"/>
          <w:szCs w:val="20"/>
        </w:rPr>
      </w:pPr>
      <w:r w:rsidRPr="000C42E6">
        <w:rPr>
          <w:rFonts w:ascii="Arial" w:hAnsi="Arial" w:cs="Arial"/>
          <w:b/>
          <w:sz w:val="20"/>
          <w:szCs w:val="20"/>
        </w:rPr>
        <w:t>Organización y Objeto Social</w:t>
      </w:r>
    </w:p>
    <w:p w14:paraId="6FE493EA" w14:textId="77777777" w:rsidR="00FD66A3" w:rsidRPr="000C42E6" w:rsidRDefault="00FD66A3" w:rsidP="00FD66A3">
      <w:pPr>
        <w:spacing w:after="0" w:line="240" w:lineRule="auto"/>
        <w:rPr>
          <w:rFonts w:ascii="Arial" w:hAnsi="Arial" w:cs="Arial"/>
          <w:b/>
          <w:sz w:val="20"/>
          <w:szCs w:val="20"/>
        </w:rPr>
      </w:pPr>
    </w:p>
    <w:p w14:paraId="2F0B68ED" w14:textId="77777777" w:rsidR="00FD66A3" w:rsidRPr="000C42E6" w:rsidRDefault="00FD66A3" w:rsidP="00FD66A3">
      <w:pPr>
        <w:numPr>
          <w:ilvl w:val="0"/>
          <w:numId w:val="1"/>
        </w:numPr>
        <w:spacing w:after="0" w:line="240" w:lineRule="auto"/>
        <w:jc w:val="both"/>
        <w:rPr>
          <w:rFonts w:ascii="Arial" w:hAnsi="Arial" w:cs="Arial"/>
          <w:b/>
          <w:sz w:val="20"/>
          <w:szCs w:val="20"/>
        </w:rPr>
      </w:pPr>
      <w:r w:rsidRPr="000C42E6">
        <w:rPr>
          <w:rFonts w:ascii="Arial" w:hAnsi="Arial" w:cs="Arial"/>
          <w:b/>
          <w:bCs/>
          <w:sz w:val="20"/>
          <w:szCs w:val="20"/>
        </w:rPr>
        <w:t>Objeto:</w:t>
      </w:r>
      <w:r w:rsidRPr="000C42E6">
        <w:rPr>
          <w:rFonts w:ascii="Arial" w:hAnsi="Arial" w:cs="Arial"/>
          <w:b/>
          <w:sz w:val="20"/>
          <w:szCs w:val="20"/>
        </w:rPr>
        <w:t xml:space="preserve"> La Constitución Política del Estado Libre y Soberano de Tabasco, en su artículo 76, señala que corresponde al Estado la rectoría del desarrollo en la entidad, para garantizar que sea integral, fortalezca su soberanía y su régimen democrático y mediante el crecimiento económico, fomente el empleo, y una más justa distribución del ingreso y la riqueza, permita el pleno ejercicio de las libertades y la dignidad de los individuos, grupos y clases sociales cuya seguridad protege el derecho.</w:t>
      </w:r>
    </w:p>
    <w:p w14:paraId="63C51BBF" w14:textId="77777777" w:rsidR="00FD66A3" w:rsidRPr="000C42E6" w:rsidRDefault="00FD66A3" w:rsidP="00FD66A3">
      <w:pPr>
        <w:spacing w:after="0" w:line="240" w:lineRule="auto"/>
        <w:jc w:val="both"/>
        <w:rPr>
          <w:rFonts w:ascii="Arial" w:hAnsi="Arial" w:cs="Arial"/>
          <w:b/>
          <w:sz w:val="20"/>
          <w:szCs w:val="20"/>
        </w:rPr>
      </w:pPr>
    </w:p>
    <w:p w14:paraId="1BC64B73" w14:textId="77777777" w:rsidR="00FD66A3" w:rsidRPr="000C42E6" w:rsidRDefault="00FD66A3" w:rsidP="00FD66A3">
      <w:pPr>
        <w:numPr>
          <w:ilvl w:val="0"/>
          <w:numId w:val="2"/>
        </w:numPr>
        <w:spacing w:after="0" w:line="240" w:lineRule="auto"/>
        <w:jc w:val="both"/>
        <w:rPr>
          <w:rFonts w:ascii="Arial" w:hAnsi="Arial" w:cs="Arial"/>
          <w:b/>
          <w:sz w:val="20"/>
          <w:szCs w:val="20"/>
        </w:rPr>
      </w:pPr>
      <w:r w:rsidRPr="000C42E6">
        <w:rPr>
          <w:rFonts w:ascii="Arial" w:hAnsi="Arial" w:cs="Arial"/>
          <w:b/>
          <w:bCs/>
          <w:sz w:val="20"/>
          <w:szCs w:val="20"/>
        </w:rPr>
        <w:t>Principales Actividades y Atribuciones:  L</w:t>
      </w:r>
      <w:r w:rsidRPr="000C42E6">
        <w:rPr>
          <w:rFonts w:ascii="Arial" w:hAnsi="Arial" w:cs="Arial"/>
          <w:b/>
          <w:sz w:val="20"/>
          <w:szCs w:val="20"/>
        </w:rPr>
        <w:t>a Administración Pública Estatal ajusta la planeación y ejecución de las políticas públicas, así como el ejercicio de sus facultades, a los siguientes principios:</w:t>
      </w:r>
    </w:p>
    <w:p w14:paraId="2149452F" w14:textId="77777777" w:rsidR="00FD66A3" w:rsidRPr="000C42E6" w:rsidRDefault="00FD66A3" w:rsidP="00FD66A3">
      <w:pPr>
        <w:spacing w:after="0" w:line="240" w:lineRule="auto"/>
        <w:jc w:val="both"/>
        <w:rPr>
          <w:rFonts w:ascii="Arial" w:hAnsi="Arial" w:cs="Arial"/>
          <w:b/>
          <w:sz w:val="20"/>
          <w:szCs w:val="20"/>
        </w:rPr>
      </w:pPr>
    </w:p>
    <w:p w14:paraId="12EFDDB7"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Legalidad, honradez, lealtad, imparcialidad, eficiencia, eficacia, disciplina, objetividad, profesionalismo, integridad, austeridad y rendición de cuentas, que deben observarse en el desempeño de los empleos, cargos o comisiones del servicio público y en la planeación, adquisición, guarda y administración de los recursos económicos y bienes de que disponga el Gobierno del Estado;</w:t>
      </w:r>
    </w:p>
    <w:p w14:paraId="17196D74"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El respeto a los derechos humanos y su promoción transversal y permanente; con especial atención a la igualdad de género y el cuidado a grupos vulnerables;</w:t>
      </w:r>
    </w:p>
    <w:p w14:paraId="4588C8EB"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La construcción de ciudadanía a través de la identificación de la sociedad tabasqueña con el orden jurídico y la permanente promoción de la cultura de la legalidad;</w:t>
      </w:r>
    </w:p>
    <w:p w14:paraId="2B90A7AE"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La conjunción de esfuerzos para mejorar el bienestar individual y colectivo de los tabasqueños y aumentar su expectativa de vida;</w:t>
      </w:r>
    </w:p>
    <w:p w14:paraId="677D7C8D"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La disminución de la pobreza y la marginación, generando oportunidades de desarrollo individual y colectivo para los grupos más vulnerables, fomentando la solidaridad y las soluciones colectivas;</w:t>
      </w:r>
    </w:p>
    <w:p w14:paraId="54200BDB"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Fomentar el cuidado del medio ambiente y la reparación de los daños ocasionados a éste, así como la generación de una nueva cultura en materia de protección ambiental que garantice a las nuevas generaciones el desarrollo sustentable;</w:t>
      </w:r>
    </w:p>
    <w:p w14:paraId="6C73BA35"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La mejoría a la competitividad del Estado con la aplicación de políticas públicas idóneas y la utilización de indicadores adecuados para evaluar el cumplimiento de los planes y programas de gobierno, garantizando su correcta ejecución y la transparencia en el uso de los recursos;</w:t>
      </w:r>
    </w:p>
    <w:p w14:paraId="2EBB6171"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La promoción de la participación responsable y solidaria de la sociedad civil organizada en la planeación y ejecución de las políticas públicas. La Administración Pública no sirve a intereses particulares, de grupo o de partido político, sólo sirve al interés general;</w:t>
      </w:r>
    </w:p>
    <w:p w14:paraId="6595EBF6"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La generación en los servidores públicos de una actitud de compromiso, calidad y calidez en la atención en territorio de las necesidades de la población, como normas invariables de conducta al servicio de la comunidad;</w:t>
      </w:r>
    </w:p>
    <w:p w14:paraId="438A3A3F"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Solidaridad, trabajo de coordinación y equipo, en el quehacer gubernamental diario, entre todos los servidores de la Administración Pública del Estado;</w:t>
      </w:r>
    </w:p>
    <w:p w14:paraId="28E962B9"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Simplificación, agilidad, accesibilidad, economía, información, precisión, legalidad, transparencia, oportunidad e imparcialidad en los actos y procedimientos administrativos en general; y</w:t>
      </w:r>
    </w:p>
    <w:p w14:paraId="1C7D12E6" w14:textId="77777777" w:rsidR="00FD66A3" w:rsidRPr="000C42E6" w:rsidRDefault="00FD66A3" w:rsidP="00FD66A3">
      <w:pPr>
        <w:numPr>
          <w:ilvl w:val="1"/>
          <w:numId w:val="2"/>
        </w:numPr>
        <w:spacing w:after="0" w:line="240" w:lineRule="auto"/>
        <w:jc w:val="both"/>
        <w:rPr>
          <w:rFonts w:ascii="Arial" w:hAnsi="Arial" w:cs="Arial"/>
          <w:b/>
          <w:sz w:val="20"/>
          <w:szCs w:val="20"/>
        </w:rPr>
      </w:pPr>
      <w:r w:rsidRPr="000C42E6">
        <w:rPr>
          <w:rFonts w:ascii="Arial" w:hAnsi="Arial" w:cs="Arial"/>
          <w:b/>
          <w:sz w:val="20"/>
          <w:szCs w:val="20"/>
        </w:rPr>
        <w:t>Cobertura total, oportuna, ágil y especializada de los servicios de seguridad pública y procuración de justicia para la protección de las personas, sus familias y sus bienes, sin distinción alguna;</w:t>
      </w:r>
    </w:p>
    <w:p w14:paraId="054AC42B"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lastRenderedPageBreak/>
        <w:t>El Gobierno del Estado, promoverá la participación de organizaciones ciudadanas a efecto de fomentar la libre expresión de opiniones y recomendaciones de la sociedad respecto de la vigilancia, seguimiento, evaluación y mejoramiento de la administración pública en las diferentes Dependencias y Entidades.</w:t>
      </w:r>
    </w:p>
    <w:p w14:paraId="20546B75" w14:textId="77777777" w:rsidR="00FD66A3" w:rsidRPr="000C42E6" w:rsidRDefault="00FD66A3" w:rsidP="00FD66A3">
      <w:pPr>
        <w:spacing w:after="0" w:line="240" w:lineRule="auto"/>
        <w:rPr>
          <w:rFonts w:ascii="Arial" w:hAnsi="Arial" w:cs="Arial"/>
          <w:b/>
          <w:sz w:val="20"/>
          <w:szCs w:val="20"/>
        </w:rPr>
      </w:pPr>
    </w:p>
    <w:p w14:paraId="61AB2611" w14:textId="77777777" w:rsidR="00FD66A3" w:rsidRPr="000C42E6" w:rsidRDefault="00FD66A3" w:rsidP="00FD66A3">
      <w:pPr>
        <w:numPr>
          <w:ilvl w:val="0"/>
          <w:numId w:val="3"/>
        </w:numPr>
        <w:spacing w:after="0" w:line="240" w:lineRule="auto"/>
        <w:jc w:val="both"/>
        <w:rPr>
          <w:rFonts w:ascii="Arial" w:hAnsi="Arial" w:cs="Arial"/>
          <w:b/>
          <w:sz w:val="20"/>
          <w:szCs w:val="20"/>
        </w:rPr>
      </w:pPr>
      <w:r w:rsidRPr="000C42E6">
        <w:rPr>
          <w:rFonts w:ascii="Arial" w:hAnsi="Arial" w:cs="Arial"/>
          <w:b/>
          <w:bCs/>
          <w:sz w:val="20"/>
          <w:szCs w:val="20"/>
        </w:rPr>
        <w:t xml:space="preserve">Ejercicio Fiscal: </w:t>
      </w:r>
      <w:r w:rsidRPr="000C42E6">
        <w:rPr>
          <w:rFonts w:ascii="Arial" w:hAnsi="Arial" w:cs="Arial"/>
          <w:b/>
          <w:sz w:val="20"/>
          <w:szCs w:val="20"/>
        </w:rPr>
        <w:t>Es por año de calendario. La información que se incluye en estas notas comprende del 1 de enero al 31 de diciembre de 2025.</w:t>
      </w:r>
    </w:p>
    <w:p w14:paraId="7DE04DB6" w14:textId="77777777" w:rsidR="00FD66A3" w:rsidRPr="000C42E6" w:rsidRDefault="00FD66A3" w:rsidP="00FD66A3">
      <w:pPr>
        <w:numPr>
          <w:ilvl w:val="0"/>
          <w:numId w:val="4"/>
        </w:numPr>
        <w:spacing w:after="0" w:line="240" w:lineRule="auto"/>
        <w:jc w:val="both"/>
        <w:rPr>
          <w:rFonts w:ascii="Arial" w:hAnsi="Arial" w:cs="Arial"/>
          <w:b/>
          <w:sz w:val="20"/>
          <w:szCs w:val="20"/>
        </w:rPr>
      </w:pPr>
      <w:r w:rsidRPr="000C42E6">
        <w:rPr>
          <w:rFonts w:ascii="Arial" w:hAnsi="Arial" w:cs="Arial"/>
          <w:b/>
          <w:bCs/>
          <w:sz w:val="20"/>
          <w:szCs w:val="20"/>
        </w:rPr>
        <w:t xml:space="preserve">Régimen Fiscal: </w:t>
      </w:r>
      <w:r w:rsidRPr="000C42E6">
        <w:rPr>
          <w:rFonts w:ascii="Arial" w:hAnsi="Arial" w:cs="Arial"/>
          <w:b/>
          <w:sz w:val="20"/>
          <w:szCs w:val="20"/>
        </w:rPr>
        <w:t>El Gobierno del Estado de Tabasco, está en el Sistema de Administración Tributaria como persona moral sin fines de lucro.</w:t>
      </w:r>
    </w:p>
    <w:p w14:paraId="211242C5" w14:textId="77777777" w:rsidR="00FD66A3" w:rsidRPr="000C42E6" w:rsidRDefault="00FD66A3" w:rsidP="00FD66A3">
      <w:pPr>
        <w:numPr>
          <w:ilvl w:val="0"/>
          <w:numId w:val="5"/>
        </w:numPr>
        <w:spacing w:after="0" w:line="240" w:lineRule="auto"/>
        <w:jc w:val="both"/>
        <w:rPr>
          <w:rFonts w:ascii="Arial" w:hAnsi="Arial" w:cs="Arial"/>
          <w:b/>
          <w:sz w:val="20"/>
          <w:szCs w:val="20"/>
        </w:rPr>
      </w:pPr>
      <w:r w:rsidRPr="000C42E6">
        <w:rPr>
          <w:rFonts w:ascii="Arial" w:hAnsi="Arial" w:cs="Arial"/>
          <w:b/>
          <w:bCs/>
          <w:sz w:val="20"/>
          <w:szCs w:val="20"/>
        </w:rPr>
        <w:t>Consideraciones Fiscales</w:t>
      </w:r>
      <w:r w:rsidRPr="000C42E6">
        <w:rPr>
          <w:rFonts w:ascii="Arial" w:hAnsi="Arial" w:cs="Arial"/>
          <w:b/>
          <w:sz w:val="20"/>
          <w:szCs w:val="20"/>
        </w:rPr>
        <w:t>: De conformidad con el quinto párrafo del artículo 86 de la Ley del Impuesto Sobre la Renta vigente, el Gobierno del Estado únicamente tiene la obligación de retener y enterar dicho impuesto (ISR) y exigir comprobantes fiscales cuando se hagan pagos a terceros y estén obligados a ello en términos de Ley.</w:t>
      </w:r>
    </w:p>
    <w:p w14:paraId="54983896" w14:textId="77777777" w:rsidR="00FD66A3" w:rsidRPr="000C42E6" w:rsidRDefault="00FD66A3" w:rsidP="00FD66A3">
      <w:pPr>
        <w:numPr>
          <w:ilvl w:val="0"/>
          <w:numId w:val="6"/>
        </w:numPr>
        <w:spacing w:after="0" w:line="240" w:lineRule="auto"/>
        <w:jc w:val="both"/>
        <w:rPr>
          <w:rFonts w:ascii="Arial" w:hAnsi="Arial" w:cs="Arial"/>
          <w:b/>
          <w:sz w:val="20"/>
          <w:szCs w:val="20"/>
        </w:rPr>
      </w:pPr>
      <w:r w:rsidRPr="000C42E6">
        <w:rPr>
          <w:rFonts w:ascii="Arial" w:hAnsi="Arial" w:cs="Arial"/>
          <w:b/>
          <w:bCs/>
          <w:sz w:val="20"/>
          <w:szCs w:val="20"/>
        </w:rPr>
        <w:t xml:space="preserve">Estructura Organizacional Básica: </w:t>
      </w:r>
      <w:r w:rsidRPr="000C42E6">
        <w:rPr>
          <w:rFonts w:ascii="Arial" w:hAnsi="Arial" w:cs="Arial"/>
          <w:b/>
          <w:sz w:val="20"/>
          <w:szCs w:val="20"/>
        </w:rPr>
        <w:t>Conforme a la Constitución Política del Estado Libre y Soberano de Tabasco y la Ley Orgánica del Poder Ejecutivo del Estado, la administración pública se clasifica en centralizada y paraestatal. La Oficina de la Gubernatura, las Secretarías y la Consejería Jurídica, integran la Administración Pública Centralizada y podrán contar además con órganos administrativos desconcentrados, dotados de autonomía técnica y funcional. Por otra parte, los organismos descentralizados, empresas de participación estatal mayoritaria y fideicomisos, forman la administración pública paraestatal y gozan de autonomía de gestión para el cabal cumplimiento de los objetivos y metas señalados en los programas. El Estado de Tabasco en su organización política y administrativa se integra de 17 municipios.</w:t>
      </w:r>
    </w:p>
    <w:p w14:paraId="6EBFB518" w14:textId="77777777" w:rsidR="00FD66A3" w:rsidRPr="000C42E6" w:rsidRDefault="00FD66A3" w:rsidP="00FD66A3">
      <w:pPr>
        <w:spacing w:after="0" w:line="240" w:lineRule="auto"/>
        <w:jc w:val="both"/>
        <w:rPr>
          <w:rFonts w:ascii="Arial" w:hAnsi="Arial" w:cs="Arial"/>
          <w:b/>
          <w:sz w:val="20"/>
          <w:szCs w:val="20"/>
        </w:rPr>
      </w:pPr>
    </w:p>
    <w:p w14:paraId="4B935B6B"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bCs/>
          <w:sz w:val="20"/>
          <w:szCs w:val="20"/>
        </w:rPr>
        <w:t xml:space="preserve">         g. Fideicomisos, mandatos y análogos de los cuales es fideicomitente o fideicomisario: </w:t>
      </w:r>
    </w:p>
    <w:p w14:paraId="6F2701E4" w14:textId="77777777" w:rsidR="00FD66A3" w:rsidRPr="000C42E6" w:rsidRDefault="00FD66A3" w:rsidP="00FD66A3">
      <w:pPr>
        <w:spacing w:after="0" w:line="240" w:lineRule="auto"/>
        <w:rPr>
          <w:rFonts w:ascii="Arial" w:hAnsi="Arial" w:cs="Arial"/>
          <w:b/>
          <w:sz w:val="20"/>
          <w:szCs w:val="20"/>
        </w:rPr>
      </w:pPr>
    </w:p>
    <w:p w14:paraId="468088DB" w14:textId="2752D2B6"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         </w:t>
      </w:r>
      <w:proofErr w:type="spellStart"/>
      <w:r w:rsidRPr="000C42E6">
        <w:rPr>
          <w:rFonts w:ascii="Arial" w:hAnsi="Arial" w:cs="Arial"/>
          <w:b/>
          <w:sz w:val="20"/>
          <w:szCs w:val="20"/>
        </w:rPr>
        <w:t>g.a</w:t>
      </w:r>
      <w:proofErr w:type="spellEnd"/>
      <w:r w:rsidRPr="000C42E6">
        <w:rPr>
          <w:rFonts w:ascii="Arial" w:hAnsi="Arial" w:cs="Arial"/>
          <w:b/>
          <w:sz w:val="20"/>
          <w:szCs w:val="20"/>
        </w:rPr>
        <w:t xml:space="preserve">  Como fideicomitente, el Gobierno del Estado de Tabasco a través de la Secretaría de Administración y Finanzas, participa con </w:t>
      </w:r>
      <w:r w:rsidR="00170994" w:rsidRPr="000C42E6">
        <w:rPr>
          <w:rFonts w:ascii="Arial" w:hAnsi="Arial" w:cs="Arial"/>
          <w:b/>
          <w:sz w:val="20"/>
          <w:szCs w:val="20"/>
        </w:rPr>
        <w:t>recursos financieros en seis</w:t>
      </w:r>
      <w:r w:rsidRPr="000C42E6">
        <w:rPr>
          <w:rFonts w:ascii="Arial" w:hAnsi="Arial" w:cs="Arial"/>
          <w:b/>
          <w:sz w:val="20"/>
          <w:szCs w:val="20"/>
        </w:rPr>
        <w:t xml:space="preserve"> fideicomisos sin estructura orgánica. Por tal motivo y con fundamento en el artículo 32 de la Ley General de Contabilidad Gubernamental, así como en el acuerdo del Consejo Nacional de Armonización Contable por el que emitió los  Lineamientos que deberán observar los entes públicos para registrar en las cuentas de activo los fideicomisos sin estructura orgánica y contratos análogos, incluyendo mandatos, contabiliza en una cuenta de Activo los derechos patrimoniales que tiene en dichos fideicomisos sin estructura orgánica, los cuales se detallan seguidamente:</w:t>
      </w:r>
    </w:p>
    <w:p w14:paraId="4C0F0B4E" w14:textId="77777777" w:rsidR="00FD66A3" w:rsidRPr="000C42E6" w:rsidRDefault="00FD66A3" w:rsidP="00FD66A3">
      <w:pPr>
        <w:spacing w:after="0" w:line="240" w:lineRule="auto"/>
        <w:jc w:val="both"/>
        <w:rPr>
          <w:rFonts w:ascii="Arial" w:hAnsi="Arial" w:cs="Arial"/>
          <w:b/>
          <w:sz w:val="20"/>
          <w:szCs w:val="20"/>
        </w:rPr>
      </w:pPr>
    </w:p>
    <w:p w14:paraId="30470A60" w14:textId="77777777" w:rsidR="00FD66A3" w:rsidRPr="000C42E6" w:rsidRDefault="00FD66A3" w:rsidP="00FD66A3">
      <w:pPr>
        <w:spacing w:after="0" w:line="240" w:lineRule="auto"/>
        <w:rPr>
          <w:rFonts w:ascii="Arial" w:hAnsi="Arial" w:cs="Arial"/>
          <w:b/>
          <w:sz w:val="20"/>
          <w:szCs w:val="20"/>
          <w:lang w:val="es-ES"/>
        </w:rPr>
      </w:pPr>
      <w:r w:rsidRPr="000C42E6">
        <w:rPr>
          <w:rFonts w:ascii="Arial" w:hAnsi="Arial" w:cs="Arial"/>
          <w:b/>
          <w:sz w:val="20"/>
          <w:szCs w:val="20"/>
        </w:rPr>
        <w:t xml:space="preserve">Total del Rubro $ </w:t>
      </w:r>
      <w:r w:rsidRPr="000C42E6">
        <w:rPr>
          <w:rFonts w:ascii="Arial" w:hAnsi="Arial" w:cs="Arial"/>
          <w:b/>
          <w:sz w:val="20"/>
          <w:szCs w:val="20"/>
          <w:lang w:val="es-ES"/>
        </w:rPr>
        <w:t>445</w:t>
      </w:r>
      <w:proofErr w:type="gramStart"/>
      <w:r w:rsidRPr="000C42E6">
        <w:rPr>
          <w:rFonts w:ascii="Arial" w:hAnsi="Arial" w:cs="Arial"/>
          <w:b/>
          <w:sz w:val="20"/>
          <w:szCs w:val="20"/>
          <w:lang w:val="es-ES"/>
        </w:rPr>
        <w:t>,710,902</w:t>
      </w:r>
      <w:proofErr w:type="gramEnd"/>
    </w:p>
    <w:p w14:paraId="3065DEB7"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ab/>
      </w:r>
    </w:p>
    <w:tbl>
      <w:tblPr>
        <w:tblW w:w="13462" w:type="dxa"/>
        <w:tblCellMar>
          <w:left w:w="70" w:type="dxa"/>
          <w:right w:w="70" w:type="dxa"/>
        </w:tblCellMar>
        <w:tblLook w:val="04A0" w:firstRow="1" w:lastRow="0" w:firstColumn="1" w:lastColumn="0" w:noHBand="0" w:noVBand="1"/>
      </w:tblPr>
      <w:tblGrid>
        <w:gridCol w:w="11902"/>
        <w:gridCol w:w="1560"/>
      </w:tblGrid>
      <w:tr w:rsidR="00FD66A3" w:rsidRPr="000C42E6" w14:paraId="02FE8D2E" w14:textId="77777777" w:rsidTr="00764DE5">
        <w:trPr>
          <w:trHeight w:val="915"/>
        </w:trPr>
        <w:tc>
          <w:tcPr>
            <w:tcW w:w="11902" w:type="dxa"/>
            <w:tcBorders>
              <w:top w:val="single" w:sz="4" w:space="0" w:color="auto"/>
              <w:left w:val="single" w:sz="4" w:space="0" w:color="auto"/>
              <w:bottom w:val="single" w:sz="4" w:space="0" w:color="auto"/>
              <w:right w:val="nil"/>
            </w:tcBorders>
            <w:vAlign w:val="center"/>
            <w:hideMark/>
          </w:tcPr>
          <w:p w14:paraId="4F1DE427" w14:textId="77777777" w:rsidR="00FD66A3" w:rsidRPr="000C42E6" w:rsidRDefault="00FD66A3" w:rsidP="00764DE5">
            <w:pPr>
              <w:spacing w:after="0" w:line="240" w:lineRule="auto"/>
              <w:jc w:val="both"/>
              <w:rPr>
                <w:rFonts w:ascii="Arial" w:hAnsi="Arial" w:cs="Arial"/>
                <w:b/>
                <w:sz w:val="20"/>
                <w:szCs w:val="20"/>
              </w:rPr>
            </w:pPr>
            <w:r w:rsidRPr="000C42E6">
              <w:rPr>
                <w:rFonts w:ascii="Arial" w:hAnsi="Arial" w:cs="Arial"/>
                <w:b/>
                <w:sz w:val="20"/>
                <w:szCs w:val="20"/>
              </w:rPr>
              <w:t>Fideicomisos Públicos sin estructura orgánica en los que el Gobierno del Estado de Tabasco es Fideicomitente a través de la Secretaría de Finanzas; con fundamento en los artículos 32 de la Ley General de Contabilidad Gubernamental; 10 de la Ley de Presupuesto y Responsabilidad Hacendaria del Estado de Tabasco y sus Municipios; así como en el acuerdo por el que el Consejo Nacional de Armonización Contable emitió los Lineamientos que deberán observar los entes públicos para registrar en las cuentas de activo los fideicomisos sin estructura orgánica y contratos análogos, incluyendo mandatos.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C6858F" w14:textId="77777777" w:rsidR="00FD66A3" w:rsidRPr="000C42E6" w:rsidRDefault="00FD66A3" w:rsidP="00764DE5">
            <w:pPr>
              <w:spacing w:after="0" w:line="240" w:lineRule="auto"/>
              <w:jc w:val="center"/>
              <w:rPr>
                <w:rFonts w:ascii="Arial" w:hAnsi="Arial" w:cs="Arial"/>
                <w:b/>
                <w:bCs/>
                <w:sz w:val="20"/>
                <w:szCs w:val="20"/>
              </w:rPr>
            </w:pPr>
            <w:r w:rsidRPr="000C42E6">
              <w:rPr>
                <w:rFonts w:ascii="Arial" w:hAnsi="Arial" w:cs="Arial"/>
                <w:b/>
                <w:bCs/>
                <w:sz w:val="20"/>
                <w:szCs w:val="20"/>
              </w:rPr>
              <w:t>Saldos al 31 diciembre 2025 (pesos)</w:t>
            </w:r>
          </w:p>
        </w:tc>
      </w:tr>
    </w:tbl>
    <w:tbl>
      <w:tblPr>
        <w:tblStyle w:val="Tablaconcuadrcula"/>
        <w:tblW w:w="13462" w:type="dxa"/>
        <w:tblLayout w:type="fixed"/>
        <w:tblLook w:val="04A0" w:firstRow="1" w:lastRow="0" w:firstColumn="1" w:lastColumn="0" w:noHBand="0" w:noVBand="1"/>
      </w:tblPr>
      <w:tblGrid>
        <w:gridCol w:w="11902"/>
        <w:gridCol w:w="1560"/>
      </w:tblGrid>
      <w:tr w:rsidR="00FD66A3" w:rsidRPr="000C42E6" w14:paraId="15716452" w14:textId="77777777" w:rsidTr="00764DE5">
        <w:trPr>
          <w:trHeight w:val="391"/>
        </w:trPr>
        <w:tc>
          <w:tcPr>
            <w:tcW w:w="11902" w:type="dxa"/>
            <w:tcBorders>
              <w:bottom w:val="single" w:sz="4" w:space="0" w:color="auto"/>
            </w:tcBorders>
            <w:vAlign w:val="center"/>
          </w:tcPr>
          <w:p w14:paraId="7A7AC319" w14:textId="77777777" w:rsidR="00FD66A3" w:rsidRPr="000C42E6" w:rsidRDefault="00FD66A3" w:rsidP="00764DE5">
            <w:pPr>
              <w:jc w:val="left"/>
              <w:rPr>
                <w:rFonts w:ascii="Arial" w:hAnsi="Arial" w:cs="Arial"/>
                <w:b/>
                <w:sz w:val="20"/>
                <w:szCs w:val="20"/>
              </w:rPr>
            </w:pPr>
            <w:r w:rsidRPr="000C42E6">
              <w:rPr>
                <w:rFonts w:ascii="Arial" w:hAnsi="Arial" w:cs="Arial"/>
                <w:b/>
                <w:bCs/>
                <w:sz w:val="20"/>
                <w:szCs w:val="20"/>
              </w:rPr>
              <w:t>Fideicomiso Irrevocable de Administración, Inversión, Garantía y Fuente de Pago. FIDEICOMISO MAESTRO</w:t>
            </w:r>
            <w:r w:rsidRPr="000C42E6">
              <w:rPr>
                <w:rFonts w:ascii="Arial" w:hAnsi="Arial" w:cs="Arial"/>
                <w:b/>
                <w:sz w:val="20"/>
                <w:szCs w:val="20"/>
              </w:rPr>
              <w:t xml:space="preserve"> </w:t>
            </w:r>
          </w:p>
          <w:p w14:paraId="529B886D"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Dependencia o sector: Secretaría de Administración y Finanzas </w:t>
            </w:r>
          </w:p>
          <w:p w14:paraId="33CD8F32"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Fiduciario: MULTIVA, S.A.  </w:t>
            </w:r>
          </w:p>
          <w:p w14:paraId="6FFB4395"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Tipo de fideicomiso: Administración, Inversión, Garantía y Fuente de Pago  </w:t>
            </w:r>
          </w:p>
          <w:p w14:paraId="155CA3D7" w14:textId="77777777" w:rsidR="00FD66A3" w:rsidRPr="000C42E6" w:rsidRDefault="00FD66A3" w:rsidP="00764DE5">
            <w:pPr>
              <w:jc w:val="both"/>
              <w:rPr>
                <w:rFonts w:ascii="Arial" w:hAnsi="Arial" w:cs="Arial"/>
                <w:b/>
                <w:bCs/>
                <w:sz w:val="20"/>
                <w:szCs w:val="20"/>
              </w:rPr>
            </w:pPr>
            <w:r w:rsidRPr="000C42E6">
              <w:rPr>
                <w:rFonts w:ascii="Arial" w:hAnsi="Arial" w:cs="Arial"/>
                <w:b/>
                <w:sz w:val="20"/>
                <w:szCs w:val="20"/>
              </w:rPr>
              <w:t xml:space="preserve">Para administración y pago de pasivos presentes o futuros a cargo del Fideicomitente, así como proveer garantías necesarias para su cumplimiento. Recibe de la Tesorería de la Federación las cantidades derivadas del ejercicio de los derechos sobre las participaciones </w:t>
            </w:r>
            <w:proofErr w:type="spellStart"/>
            <w:r w:rsidRPr="000C42E6">
              <w:rPr>
                <w:rFonts w:ascii="Arial" w:hAnsi="Arial" w:cs="Arial"/>
                <w:b/>
                <w:sz w:val="20"/>
                <w:szCs w:val="20"/>
              </w:rPr>
              <w:t>fideicomitidas</w:t>
            </w:r>
            <w:proofErr w:type="spellEnd"/>
            <w:r w:rsidRPr="000C42E6">
              <w:rPr>
                <w:rFonts w:ascii="Arial" w:hAnsi="Arial" w:cs="Arial"/>
                <w:b/>
                <w:sz w:val="20"/>
                <w:szCs w:val="20"/>
              </w:rPr>
              <w:t>, conforme a las disposiciones legales aplicables y a lo establecido en el Fideicomiso; el Fiduciario deposita dichas cantidades en la cuenta concentradora, realiza las operaciones de pago de capital e intereses de los financiamientos inscritos, pago de servicio de calificadoras y la devolución de los remanentes.</w:t>
            </w:r>
          </w:p>
        </w:tc>
        <w:tc>
          <w:tcPr>
            <w:tcW w:w="1560" w:type="dxa"/>
          </w:tcPr>
          <w:p w14:paraId="1E063A90" w14:textId="77777777" w:rsidR="00FD66A3" w:rsidRPr="000C42E6" w:rsidRDefault="00FD66A3" w:rsidP="00764DE5">
            <w:pPr>
              <w:jc w:val="left"/>
              <w:rPr>
                <w:rFonts w:ascii="Arial" w:hAnsi="Arial" w:cs="Arial"/>
                <w:b/>
                <w:sz w:val="20"/>
                <w:szCs w:val="20"/>
              </w:rPr>
            </w:pPr>
          </w:p>
          <w:p w14:paraId="7001566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  </w:t>
            </w:r>
          </w:p>
          <w:p w14:paraId="7E5D11DF" w14:textId="77777777" w:rsidR="00FD66A3" w:rsidRPr="000C42E6" w:rsidRDefault="00FD66A3" w:rsidP="00764DE5">
            <w:pPr>
              <w:jc w:val="left"/>
              <w:rPr>
                <w:rFonts w:ascii="Arial" w:hAnsi="Arial" w:cs="Arial"/>
                <w:b/>
                <w:sz w:val="20"/>
                <w:szCs w:val="20"/>
              </w:rPr>
            </w:pPr>
          </w:p>
          <w:p w14:paraId="53839178" w14:textId="77777777" w:rsidR="00FD66A3" w:rsidRPr="000C42E6" w:rsidRDefault="00FD66A3" w:rsidP="00764DE5">
            <w:pPr>
              <w:jc w:val="left"/>
              <w:rPr>
                <w:rFonts w:ascii="Arial" w:hAnsi="Arial" w:cs="Arial"/>
                <w:b/>
                <w:sz w:val="20"/>
                <w:szCs w:val="20"/>
              </w:rPr>
            </w:pPr>
          </w:p>
          <w:p w14:paraId="7970935D" w14:textId="77777777" w:rsidR="00FD66A3" w:rsidRPr="000C42E6" w:rsidRDefault="00FD66A3" w:rsidP="00764DE5">
            <w:pPr>
              <w:jc w:val="left"/>
              <w:rPr>
                <w:rFonts w:ascii="Arial" w:hAnsi="Arial" w:cs="Arial"/>
                <w:b/>
                <w:sz w:val="20"/>
                <w:szCs w:val="20"/>
              </w:rPr>
            </w:pPr>
          </w:p>
          <w:p w14:paraId="6ED250C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    114,615,825</w:t>
            </w:r>
          </w:p>
        </w:tc>
      </w:tr>
      <w:tr w:rsidR="00FD66A3" w:rsidRPr="000C42E6" w14:paraId="4A997B6F" w14:textId="77777777" w:rsidTr="00764DE5">
        <w:trPr>
          <w:trHeight w:val="391"/>
        </w:trPr>
        <w:tc>
          <w:tcPr>
            <w:tcW w:w="11902" w:type="dxa"/>
            <w:tcBorders>
              <w:bottom w:val="single" w:sz="4" w:space="0" w:color="auto"/>
            </w:tcBorders>
            <w:vAlign w:val="center"/>
          </w:tcPr>
          <w:p w14:paraId="3A224DAB" w14:textId="77777777" w:rsidR="00FD66A3" w:rsidRPr="000C42E6" w:rsidRDefault="00FD66A3" w:rsidP="00764DE5">
            <w:pPr>
              <w:jc w:val="left"/>
              <w:rPr>
                <w:rFonts w:ascii="Arial" w:hAnsi="Arial" w:cs="Arial"/>
                <w:b/>
                <w:sz w:val="20"/>
                <w:szCs w:val="20"/>
              </w:rPr>
            </w:pPr>
            <w:r w:rsidRPr="000C42E6">
              <w:rPr>
                <w:rFonts w:ascii="Arial" w:hAnsi="Arial" w:cs="Arial"/>
                <w:b/>
                <w:bCs/>
                <w:sz w:val="20"/>
                <w:szCs w:val="20"/>
              </w:rPr>
              <w:lastRenderedPageBreak/>
              <w:t>Fideicomiso Irrevocable de Administración, Inversión, Garantía y Fuente de Pago. FIDEICOMISO MAESTRO</w:t>
            </w:r>
            <w:r w:rsidRPr="000C42E6">
              <w:rPr>
                <w:rFonts w:ascii="Arial" w:hAnsi="Arial" w:cs="Arial"/>
                <w:b/>
                <w:sz w:val="20"/>
                <w:szCs w:val="20"/>
              </w:rPr>
              <w:t xml:space="preserve"> </w:t>
            </w:r>
          </w:p>
          <w:p w14:paraId="510A7595"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Dependencia o sector: Secretaría de Administración y Finanzas </w:t>
            </w:r>
          </w:p>
          <w:p w14:paraId="194DB48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BBVA México.</w:t>
            </w:r>
          </w:p>
          <w:p w14:paraId="5512E832"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Tipo de fideicomiso: Administración, Inversión, Garantía y Fuente de Pago </w:t>
            </w:r>
          </w:p>
          <w:p w14:paraId="5162A180" w14:textId="77777777" w:rsidR="00FD66A3" w:rsidRPr="000C42E6" w:rsidRDefault="00FD66A3" w:rsidP="00764DE5">
            <w:pPr>
              <w:jc w:val="both"/>
              <w:rPr>
                <w:rFonts w:ascii="Arial" w:hAnsi="Arial" w:cs="Arial"/>
                <w:b/>
                <w:bCs/>
                <w:sz w:val="20"/>
                <w:szCs w:val="20"/>
              </w:rPr>
            </w:pPr>
            <w:r w:rsidRPr="000C42E6">
              <w:rPr>
                <w:rFonts w:ascii="Arial" w:hAnsi="Arial" w:cs="Arial"/>
                <w:b/>
                <w:sz w:val="20"/>
                <w:szCs w:val="20"/>
              </w:rPr>
              <w:t xml:space="preserve">Para administración y pago de pasivos presentes o futuros a cargo del Fideicomitente, así como proveer garantías necesarias para su cumplimiento. Recibe de la Tesorería de la Federación las cantidades derivadas del ejercicio de los derechos sobre las participaciones </w:t>
            </w:r>
            <w:proofErr w:type="spellStart"/>
            <w:r w:rsidRPr="000C42E6">
              <w:rPr>
                <w:rFonts w:ascii="Arial" w:hAnsi="Arial" w:cs="Arial"/>
                <w:b/>
                <w:sz w:val="20"/>
                <w:szCs w:val="20"/>
              </w:rPr>
              <w:t>fideicomitidas</w:t>
            </w:r>
            <w:proofErr w:type="spellEnd"/>
            <w:r w:rsidRPr="000C42E6">
              <w:rPr>
                <w:rFonts w:ascii="Arial" w:hAnsi="Arial" w:cs="Arial"/>
                <w:b/>
                <w:sz w:val="20"/>
                <w:szCs w:val="20"/>
              </w:rPr>
              <w:t>, conforme a las disposiciones legales aplicables y a lo establecido en el Fideicomiso; el Fiduciario deposita dichas cantidades en la cuenta concentradora, realiza las operaciones de pago de capital e intereses de los financiamientos inscritos, pago de servicio de calificadoras y la devolución de los remanentes.</w:t>
            </w:r>
          </w:p>
        </w:tc>
        <w:tc>
          <w:tcPr>
            <w:tcW w:w="1560" w:type="dxa"/>
          </w:tcPr>
          <w:p w14:paraId="4FDA9573" w14:textId="77777777" w:rsidR="00FD66A3" w:rsidRPr="000C42E6" w:rsidRDefault="00FD66A3" w:rsidP="00764DE5">
            <w:pPr>
              <w:jc w:val="left"/>
              <w:rPr>
                <w:rFonts w:ascii="Arial" w:hAnsi="Arial" w:cs="Arial"/>
                <w:b/>
                <w:sz w:val="20"/>
                <w:szCs w:val="20"/>
              </w:rPr>
            </w:pPr>
          </w:p>
          <w:p w14:paraId="0FA4307A" w14:textId="77777777" w:rsidR="00FD66A3" w:rsidRPr="000C42E6" w:rsidRDefault="00FD66A3" w:rsidP="00764DE5">
            <w:pPr>
              <w:jc w:val="left"/>
              <w:rPr>
                <w:rFonts w:ascii="Arial" w:hAnsi="Arial" w:cs="Arial"/>
                <w:b/>
                <w:sz w:val="20"/>
                <w:szCs w:val="20"/>
              </w:rPr>
            </w:pPr>
          </w:p>
          <w:p w14:paraId="28E467AD" w14:textId="77777777" w:rsidR="00FD66A3" w:rsidRPr="000C42E6" w:rsidRDefault="00FD66A3" w:rsidP="00764DE5">
            <w:pPr>
              <w:jc w:val="left"/>
              <w:rPr>
                <w:rFonts w:ascii="Arial" w:hAnsi="Arial" w:cs="Arial"/>
                <w:b/>
                <w:sz w:val="20"/>
                <w:szCs w:val="20"/>
              </w:rPr>
            </w:pPr>
          </w:p>
          <w:p w14:paraId="5D6A29E5"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    106,238,303</w:t>
            </w:r>
          </w:p>
          <w:p w14:paraId="4CD60C0F" w14:textId="77777777" w:rsidR="00FD66A3" w:rsidRPr="000C42E6" w:rsidRDefault="00FD66A3" w:rsidP="00764DE5">
            <w:pPr>
              <w:jc w:val="left"/>
              <w:rPr>
                <w:rFonts w:ascii="Arial" w:hAnsi="Arial" w:cs="Arial"/>
                <w:b/>
                <w:sz w:val="20"/>
                <w:szCs w:val="20"/>
              </w:rPr>
            </w:pPr>
          </w:p>
        </w:tc>
      </w:tr>
      <w:tr w:rsidR="00FD66A3" w:rsidRPr="000C42E6" w14:paraId="532399ED" w14:textId="77777777" w:rsidTr="00764DE5">
        <w:tc>
          <w:tcPr>
            <w:tcW w:w="11902" w:type="dxa"/>
          </w:tcPr>
          <w:p w14:paraId="7AAD3102" w14:textId="77777777" w:rsidR="00FD66A3" w:rsidRPr="000C42E6" w:rsidRDefault="00FD66A3" w:rsidP="00764DE5">
            <w:pPr>
              <w:jc w:val="left"/>
              <w:rPr>
                <w:rFonts w:ascii="Arial" w:hAnsi="Arial" w:cs="Arial"/>
                <w:b/>
                <w:sz w:val="20"/>
                <w:szCs w:val="20"/>
              </w:rPr>
            </w:pPr>
            <w:r w:rsidRPr="000C42E6">
              <w:rPr>
                <w:rFonts w:ascii="Arial" w:hAnsi="Arial" w:cs="Arial"/>
                <w:b/>
                <w:bCs/>
                <w:sz w:val="20"/>
                <w:szCs w:val="20"/>
              </w:rPr>
              <w:t>Fideicomiso para el Programa Tecnologías Educativas y de la Información para el  Magisterio de Educación Básica del Estado de Tabasco. FOAPES</w:t>
            </w:r>
          </w:p>
          <w:p w14:paraId="613E06BF"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Educación</w:t>
            </w:r>
          </w:p>
          <w:p w14:paraId="2395B251"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Banamex   Contrato No: 165055-4</w:t>
            </w:r>
          </w:p>
          <w:p w14:paraId="40E69A9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Tipo de fideicomiso: Inversión y administración   </w:t>
            </w:r>
          </w:p>
          <w:p w14:paraId="69C5E33B"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Este fideicomiso fue creado el 19 de marzo de 2002. El objetivo de este fideicomiso radica en la administración de los recursos que forman parte del patrimonio que se destinará a la creación de un fondo para otorgar por única vez apoyos para la adquisición de un paquete informático para los integrantes del magisterio de educación básica que presten sus servicios al Gobierno del Estado de Tabasco. Fungiendo como fideicomisarios los maestros de educación básica afiliados al Sindicato Nacional de Trabajadores de la Educación en el Estado de Tabasco. Estatus actual: Activo.</w:t>
            </w:r>
          </w:p>
        </w:tc>
        <w:tc>
          <w:tcPr>
            <w:tcW w:w="1560" w:type="dxa"/>
          </w:tcPr>
          <w:p w14:paraId="67AB2DBE" w14:textId="77777777" w:rsidR="00FD66A3" w:rsidRPr="000C42E6" w:rsidRDefault="00FD66A3" w:rsidP="00764DE5">
            <w:pPr>
              <w:jc w:val="left"/>
              <w:rPr>
                <w:rFonts w:ascii="Arial" w:hAnsi="Arial" w:cs="Arial"/>
                <w:b/>
                <w:bCs/>
                <w:sz w:val="20"/>
                <w:szCs w:val="20"/>
              </w:rPr>
            </w:pPr>
            <w:r w:rsidRPr="000C42E6">
              <w:rPr>
                <w:rFonts w:ascii="Arial" w:hAnsi="Arial" w:cs="Arial"/>
                <w:b/>
                <w:bCs/>
                <w:sz w:val="20"/>
                <w:szCs w:val="20"/>
              </w:rPr>
              <w:t xml:space="preserve">        </w:t>
            </w:r>
          </w:p>
          <w:p w14:paraId="2D06ADAA" w14:textId="77777777" w:rsidR="00FD66A3" w:rsidRPr="000C42E6" w:rsidRDefault="00FD66A3" w:rsidP="00764DE5">
            <w:pPr>
              <w:jc w:val="left"/>
              <w:rPr>
                <w:rFonts w:ascii="Arial" w:hAnsi="Arial" w:cs="Arial"/>
                <w:b/>
                <w:bCs/>
                <w:sz w:val="20"/>
                <w:szCs w:val="20"/>
              </w:rPr>
            </w:pPr>
          </w:p>
          <w:p w14:paraId="74410BDA" w14:textId="77777777" w:rsidR="00FD66A3" w:rsidRPr="000C42E6" w:rsidRDefault="00FD66A3" w:rsidP="00764DE5">
            <w:pPr>
              <w:jc w:val="left"/>
              <w:rPr>
                <w:rFonts w:ascii="Arial" w:hAnsi="Arial" w:cs="Arial"/>
                <w:b/>
                <w:bCs/>
                <w:sz w:val="20"/>
                <w:szCs w:val="20"/>
              </w:rPr>
            </w:pPr>
          </w:p>
          <w:p w14:paraId="4956D708" w14:textId="77777777" w:rsidR="00313968" w:rsidRDefault="00FD66A3" w:rsidP="00764DE5">
            <w:pPr>
              <w:rPr>
                <w:rFonts w:ascii="Arial" w:hAnsi="Arial" w:cs="Arial"/>
                <w:b/>
                <w:color w:val="000000"/>
                <w:sz w:val="20"/>
                <w:szCs w:val="20"/>
              </w:rPr>
            </w:pPr>
            <w:r w:rsidRPr="000C42E6">
              <w:rPr>
                <w:rFonts w:ascii="Arial" w:hAnsi="Arial" w:cs="Arial"/>
                <w:b/>
                <w:color w:val="000000"/>
                <w:sz w:val="20"/>
                <w:szCs w:val="20"/>
              </w:rPr>
              <w:t xml:space="preserve">     </w:t>
            </w:r>
          </w:p>
          <w:p w14:paraId="7E7093C4" w14:textId="23841CA8" w:rsidR="00FD66A3" w:rsidRPr="000C42E6" w:rsidRDefault="00FD66A3" w:rsidP="00313968">
            <w:pPr>
              <w:jc w:val="right"/>
              <w:rPr>
                <w:rFonts w:ascii="Arial" w:hAnsi="Arial" w:cs="Arial"/>
                <w:b/>
                <w:color w:val="000000"/>
                <w:sz w:val="20"/>
                <w:szCs w:val="20"/>
              </w:rPr>
            </w:pPr>
            <w:r w:rsidRPr="000C42E6">
              <w:rPr>
                <w:rFonts w:ascii="Arial" w:hAnsi="Arial" w:cs="Arial"/>
                <w:b/>
                <w:color w:val="000000"/>
                <w:sz w:val="20"/>
                <w:szCs w:val="20"/>
              </w:rPr>
              <w:t xml:space="preserve"> 4,280,315</w:t>
            </w:r>
          </w:p>
          <w:p w14:paraId="3FE1C3DC" w14:textId="77777777" w:rsidR="00FD66A3" w:rsidRPr="000C42E6" w:rsidRDefault="00FD66A3" w:rsidP="00764DE5">
            <w:pPr>
              <w:rPr>
                <w:rFonts w:ascii="Arial" w:hAnsi="Arial" w:cs="Arial"/>
                <w:b/>
                <w:sz w:val="20"/>
                <w:szCs w:val="20"/>
              </w:rPr>
            </w:pPr>
          </w:p>
        </w:tc>
      </w:tr>
      <w:tr w:rsidR="00FD66A3" w:rsidRPr="000C42E6" w14:paraId="00B18D7F" w14:textId="77777777" w:rsidTr="00764DE5">
        <w:tc>
          <w:tcPr>
            <w:tcW w:w="11902" w:type="dxa"/>
          </w:tcPr>
          <w:p w14:paraId="3DC0A60F"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Fideicomiso Fondo de Contingencias del Estado de Tabasco. </w:t>
            </w:r>
            <w:r w:rsidRPr="000C42E6">
              <w:rPr>
                <w:rFonts w:ascii="Arial" w:hAnsi="Arial" w:cs="Arial"/>
                <w:b/>
                <w:bCs/>
                <w:sz w:val="20"/>
                <w:szCs w:val="20"/>
              </w:rPr>
              <w:t>FOCOTAB</w:t>
            </w:r>
          </w:p>
          <w:p w14:paraId="22AF603F"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Seguridad y Protección Ciudadana, a través   del Instituto de Protección Civil del Estado de Tabasco</w:t>
            </w:r>
          </w:p>
          <w:p w14:paraId="3D0C1FB6"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Fiduciario: Banobras </w:t>
            </w:r>
            <w:proofErr w:type="spellStart"/>
            <w:r w:rsidRPr="000C42E6">
              <w:rPr>
                <w:rFonts w:ascii="Arial" w:hAnsi="Arial" w:cs="Arial"/>
                <w:b/>
                <w:sz w:val="20"/>
                <w:szCs w:val="20"/>
              </w:rPr>
              <w:t>S.N.C.Contrato</w:t>
            </w:r>
            <w:proofErr w:type="spellEnd"/>
            <w:r w:rsidRPr="000C42E6">
              <w:rPr>
                <w:rFonts w:ascii="Arial" w:hAnsi="Arial" w:cs="Arial"/>
                <w:b/>
                <w:sz w:val="20"/>
                <w:szCs w:val="20"/>
              </w:rPr>
              <w:t xml:space="preserve"> No: 2066</w:t>
            </w:r>
          </w:p>
          <w:p w14:paraId="15296642"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Irrevocable de administración, inversión y fuente de pago</w:t>
            </w:r>
          </w:p>
          <w:p w14:paraId="70449CFC"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El fondo de contingencias fue creado el 10 de diciembre de 2003 como un instrumento para establecer un mecanismo financiero ágil y transparente para que en la eventualidad de un desastre natural o en la alta probabilidad de una ocurrencia de desastre natural, se pueda apoyar a la población afectada. Los fideicomisarios son el Gobierno del Estado de Tabasco y Municipios afectados para que reciban obras, adquisiciones y servicios, que se paguen con cargo al patrimonio del mismo fideicomiso. Estatus actual: Activo.</w:t>
            </w:r>
          </w:p>
        </w:tc>
        <w:tc>
          <w:tcPr>
            <w:tcW w:w="1560" w:type="dxa"/>
          </w:tcPr>
          <w:p w14:paraId="1347536E" w14:textId="77777777" w:rsidR="00FD66A3" w:rsidRPr="000C42E6" w:rsidRDefault="00FD66A3" w:rsidP="00764DE5">
            <w:pPr>
              <w:jc w:val="left"/>
              <w:rPr>
                <w:rFonts w:ascii="Arial" w:hAnsi="Arial" w:cs="Arial"/>
                <w:b/>
                <w:bCs/>
                <w:sz w:val="20"/>
                <w:szCs w:val="20"/>
              </w:rPr>
            </w:pPr>
            <w:r w:rsidRPr="000C42E6">
              <w:rPr>
                <w:rFonts w:ascii="Arial" w:hAnsi="Arial" w:cs="Arial"/>
                <w:b/>
                <w:bCs/>
                <w:sz w:val="20"/>
                <w:szCs w:val="20"/>
              </w:rPr>
              <w:t xml:space="preserve"> </w:t>
            </w:r>
          </w:p>
          <w:p w14:paraId="32585B62" w14:textId="77777777" w:rsidR="00FD66A3" w:rsidRPr="000C42E6" w:rsidRDefault="00FD66A3" w:rsidP="00764DE5">
            <w:pPr>
              <w:jc w:val="left"/>
              <w:rPr>
                <w:rFonts w:ascii="Arial" w:hAnsi="Arial" w:cs="Arial"/>
                <w:b/>
                <w:bCs/>
                <w:sz w:val="20"/>
                <w:szCs w:val="20"/>
              </w:rPr>
            </w:pPr>
          </w:p>
          <w:p w14:paraId="02B68FD4" w14:textId="77777777" w:rsidR="00FD66A3" w:rsidRPr="000C42E6" w:rsidRDefault="00FD66A3" w:rsidP="00764DE5">
            <w:pPr>
              <w:jc w:val="left"/>
              <w:rPr>
                <w:rFonts w:ascii="Arial" w:hAnsi="Arial" w:cs="Arial"/>
                <w:b/>
                <w:bCs/>
                <w:sz w:val="20"/>
                <w:szCs w:val="20"/>
              </w:rPr>
            </w:pPr>
            <w:r w:rsidRPr="000C42E6">
              <w:rPr>
                <w:rFonts w:ascii="Arial" w:hAnsi="Arial" w:cs="Arial"/>
                <w:b/>
                <w:bCs/>
                <w:sz w:val="20"/>
                <w:szCs w:val="20"/>
              </w:rPr>
              <w:t xml:space="preserve">               </w:t>
            </w:r>
          </w:p>
          <w:p w14:paraId="30B86799" w14:textId="77777777" w:rsidR="00FD66A3" w:rsidRPr="000C42E6" w:rsidRDefault="00FD66A3" w:rsidP="00764DE5">
            <w:pPr>
              <w:jc w:val="left"/>
              <w:rPr>
                <w:rFonts w:ascii="Arial" w:hAnsi="Arial" w:cs="Arial"/>
                <w:b/>
                <w:bCs/>
                <w:sz w:val="20"/>
                <w:szCs w:val="20"/>
              </w:rPr>
            </w:pPr>
            <w:r w:rsidRPr="000C42E6">
              <w:rPr>
                <w:rFonts w:ascii="Arial" w:hAnsi="Arial" w:cs="Arial"/>
                <w:b/>
                <w:bCs/>
                <w:sz w:val="20"/>
                <w:szCs w:val="20"/>
              </w:rPr>
              <w:t xml:space="preserve">        </w:t>
            </w:r>
          </w:p>
          <w:p w14:paraId="2D6B192D" w14:textId="77777777" w:rsidR="00FD66A3" w:rsidRPr="000C42E6" w:rsidRDefault="00FD66A3" w:rsidP="00764DE5">
            <w:pPr>
              <w:rPr>
                <w:rFonts w:ascii="Arial" w:hAnsi="Arial" w:cs="Arial"/>
                <w:b/>
                <w:bCs/>
                <w:sz w:val="20"/>
                <w:szCs w:val="20"/>
              </w:rPr>
            </w:pPr>
            <w:r w:rsidRPr="000C42E6">
              <w:rPr>
                <w:rFonts w:ascii="Arial" w:hAnsi="Arial" w:cs="Arial"/>
                <w:b/>
                <w:bCs/>
                <w:sz w:val="20"/>
                <w:szCs w:val="20"/>
              </w:rPr>
              <w:t xml:space="preserve">      40,114,038</w:t>
            </w:r>
          </w:p>
        </w:tc>
      </w:tr>
      <w:tr w:rsidR="00FD66A3" w:rsidRPr="000C42E6" w14:paraId="12CE3647" w14:textId="77777777" w:rsidTr="00764DE5">
        <w:tc>
          <w:tcPr>
            <w:tcW w:w="11902" w:type="dxa"/>
          </w:tcPr>
          <w:p w14:paraId="368DF2D1" w14:textId="77777777" w:rsidR="00FD66A3" w:rsidRPr="000C42E6" w:rsidRDefault="00FD66A3" w:rsidP="00764DE5">
            <w:pPr>
              <w:jc w:val="left"/>
              <w:rPr>
                <w:rFonts w:ascii="Arial" w:hAnsi="Arial" w:cs="Arial"/>
                <w:b/>
                <w:bCs/>
                <w:sz w:val="20"/>
                <w:szCs w:val="20"/>
              </w:rPr>
            </w:pPr>
            <w:r w:rsidRPr="000C42E6">
              <w:rPr>
                <w:rFonts w:ascii="Arial" w:hAnsi="Arial" w:cs="Arial"/>
                <w:b/>
                <w:bCs/>
                <w:sz w:val="20"/>
                <w:szCs w:val="20"/>
              </w:rPr>
              <w:t>Fideicomiso de Inversión y Administración para el pago de pensiones y jubilaciones destinado a los asegurados del Instituto de Seguridad Social del Estado de Tabasco. FONDO ISSET</w:t>
            </w:r>
          </w:p>
          <w:p w14:paraId="7EA8FFCF"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entidad o sector: ISSET</w:t>
            </w:r>
          </w:p>
          <w:p w14:paraId="346AA33C"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Santander Contrato No: F/2003538</w:t>
            </w:r>
          </w:p>
          <w:p w14:paraId="7A04F229"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Inversión y administración</w:t>
            </w:r>
          </w:p>
          <w:p w14:paraId="2ACB0608"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Este fideicomiso fue creado el 24 de julio de 2000. La finalidad de este fideicomiso fue la creación de un fondo destinado al pago de pensiones y jubilaciones de los asegurados del Instituto de Seguridad Social del Estado de Tabasco. Estatus actual: Activo.</w:t>
            </w:r>
          </w:p>
        </w:tc>
        <w:tc>
          <w:tcPr>
            <w:tcW w:w="1560" w:type="dxa"/>
          </w:tcPr>
          <w:p w14:paraId="49B3338D" w14:textId="77777777" w:rsidR="00FD66A3" w:rsidRPr="000C42E6" w:rsidRDefault="00FD66A3" w:rsidP="00764DE5">
            <w:pPr>
              <w:jc w:val="left"/>
              <w:rPr>
                <w:rFonts w:ascii="Arial" w:hAnsi="Arial" w:cs="Arial"/>
                <w:b/>
                <w:sz w:val="20"/>
                <w:szCs w:val="20"/>
              </w:rPr>
            </w:pPr>
          </w:p>
          <w:p w14:paraId="7ACD8F78"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    </w:t>
            </w:r>
          </w:p>
          <w:p w14:paraId="3B05FA56" w14:textId="77777777" w:rsidR="00FD66A3" w:rsidRPr="000C42E6" w:rsidRDefault="00FD66A3" w:rsidP="00764DE5">
            <w:pPr>
              <w:jc w:val="left"/>
              <w:rPr>
                <w:rFonts w:ascii="Arial" w:hAnsi="Arial" w:cs="Arial"/>
                <w:b/>
                <w:sz w:val="20"/>
                <w:szCs w:val="20"/>
              </w:rPr>
            </w:pPr>
          </w:p>
          <w:p w14:paraId="6F6185F0" w14:textId="77777777" w:rsidR="00FD66A3" w:rsidRPr="000C42E6" w:rsidRDefault="00FD66A3" w:rsidP="00764DE5">
            <w:pPr>
              <w:jc w:val="left"/>
              <w:rPr>
                <w:rFonts w:ascii="Arial" w:hAnsi="Arial" w:cs="Arial"/>
                <w:b/>
                <w:sz w:val="20"/>
                <w:szCs w:val="20"/>
              </w:rPr>
            </w:pPr>
          </w:p>
          <w:p w14:paraId="0B5C3A15" w14:textId="77777777" w:rsidR="00FD66A3" w:rsidRPr="000C42E6" w:rsidRDefault="00FD66A3" w:rsidP="00764DE5">
            <w:pPr>
              <w:rPr>
                <w:rFonts w:ascii="Arial" w:hAnsi="Arial" w:cs="Arial"/>
                <w:b/>
                <w:sz w:val="20"/>
                <w:szCs w:val="20"/>
              </w:rPr>
            </w:pPr>
            <w:r w:rsidRPr="000C42E6">
              <w:rPr>
                <w:rFonts w:ascii="Arial" w:hAnsi="Arial" w:cs="Arial"/>
                <w:b/>
                <w:sz w:val="20"/>
                <w:szCs w:val="20"/>
              </w:rPr>
              <w:t xml:space="preserve">    150,914,750</w:t>
            </w:r>
          </w:p>
          <w:p w14:paraId="6C2CEEB3" w14:textId="77777777" w:rsidR="00FD66A3" w:rsidRPr="000C42E6" w:rsidRDefault="00FD66A3" w:rsidP="00764DE5">
            <w:pPr>
              <w:jc w:val="left"/>
              <w:rPr>
                <w:rFonts w:ascii="Arial" w:hAnsi="Arial" w:cs="Arial"/>
                <w:b/>
                <w:sz w:val="20"/>
                <w:szCs w:val="20"/>
              </w:rPr>
            </w:pPr>
          </w:p>
        </w:tc>
      </w:tr>
      <w:tr w:rsidR="00FD66A3" w:rsidRPr="000C42E6" w14:paraId="0FB40785" w14:textId="77777777" w:rsidTr="00764DE5">
        <w:tc>
          <w:tcPr>
            <w:tcW w:w="11902" w:type="dxa"/>
          </w:tcPr>
          <w:p w14:paraId="0C04EEF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de Administración e Inversión del Fondo de Ayuda, Asistencia y Reparación Integral a Víctimas en el Estado de Tabasco.</w:t>
            </w:r>
          </w:p>
          <w:p w14:paraId="3450B49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Gobierno a través de la Comisión Ejecutiva Estatal de Atención a  Víctimas del Estado de Tabasco</w:t>
            </w:r>
          </w:p>
          <w:p w14:paraId="172D523D"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BBVA  Contrato No: F/4110870</w:t>
            </w:r>
          </w:p>
          <w:p w14:paraId="40B89CE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Administración e inversión</w:t>
            </w:r>
          </w:p>
          <w:p w14:paraId="0568A40A"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lastRenderedPageBreak/>
              <w:t>El 23 de Diciembre de 2019 fue creado el Fideicomiso con la finalidad de obtener, administrar y brindar los recursos necesarios para la ayuda, asistencia y reparación integral de las Víctimas del delito y de violaciones a los derechos humanos en el Estado de Tabasco y en cumplimiento a lo mandatado en la legislación respectiva. Estatus actual: Activo.</w:t>
            </w:r>
          </w:p>
          <w:p w14:paraId="1A69BDBF" w14:textId="77777777" w:rsidR="00FD66A3" w:rsidRPr="000C42E6" w:rsidRDefault="00FD66A3" w:rsidP="00764DE5">
            <w:pPr>
              <w:jc w:val="left"/>
              <w:rPr>
                <w:rFonts w:ascii="Arial" w:hAnsi="Arial" w:cs="Arial"/>
                <w:b/>
                <w:sz w:val="20"/>
                <w:szCs w:val="20"/>
              </w:rPr>
            </w:pPr>
          </w:p>
        </w:tc>
        <w:tc>
          <w:tcPr>
            <w:tcW w:w="1560" w:type="dxa"/>
          </w:tcPr>
          <w:p w14:paraId="65A0FF02" w14:textId="77777777" w:rsidR="00FD66A3" w:rsidRPr="000C42E6" w:rsidRDefault="00FD66A3" w:rsidP="00764DE5">
            <w:pPr>
              <w:jc w:val="left"/>
              <w:rPr>
                <w:rFonts w:ascii="Arial" w:hAnsi="Arial" w:cs="Arial"/>
                <w:b/>
                <w:sz w:val="20"/>
                <w:szCs w:val="20"/>
              </w:rPr>
            </w:pPr>
          </w:p>
          <w:p w14:paraId="6C63D986" w14:textId="77777777" w:rsidR="00FD66A3" w:rsidRPr="000C42E6" w:rsidRDefault="00FD66A3" w:rsidP="00764DE5">
            <w:pPr>
              <w:jc w:val="left"/>
              <w:rPr>
                <w:rFonts w:ascii="Arial" w:hAnsi="Arial" w:cs="Arial"/>
                <w:b/>
                <w:sz w:val="20"/>
                <w:szCs w:val="20"/>
              </w:rPr>
            </w:pPr>
          </w:p>
          <w:p w14:paraId="4D9CD5CD" w14:textId="77777777" w:rsidR="00FD66A3" w:rsidRPr="000C42E6" w:rsidRDefault="00FD66A3" w:rsidP="00764DE5">
            <w:pPr>
              <w:jc w:val="left"/>
              <w:rPr>
                <w:rFonts w:ascii="Arial" w:hAnsi="Arial" w:cs="Arial"/>
                <w:b/>
                <w:sz w:val="20"/>
                <w:szCs w:val="20"/>
              </w:rPr>
            </w:pPr>
          </w:p>
          <w:p w14:paraId="14C2F783" w14:textId="77777777" w:rsidR="00FD66A3" w:rsidRPr="000C42E6" w:rsidRDefault="00FD66A3" w:rsidP="00764DE5">
            <w:pPr>
              <w:jc w:val="left"/>
              <w:rPr>
                <w:rFonts w:ascii="Arial" w:hAnsi="Arial" w:cs="Arial"/>
                <w:b/>
                <w:sz w:val="20"/>
                <w:szCs w:val="20"/>
              </w:rPr>
            </w:pPr>
          </w:p>
          <w:p w14:paraId="169E0E7F" w14:textId="77777777" w:rsidR="00FD66A3" w:rsidRPr="000C42E6" w:rsidRDefault="00FD66A3" w:rsidP="00764DE5">
            <w:pPr>
              <w:jc w:val="left"/>
              <w:rPr>
                <w:rFonts w:ascii="Arial" w:hAnsi="Arial" w:cs="Arial"/>
                <w:b/>
                <w:sz w:val="20"/>
                <w:szCs w:val="20"/>
              </w:rPr>
            </w:pPr>
          </w:p>
          <w:p w14:paraId="489ED090" w14:textId="77777777" w:rsidR="00FD66A3" w:rsidRPr="000C42E6" w:rsidRDefault="00FD66A3" w:rsidP="00764DE5">
            <w:pPr>
              <w:rPr>
                <w:rFonts w:ascii="Arial" w:hAnsi="Arial" w:cs="Arial"/>
                <w:b/>
                <w:sz w:val="20"/>
                <w:szCs w:val="20"/>
              </w:rPr>
            </w:pPr>
            <w:r w:rsidRPr="000C42E6">
              <w:rPr>
                <w:rFonts w:ascii="Arial" w:hAnsi="Arial" w:cs="Arial"/>
                <w:b/>
                <w:sz w:val="20"/>
                <w:szCs w:val="20"/>
              </w:rPr>
              <w:t xml:space="preserve">    29,547,671</w:t>
            </w:r>
          </w:p>
        </w:tc>
      </w:tr>
      <w:tr w:rsidR="00FD66A3" w:rsidRPr="000C42E6" w14:paraId="2DA7D3B6" w14:textId="77777777" w:rsidTr="00764DE5">
        <w:trPr>
          <w:trHeight w:val="191"/>
        </w:trPr>
        <w:tc>
          <w:tcPr>
            <w:tcW w:w="11902" w:type="dxa"/>
          </w:tcPr>
          <w:p w14:paraId="08913FAE" w14:textId="77777777" w:rsidR="00FD66A3" w:rsidRPr="000C42E6" w:rsidRDefault="00FD66A3" w:rsidP="00764DE5">
            <w:pPr>
              <w:jc w:val="right"/>
              <w:rPr>
                <w:rFonts w:ascii="Arial" w:hAnsi="Arial" w:cs="Arial"/>
                <w:b/>
                <w:sz w:val="20"/>
                <w:szCs w:val="20"/>
              </w:rPr>
            </w:pPr>
            <w:r w:rsidRPr="000C42E6">
              <w:rPr>
                <w:rFonts w:ascii="Arial" w:hAnsi="Arial" w:cs="Arial"/>
                <w:b/>
                <w:sz w:val="20"/>
                <w:szCs w:val="20"/>
              </w:rPr>
              <w:t>SUMA</w:t>
            </w:r>
          </w:p>
        </w:tc>
        <w:tc>
          <w:tcPr>
            <w:tcW w:w="1560" w:type="dxa"/>
          </w:tcPr>
          <w:p w14:paraId="474498D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    445,710,902</w:t>
            </w:r>
          </w:p>
        </w:tc>
      </w:tr>
    </w:tbl>
    <w:p w14:paraId="1A71A6AA" w14:textId="77777777" w:rsidR="00FD66A3" w:rsidRPr="000C42E6" w:rsidRDefault="00FD66A3" w:rsidP="00FD66A3">
      <w:pPr>
        <w:spacing w:after="0" w:line="240" w:lineRule="auto"/>
        <w:rPr>
          <w:rFonts w:ascii="Arial" w:hAnsi="Arial" w:cs="Arial"/>
          <w:b/>
          <w:sz w:val="20"/>
          <w:szCs w:val="20"/>
        </w:rPr>
      </w:pPr>
    </w:p>
    <w:p w14:paraId="15138E6B"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bCs/>
          <w:sz w:val="20"/>
          <w:szCs w:val="20"/>
        </w:rPr>
        <w:t>Fuente: Unidad de Fideicomisos e Inversiones de la Secretaría de Administración y Finanzas del Gobierno del Estado; excepto datos de los Fideicomisos Maestros, cuyos saldos fueron tomados de la Balanza de comprobación contenida en el Sistema de Contabilidad del Poder Ejecutivo del Estado de Tabasco.</w:t>
      </w:r>
    </w:p>
    <w:p w14:paraId="2A4B5D5D"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ab/>
      </w:r>
    </w:p>
    <w:p w14:paraId="28497EFF"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          </w:t>
      </w:r>
      <w:proofErr w:type="spellStart"/>
      <w:r w:rsidRPr="000C42E6">
        <w:rPr>
          <w:rFonts w:ascii="Arial" w:hAnsi="Arial" w:cs="Arial"/>
          <w:b/>
          <w:sz w:val="20"/>
          <w:szCs w:val="20"/>
        </w:rPr>
        <w:t>g.b</w:t>
      </w:r>
      <w:proofErr w:type="spellEnd"/>
      <w:r w:rsidRPr="000C42E6">
        <w:rPr>
          <w:rFonts w:ascii="Arial" w:hAnsi="Arial" w:cs="Arial"/>
          <w:b/>
          <w:sz w:val="20"/>
          <w:szCs w:val="20"/>
        </w:rPr>
        <w:t xml:space="preserve">  Como fideicomitente, el Gobierno del Estado de Tabasco a través de la Secretaría de Administración y Finanzas, participa con recursos financieros en fideicomisos públicos con estructura orgánica, que por tal motivo tienen status de paraestatales y en consecuencia, están obligados a la observancia de la Ley General de Contabilidad Gubernamental, la normatividad del Consejo Nacional de Armonización Contable y demás legislación y normatividad aplicables. Dichos fideicomisos se detallan seguidamente:</w:t>
      </w:r>
    </w:p>
    <w:p w14:paraId="61437962" w14:textId="77777777" w:rsidR="00FD66A3" w:rsidRPr="000C42E6" w:rsidRDefault="00FD66A3" w:rsidP="00FD66A3">
      <w:pPr>
        <w:spacing w:after="0" w:line="240" w:lineRule="auto"/>
        <w:rPr>
          <w:rFonts w:ascii="Arial" w:hAnsi="Arial" w:cs="Arial"/>
          <w:b/>
          <w:sz w:val="20"/>
          <w:szCs w:val="20"/>
        </w:rPr>
      </w:pPr>
    </w:p>
    <w:tbl>
      <w:tblPr>
        <w:tblStyle w:val="Tablaconcuadrcula"/>
        <w:tblW w:w="13320" w:type="dxa"/>
        <w:tblLook w:val="04A0" w:firstRow="1" w:lastRow="0" w:firstColumn="1" w:lastColumn="0" w:noHBand="0" w:noVBand="1"/>
      </w:tblPr>
      <w:tblGrid>
        <w:gridCol w:w="13320"/>
      </w:tblGrid>
      <w:tr w:rsidR="00FD66A3" w:rsidRPr="000C42E6" w14:paraId="068FE79B" w14:textId="77777777" w:rsidTr="00764DE5">
        <w:tc>
          <w:tcPr>
            <w:tcW w:w="13320" w:type="dxa"/>
          </w:tcPr>
          <w:p w14:paraId="74948555"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de la Ciudad Industrial de Villahermosa</w:t>
            </w:r>
          </w:p>
          <w:p w14:paraId="00CBFAD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Turismo y Desarrollo Económico</w:t>
            </w:r>
          </w:p>
          <w:p w14:paraId="2C624EB0"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Nacional Financiera S.N.C. Contrato No: 237</w:t>
            </w:r>
          </w:p>
          <w:p w14:paraId="52718E3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Administración e inversión</w:t>
            </w:r>
          </w:p>
          <w:p w14:paraId="6969452E"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Mediante contrato privado de fecha 27 de mayo de 1972, el Gobierno del Estado de Tabasco, representado por su Gobernador Constitucional, en su carácter de fideicomitente, y Nacional Financiera, S.N.C., I.B.D., en su carácter de fiduciaria, constituyeron un fideicomiso al cual se denominó inicialmente “Parque Industrial de Villahermosa” (ahora “Fideicomiso de la Ciudad Industrial de Villahermosa”) para efectos de promover el desarrollo industrial de dicha entidad federativa. Actualmente, el Tercer Convenio Modificatorio y Re expresión al Contrato de Fideicomiso, fue protocolizado mediante escritura pública ante la notaría número 35 de esta ciudad, con lo que queda reactivado para operar y dar seguimiento a la consecución de sus fines. Estatus actual: Activo.</w:t>
            </w:r>
          </w:p>
        </w:tc>
      </w:tr>
      <w:tr w:rsidR="00FD66A3" w:rsidRPr="000C42E6" w14:paraId="2DC6CE99" w14:textId="77777777" w:rsidTr="00764DE5">
        <w:tc>
          <w:tcPr>
            <w:tcW w:w="13320" w:type="dxa"/>
          </w:tcPr>
          <w:p w14:paraId="59B4DC61"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Fondo Empresarial de Tabasco FET</w:t>
            </w:r>
          </w:p>
          <w:p w14:paraId="0A77627D"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Turismo y Desarrollo Económico</w:t>
            </w:r>
          </w:p>
          <w:p w14:paraId="210A0272"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Nacional Financiera S.A. Contrato No: 80227</w:t>
            </w:r>
          </w:p>
          <w:p w14:paraId="180C8943"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Inversión y administración</w:t>
            </w:r>
          </w:p>
          <w:p w14:paraId="33FA8B82"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Fue creado el 30 de octubre de 2002 para fomentar el desarrollo de las micro, pequeña y medianas empresas establecidas o por establecerse en el Estado de Tabasco, con apoyos financieros directos, recuperables y no recuperables, para su creación o consolidación mediante la inversión productiva, siempre y cuando contribuyan a la generación de empleos. El fideicomitente es el Gobierno del Estado a través de la Secretaría de Administración y Finanzas, el cual figura a su vez como fideicomisario así como las micro, pequeñas y medianas empresas. Estatus actual: Activo.</w:t>
            </w:r>
          </w:p>
        </w:tc>
      </w:tr>
      <w:tr w:rsidR="00FD66A3" w:rsidRPr="000C42E6" w14:paraId="50B8826A" w14:textId="77777777" w:rsidTr="00764DE5">
        <w:tc>
          <w:tcPr>
            <w:tcW w:w="13320" w:type="dxa"/>
          </w:tcPr>
          <w:p w14:paraId="3EF08B4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para el Fomento y Desarrollo de las Empresas del Estado de Tabasco FIDEET</w:t>
            </w:r>
          </w:p>
          <w:p w14:paraId="2D1C693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RFC FFD101227NP1</w:t>
            </w:r>
          </w:p>
          <w:p w14:paraId="35FCC922"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Turismo y Desarrollo Económico</w:t>
            </w:r>
          </w:p>
          <w:p w14:paraId="3DBCDDA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Nacional Financiera S.A. Contrato No: 80626</w:t>
            </w:r>
          </w:p>
          <w:p w14:paraId="118FB093"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Tipo de fideicomiso: Administración e inversión</w:t>
            </w:r>
          </w:p>
          <w:p w14:paraId="5075C2A1"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Este fideicomiso se crea el 27 de diciembre de 2010. Tiene como finalidad el fomento y desarrollo de las empresas de Tabasco, dedicadas a las actividades económicas consideradas en la Ley para el Desarrollo Sostenible del Estado de Tabasco. Estatus actual: Activo.</w:t>
            </w:r>
          </w:p>
        </w:tc>
      </w:tr>
    </w:tbl>
    <w:p w14:paraId="739856AC" w14:textId="77777777" w:rsidR="00313968" w:rsidRDefault="00313968"/>
    <w:tbl>
      <w:tblPr>
        <w:tblStyle w:val="Tablaconcuadrcula"/>
        <w:tblW w:w="13320" w:type="dxa"/>
        <w:tblLook w:val="04A0" w:firstRow="1" w:lastRow="0" w:firstColumn="1" w:lastColumn="0" w:noHBand="0" w:noVBand="1"/>
      </w:tblPr>
      <w:tblGrid>
        <w:gridCol w:w="13320"/>
      </w:tblGrid>
      <w:tr w:rsidR="00FD66A3" w:rsidRPr="000C42E6" w14:paraId="227AA1D8" w14:textId="77777777" w:rsidTr="00764DE5">
        <w:tc>
          <w:tcPr>
            <w:tcW w:w="13320" w:type="dxa"/>
          </w:tcPr>
          <w:p w14:paraId="516FF3E0"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lastRenderedPageBreak/>
              <w:t>Fideicomiso de Inversión y Fuente de Pago para el Fomento Productivo del Campo del Estado de Tabasco</w:t>
            </w:r>
          </w:p>
          <w:p w14:paraId="4EEBAA45"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R.F.C. </w:t>
            </w:r>
            <w:r w:rsidRPr="000C42E6">
              <w:rPr>
                <w:rFonts w:ascii="Arial" w:hAnsi="Arial" w:cs="Arial"/>
                <w:b/>
                <w:bCs/>
                <w:sz w:val="20"/>
                <w:szCs w:val="20"/>
              </w:rPr>
              <w:t>FPC221020D41</w:t>
            </w:r>
          </w:p>
          <w:p w14:paraId="41F0075C"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Desarrollo Agropecuario y Pesca</w:t>
            </w:r>
          </w:p>
          <w:p w14:paraId="30573CA6"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Fiduciario: </w:t>
            </w:r>
            <w:proofErr w:type="spellStart"/>
            <w:r w:rsidRPr="000C42E6">
              <w:rPr>
                <w:rFonts w:ascii="Arial" w:hAnsi="Arial" w:cs="Arial"/>
                <w:b/>
                <w:sz w:val="20"/>
                <w:szCs w:val="20"/>
              </w:rPr>
              <w:t>BanBajío</w:t>
            </w:r>
            <w:proofErr w:type="spellEnd"/>
            <w:r w:rsidRPr="000C42E6">
              <w:rPr>
                <w:rFonts w:ascii="Arial" w:hAnsi="Arial" w:cs="Arial"/>
                <w:b/>
                <w:sz w:val="20"/>
                <w:szCs w:val="20"/>
              </w:rPr>
              <w:t xml:space="preserve"> Contrato No: 31157</w:t>
            </w:r>
          </w:p>
          <w:p w14:paraId="1DBE792F"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Administración e inversión</w:t>
            </w:r>
          </w:p>
          <w:p w14:paraId="2F3BC17D"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Constituido con fecha 20 de octubre de 2022, fungiendo como fideicomitente la Secretaría de Administración y Finanzas, y como fiduciario el Banco del Bajío, a efectos de unificar todos los fideicomisos al sector primario. Sus principales fines incluyen la emisión de garantías crediticias, creación de fondos de apoyo y programas de apoyo a la tasa; todos dirigidos al sector productivo del Estado de Tabasco por lo que se encuentra sectorizado a la Secretaría de Desarrollo Agropecuario y Pesca. Estatus actual: Activo.</w:t>
            </w:r>
          </w:p>
        </w:tc>
      </w:tr>
      <w:tr w:rsidR="00FD66A3" w:rsidRPr="000C42E6" w14:paraId="34999E7F" w14:textId="77777777" w:rsidTr="00764DE5">
        <w:tc>
          <w:tcPr>
            <w:tcW w:w="13320" w:type="dxa"/>
          </w:tcPr>
          <w:p w14:paraId="559F8F3E"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para el Desarrollo Industrial de Tabasco. FINTAB</w:t>
            </w:r>
          </w:p>
          <w:p w14:paraId="65472B11"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RFC FDI070330RE3</w:t>
            </w:r>
          </w:p>
          <w:p w14:paraId="764C1A71"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Turismo y Desarrollo Económico</w:t>
            </w:r>
          </w:p>
          <w:p w14:paraId="609F5723"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Nacional Financiera S.A. Contrato No: 80511</w:t>
            </w:r>
          </w:p>
          <w:p w14:paraId="5BDEBDBE"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 xml:space="preserve">Tipo de fideicomiso: Administración e inversión  </w:t>
            </w:r>
          </w:p>
          <w:p w14:paraId="0B220EAC"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Este fideicomiso fue creado el 30 de marzo de 2007, siendo su objetivo primordial el de incentivar la inversión de capital en el Estado de Tabasco en las actividades económicas consideradas como prioritarias, entre las cuales están las industriales, comerciales y de servicios. Estatus actual: Activo.</w:t>
            </w:r>
          </w:p>
        </w:tc>
      </w:tr>
      <w:tr w:rsidR="00FD66A3" w:rsidRPr="000C42E6" w14:paraId="2C51953C" w14:textId="77777777" w:rsidTr="00764DE5">
        <w:tc>
          <w:tcPr>
            <w:tcW w:w="13320" w:type="dxa"/>
          </w:tcPr>
          <w:p w14:paraId="046248F4"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Fondo de Fomento Agropecuario del Estado de Tabasco FOFAE</w:t>
            </w:r>
          </w:p>
          <w:p w14:paraId="499571D0"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Desarrollo Agropecuario y Pesca</w:t>
            </w:r>
          </w:p>
          <w:p w14:paraId="053C02BF"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Scotiabank Contrato No: 550030837</w:t>
            </w:r>
          </w:p>
          <w:p w14:paraId="6A42061E"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Administración e inversión.</w:t>
            </w:r>
          </w:p>
          <w:p w14:paraId="01F1979A" w14:textId="77777777" w:rsidR="00FD66A3" w:rsidRPr="000C42E6" w:rsidRDefault="00FD66A3" w:rsidP="00764DE5">
            <w:pPr>
              <w:jc w:val="both"/>
              <w:rPr>
                <w:rFonts w:ascii="Arial" w:hAnsi="Arial" w:cs="Arial"/>
                <w:b/>
                <w:sz w:val="20"/>
                <w:szCs w:val="20"/>
              </w:rPr>
            </w:pPr>
            <w:r w:rsidRPr="000C42E6">
              <w:rPr>
                <w:rFonts w:ascii="Arial" w:hAnsi="Arial" w:cs="Arial"/>
                <w:b/>
                <w:sz w:val="20"/>
                <w:szCs w:val="20"/>
              </w:rPr>
              <w:t>Este fideicomiso fue creado el 23 de marzo de 1996 como un programa para impulsar la inversión en proyectos productivos o estratégicos en los sectores agrícolas, pecuarios, de pesca y acuícolas. Considera dos tipos de fideicomisarios: las organizaciones de productores se clasifican como fideicomisarios “A” y el Gobierno del Estado de Tabasco como fideicomisario “B”, el cual al mismo tiempo es el fideicomitente a través de la Secretaría de Administración y Finanzas. Estatus actual: Activo.</w:t>
            </w:r>
          </w:p>
        </w:tc>
      </w:tr>
      <w:tr w:rsidR="00FD66A3" w:rsidRPr="000C42E6" w14:paraId="67A00DF2" w14:textId="77777777" w:rsidTr="00764DE5">
        <w:tc>
          <w:tcPr>
            <w:tcW w:w="13320" w:type="dxa"/>
          </w:tcPr>
          <w:p w14:paraId="50D6F1AB"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para la Promoción Turística del Estado de Tabasco PROMOTUR</w:t>
            </w:r>
          </w:p>
          <w:p w14:paraId="610219E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Secretaría de Turismo y Desarrollo Económico</w:t>
            </w:r>
          </w:p>
          <w:p w14:paraId="28A91C52"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BBVA Contrato No: 30840-3</w:t>
            </w:r>
          </w:p>
          <w:p w14:paraId="7AB0485B"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Inversión y administración</w:t>
            </w:r>
          </w:p>
          <w:p w14:paraId="1A7DCFF8" w14:textId="3642030A" w:rsidR="00FD66A3" w:rsidRPr="000C42E6" w:rsidRDefault="00FD66A3" w:rsidP="00313968">
            <w:pPr>
              <w:jc w:val="both"/>
              <w:rPr>
                <w:rFonts w:ascii="Arial" w:hAnsi="Arial" w:cs="Arial"/>
                <w:b/>
                <w:sz w:val="20"/>
                <w:szCs w:val="20"/>
              </w:rPr>
            </w:pPr>
            <w:r w:rsidRPr="000C42E6">
              <w:rPr>
                <w:rFonts w:ascii="Arial" w:hAnsi="Arial" w:cs="Arial"/>
                <w:b/>
                <w:sz w:val="20"/>
                <w:szCs w:val="20"/>
              </w:rPr>
              <w:t>Fue creado el 8 de abril de 1999. El objetivo de este fideicomiso es determinar los mecanismos necesarios para llevar a cabo la planeación, promoción, desarrollo y difusión de la actividad turística del Estado, fomentando todo tipo de actividades, eventos, campañas, estudios, proyectos de investigación, congresos, festivales, exposiciones, ferias, que promuevan y difundan los recursos y servicios turísticos del Estado. Los beneficiarios son las personas físicas o jurídicas colectivas que realicen operaciones de promoción y difusión turística del Estado de Tabasco, que generen un beneficio social y que cumplan con los lineamientos establecidos en el reglamento del propio fideicomiso. Estatus actual: Activo.</w:t>
            </w:r>
          </w:p>
        </w:tc>
      </w:tr>
      <w:tr w:rsidR="00FD66A3" w:rsidRPr="000C42E6" w14:paraId="0CF2925A" w14:textId="77777777" w:rsidTr="00764DE5">
        <w:tc>
          <w:tcPr>
            <w:tcW w:w="13320" w:type="dxa"/>
          </w:tcPr>
          <w:p w14:paraId="0243E73E"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Fideicomiso Creando Empresarios</w:t>
            </w:r>
          </w:p>
          <w:p w14:paraId="020ADF56"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Dependencia o sector: Ayuntamiento de Centro</w:t>
            </w:r>
          </w:p>
          <w:p w14:paraId="7626A75B"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Fiduciario: Grupo Financiero Banorte Contrato No: 739575</w:t>
            </w:r>
          </w:p>
          <w:p w14:paraId="43EF38FA" w14:textId="77777777" w:rsidR="00FD66A3" w:rsidRPr="000C42E6" w:rsidRDefault="00FD66A3" w:rsidP="00764DE5">
            <w:pPr>
              <w:jc w:val="left"/>
              <w:rPr>
                <w:rFonts w:ascii="Arial" w:hAnsi="Arial" w:cs="Arial"/>
                <w:b/>
                <w:sz w:val="20"/>
                <w:szCs w:val="20"/>
              </w:rPr>
            </w:pPr>
            <w:r w:rsidRPr="000C42E6">
              <w:rPr>
                <w:rFonts w:ascii="Arial" w:hAnsi="Arial" w:cs="Arial"/>
                <w:b/>
                <w:sz w:val="20"/>
                <w:szCs w:val="20"/>
              </w:rPr>
              <w:t>Tipo de fideicomiso: Inversión y administración</w:t>
            </w:r>
          </w:p>
          <w:p w14:paraId="2F7DECCF" w14:textId="1D7B6888" w:rsidR="00FD66A3" w:rsidRPr="000C42E6" w:rsidRDefault="00FD66A3" w:rsidP="00313968">
            <w:pPr>
              <w:jc w:val="both"/>
              <w:rPr>
                <w:rFonts w:ascii="Arial" w:hAnsi="Arial" w:cs="Arial"/>
                <w:b/>
                <w:sz w:val="20"/>
                <w:szCs w:val="20"/>
              </w:rPr>
            </w:pPr>
            <w:r w:rsidRPr="000C42E6">
              <w:rPr>
                <w:rFonts w:ascii="Arial" w:hAnsi="Arial" w:cs="Arial"/>
                <w:b/>
                <w:sz w:val="20"/>
                <w:szCs w:val="20"/>
              </w:rPr>
              <w:t>Se crea el 23 de septiembre de 2002. La finalidad de este fondo es la de fomentar la transformación económica del municipio de Centro, Tabasco. Potenciando las capacidades de los egresados de las instituciones públicas y privadas de educación superior, otorgándoles apoyo financiero para la constitución de sus propias empresas. Los fideicomitentes de este fondo son el H. Ayuntamiento Constitucional del municipio de Centro, el Gobierno del Estado, la Universidad Tecnológica de Tabasco y las universidades públicas o privadas con residencia en el municipio de Centro, que aporten recursos al patrimonio del fideicomiso. Estatus actual: Inactivo.</w:t>
            </w:r>
          </w:p>
        </w:tc>
      </w:tr>
    </w:tbl>
    <w:p w14:paraId="0354AE6A"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bCs/>
          <w:sz w:val="20"/>
          <w:szCs w:val="20"/>
        </w:rPr>
        <w:lastRenderedPageBreak/>
        <w:t>Fuente: Unidad de Fideicomisos e Inversiones de la Secretaría de Administración y Finanzas del Gobierno del Estado</w:t>
      </w:r>
      <w:r w:rsidRPr="000C42E6">
        <w:rPr>
          <w:rFonts w:ascii="Arial" w:hAnsi="Arial" w:cs="Arial"/>
          <w:b/>
          <w:sz w:val="20"/>
          <w:szCs w:val="20"/>
        </w:rPr>
        <w:t>.</w:t>
      </w:r>
    </w:p>
    <w:p w14:paraId="62B3BB46" w14:textId="77777777" w:rsidR="00FD66A3" w:rsidRPr="000C42E6" w:rsidRDefault="00FD66A3" w:rsidP="00FD66A3">
      <w:pPr>
        <w:spacing w:after="0" w:line="240" w:lineRule="auto"/>
        <w:rPr>
          <w:rFonts w:ascii="Arial" w:hAnsi="Arial" w:cs="Arial"/>
          <w:b/>
          <w:sz w:val="20"/>
          <w:szCs w:val="20"/>
        </w:rPr>
      </w:pPr>
    </w:p>
    <w:p w14:paraId="24245110" w14:textId="77777777" w:rsidR="00FD66A3" w:rsidRPr="000C42E6" w:rsidRDefault="00FD66A3" w:rsidP="00FD66A3">
      <w:pPr>
        <w:numPr>
          <w:ilvl w:val="0"/>
          <w:numId w:val="10"/>
        </w:numPr>
        <w:spacing w:after="0" w:line="240" w:lineRule="auto"/>
        <w:rPr>
          <w:rFonts w:ascii="Arial" w:hAnsi="Arial" w:cs="Arial"/>
          <w:b/>
          <w:sz w:val="20"/>
          <w:szCs w:val="20"/>
        </w:rPr>
      </w:pPr>
      <w:r w:rsidRPr="000C42E6">
        <w:rPr>
          <w:rFonts w:ascii="Arial" w:hAnsi="Arial" w:cs="Arial"/>
          <w:b/>
          <w:sz w:val="20"/>
          <w:szCs w:val="20"/>
        </w:rPr>
        <w:t>Bases de Preparación de los Estados Financieros</w:t>
      </w:r>
    </w:p>
    <w:p w14:paraId="20469B1F" w14:textId="77777777" w:rsidR="00FD66A3" w:rsidRPr="000C42E6" w:rsidRDefault="00FD66A3" w:rsidP="00FD66A3">
      <w:pPr>
        <w:spacing w:after="0" w:line="240" w:lineRule="auto"/>
        <w:rPr>
          <w:rFonts w:ascii="Arial" w:hAnsi="Arial" w:cs="Arial"/>
          <w:b/>
          <w:sz w:val="20"/>
          <w:szCs w:val="20"/>
        </w:rPr>
      </w:pPr>
    </w:p>
    <w:p w14:paraId="4FB9B29A" w14:textId="77777777" w:rsidR="00FD66A3" w:rsidRPr="000C42E6" w:rsidRDefault="00FD66A3" w:rsidP="00FD66A3">
      <w:pPr>
        <w:numPr>
          <w:ilvl w:val="0"/>
          <w:numId w:val="7"/>
        </w:numPr>
        <w:tabs>
          <w:tab w:val="clear" w:pos="720"/>
        </w:tabs>
        <w:spacing w:after="0" w:line="240" w:lineRule="auto"/>
        <w:rPr>
          <w:rFonts w:ascii="Arial" w:hAnsi="Arial" w:cs="Arial"/>
          <w:b/>
          <w:sz w:val="20"/>
          <w:szCs w:val="20"/>
        </w:rPr>
      </w:pPr>
      <w:r w:rsidRPr="000C42E6">
        <w:rPr>
          <w:rFonts w:ascii="Arial" w:hAnsi="Arial" w:cs="Arial"/>
          <w:b/>
          <w:sz w:val="20"/>
          <w:szCs w:val="20"/>
        </w:rPr>
        <w:t>Se ha observado la normatividad emitida por el CONAC y las disposiciones legales aplicables, conforme a:</w:t>
      </w:r>
    </w:p>
    <w:p w14:paraId="22059C95" w14:textId="77777777" w:rsidR="00FD66A3" w:rsidRPr="000C42E6" w:rsidRDefault="00FD66A3" w:rsidP="00FD66A3">
      <w:pPr>
        <w:spacing w:after="0" w:line="240" w:lineRule="auto"/>
        <w:rPr>
          <w:rFonts w:ascii="Arial" w:hAnsi="Arial" w:cs="Arial"/>
          <w:b/>
          <w:sz w:val="20"/>
          <w:szCs w:val="20"/>
        </w:rPr>
      </w:pPr>
    </w:p>
    <w:p w14:paraId="4C54C36A" w14:textId="77777777" w:rsidR="00FD66A3" w:rsidRPr="000C42E6" w:rsidRDefault="00FD66A3" w:rsidP="00FD66A3">
      <w:pPr>
        <w:spacing w:after="0" w:line="240" w:lineRule="auto"/>
        <w:jc w:val="both"/>
        <w:rPr>
          <w:rFonts w:ascii="Arial" w:hAnsi="Arial" w:cs="Arial"/>
          <w:b/>
          <w:sz w:val="20"/>
          <w:szCs w:val="20"/>
        </w:rPr>
      </w:pPr>
      <w:proofErr w:type="spellStart"/>
      <w:r w:rsidRPr="000C42E6">
        <w:rPr>
          <w:rFonts w:ascii="Arial" w:hAnsi="Arial" w:cs="Arial"/>
          <w:b/>
          <w:sz w:val="20"/>
          <w:szCs w:val="20"/>
        </w:rPr>
        <w:t>a.a</w:t>
      </w:r>
      <w:proofErr w:type="spellEnd"/>
      <w:r w:rsidRPr="000C42E6">
        <w:rPr>
          <w:rFonts w:ascii="Arial" w:hAnsi="Arial" w:cs="Arial"/>
          <w:b/>
          <w:sz w:val="20"/>
          <w:szCs w:val="20"/>
        </w:rPr>
        <w:t xml:space="preserve">)  la Ley General de Contabilidad Gubernamental, publicada en el Diario Oficial de la Federación el 31 de diciembre de 2008; cuya     </w:t>
      </w:r>
    </w:p>
    <w:p w14:paraId="6AD997B1"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 xml:space="preserve">        Última reforma es del 01/04/2024; </w:t>
      </w:r>
    </w:p>
    <w:p w14:paraId="389D4781" w14:textId="77777777" w:rsidR="00FD66A3" w:rsidRPr="000C42E6" w:rsidRDefault="00FD66A3" w:rsidP="00FD66A3">
      <w:pPr>
        <w:spacing w:after="0" w:line="240" w:lineRule="auto"/>
        <w:rPr>
          <w:rFonts w:ascii="Arial" w:hAnsi="Arial" w:cs="Arial"/>
          <w:b/>
          <w:sz w:val="20"/>
          <w:szCs w:val="20"/>
        </w:rPr>
      </w:pPr>
    </w:p>
    <w:p w14:paraId="04CCF06A" w14:textId="77777777" w:rsidR="00FD66A3" w:rsidRPr="000C42E6" w:rsidRDefault="00FD66A3" w:rsidP="00FD66A3">
      <w:pPr>
        <w:spacing w:after="0" w:line="240" w:lineRule="auto"/>
        <w:rPr>
          <w:rFonts w:ascii="Arial" w:hAnsi="Arial" w:cs="Arial"/>
          <w:b/>
          <w:sz w:val="20"/>
          <w:szCs w:val="20"/>
        </w:rPr>
      </w:pPr>
      <w:proofErr w:type="spellStart"/>
      <w:r w:rsidRPr="000C42E6">
        <w:rPr>
          <w:rFonts w:ascii="Arial" w:hAnsi="Arial" w:cs="Arial"/>
          <w:b/>
          <w:sz w:val="20"/>
          <w:szCs w:val="20"/>
        </w:rPr>
        <w:t>a.b</w:t>
      </w:r>
      <w:proofErr w:type="spellEnd"/>
      <w:r w:rsidRPr="000C42E6">
        <w:rPr>
          <w:rFonts w:ascii="Arial" w:hAnsi="Arial" w:cs="Arial"/>
          <w:b/>
          <w:sz w:val="20"/>
          <w:szCs w:val="20"/>
        </w:rPr>
        <w:t xml:space="preserve">) la Ley de Disciplina Financiera de las Entidades Federativas y los Municipios, publicada en el Diario Oficial de la Federación el 27 de abril del 2016, cuya última reforma es del 10/05/2022; </w:t>
      </w:r>
    </w:p>
    <w:p w14:paraId="452FD019" w14:textId="77777777" w:rsidR="00FD66A3" w:rsidRPr="000C42E6" w:rsidRDefault="00FD66A3" w:rsidP="00FD66A3">
      <w:pPr>
        <w:spacing w:after="0" w:line="240" w:lineRule="auto"/>
        <w:jc w:val="both"/>
        <w:rPr>
          <w:rFonts w:ascii="Arial" w:hAnsi="Arial" w:cs="Arial"/>
          <w:b/>
          <w:sz w:val="20"/>
          <w:szCs w:val="20"/>
        </w:rPr>
      </w:pPr>
      <w:proofErr w:type="spellStart"/>
      <w:proofErr w:type="gramStart"/>
      <w:r w:rsidRPr="000C42E6">
        <w:rPr>
          <w:rFonts w:ascii="Arial" w:hAnsi="Arial" w:cs="Arial"/>
          <w:b/>
          <w:sz w:val="20"/>
          <w:szCs w:val="20"/>
        </w:rPr>
        <w:t>a.c</w:t>
      </w:r>
      <w:proofErr w:type="spellEnd"/>
      <w:proofErr w:type="gramEnd"/>
      <w:r w:rsidRPr="000C42E6">
        <w:rPr>
          <w:rFonts w:ascii="Arial" w:hAnsi="Arial" w:cs="Arial"/>
          <w:b/>
          <w:sz w:val="20"/>
          <w:szCs w:val="20"/>
        </w:rPr>
        <w:t>) los Criterios para la elaboración y presentación homogénea de la información financiera y de los formatos a que hace referencia la mencionada Ley, emitidos por el Consejo Nacional de Armonización Contable y publicados en el Diario Oficial de la Federación el 11 de octubre del 2016, cuya última reforma es del 28/07/2021.</w:t>
      </w:r>
    </w:p>
    <w:p w14:paraId="564F34C2" w14:textId="5339D91F" w:rsidR="00FD66A3" w:rsidRPr="000C42E6" w:rsidRDefault="00FD66A3" w:rsidP="00FD66A3">
      <w:pPr>
        <w:spacing w:after="0" w:line="240" w:lineRule="auto"/>
        <w:jc w:val="both"/>
        <w:rPr>
          <w:rFonts w:ascii="Arial" w:hAnsi="Arial" w:cs="Arial"/>
          <w:b/>
          <w:sz w:val="20"/>
          <w:szCs w:val="20"/>
        </w:rPr>
      </w:pPr>
      <w:proofErr w:type="spellStart"/>
      <w:r w:rsidRPr="000C42E6">
        <w:rPr>
          <w:rFonts w:ascii="Arial" w:hAnsi="Arial" w:cs="Arial"/>
          <w:b/>
          <w:sz w:val="20"/>
          <w:szCs w:val="20"/>
        </w:rPr>
        <w:t>a.d</w:t>
      </w:r>
      <w:proofErr w:type="spellEnd"/>
      <w:r w:rsidRPr="000C42E6">
        <w:rPr>
          <w:rFonts w:ascii="Arial" w:hAnsi="Arial" w:cs="Arial"/>
          <w:b/>
          <w:sz w:val="20"/>
          <w:szCs w:val="20"/>
        </w:rPr>
        <w:t>) La información financiera, presupuestal y contable que emana de la contabilidad gubernamental, ha sido integrada por la Secretaría de</w:t>
      </w:r>
      <w:r w:rsidR="00A742D3">
        <w:rPr>
          <w:rFonts w:ascii="Arial" w:hAnsi="Arial" w:cs="Arial"/>
          <w:b/>
          <w:sz w:val="20"/>
          <w:szCs w:val="20"/>
        </w:rPr>
        <w:t xml:space="preserve"> Administración y</w:t>
      </w:r>
      <w:r w:rsidRPr="000C42E6">
        <w:rPr>
          <w:rFonts w:ascii="Arial" w:hAnsi="Arial" w:cs="Arial"/>
          <w:b/>
          <w:sz w:val="20"/>
          <w:szCs w:val="20"/>
        </w:rPr>
        <w:t xml:space="preserve"> Finanzas de acuerdo con la Ley Orgánica del Poder Ejecutivo del Estado de Tabasco, vigente. Los estados financieros y estas notas que les corresponden, incluyen las transferencias y subsidios a los órganos desconcentrados y organismos descentralizados del Estado y a las empresas de participación estatal mayoritaria.</w:t>
      </w:r>
    </w:p>
    <w:p w14:paraId="37A7E2F9" w14:textId="77777777" w:rsidR="00FD66A3" w:rsidRPr="000C42E6" w:rsidRDefault="00FD66A3" w:rsidP="00FD66A3">
      <w:pPr>
        <w:spacing w:after="0" w:line="240" w:lineRule="auto"/>
        <w:jc w:val="both"/>
        <w:rPr>
          <w:rFonts w:ascii="Arial" w:hAnsi="Arial" w:cs="Arial"/>
          <w:b/>
          <w:sz w:val="20"/>
          <w:szCs w:val="20"/>
        </w:rPr>
      </w:pPr>
    </w:p>
    <w:p w14:paraId="3EBB44E5"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b) La normatividad aplicada por este ente público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son las establecidas por el Consejo Nacional de Armonización Contable en las Reglas de Registro y Valuación del Patrimonio publicadas en el Diario Oficial de la Federación el 11 de diciembre de 2023. </w:t>
      </w:r>
    </w:p>
    <w:p w14:paraId="314EE83F" w14:textId="77777777" w:rsidR="00FD66A3" w:rsidRPr="000C42E6" w:rsidRDefault="00FD66A3" w:rsidP="00FD66A3">
      <w:pPr>
        <w:spacing w:after="0" w:line="240" w:lineRule="auto"/>
        <w:jc w:val="both"/>
        <w:rPr>
          <w:rFonts w:ascii="Arial" w:hAnsi="Arial" w:cs="Arial"/>
          <w:b/>
          <w:sz w:val="20"/>
          <w:szCs w:val="20"/>
        </w:rPr>
      </w:pPr>
    </w:p>
    <w:p w14:paraId="3B3097AC"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Los estados financieros son preparados sobre la base del costo histórico, sin reconocer los efectos de la inflación. De conformidad con la Ley General de Contabilidad Gubernamental y acuerdos del Consejo Nacional de Armonización Contable, el Gobierno del Estado de Tabasco  emite y publica información contable, presupuestal, programática así como información adicional relativa a programas y proyectos de inversión, indicadores de resultados, relación de esquemas bursátiles, bienes muebles e inmuebles, cuentas bancarias productivas específicas y en su caso, Información adicional que dispongan otras leyes.</w:t>
      </w:r>
    </w:p>
    <w:p w14:paraId="523772B5" w14:textId="77777777" w:rsidR="00FD66A3" w:rsidRPr="000C42E6" w:rsidRDefault="00FD66A3" w:rsidP="00FD66A3">
      <w:pPr>
        <w:spacing w:after="0" w:line="240" w:lineRule="auto"/>
        <w:jc w:val="both"/>
        <w:rPr>
          <w:rFonts w:ascii="Arial" w:hAnsi="Arial" w:cs="Arial"/>
          <w:b/>
          <w:sz w:val="20"/>
          <w:szCs w:val="20"/>
        </w:rPr>
      </w:pPr>
    </w:p>
    <w:p w14:paraId="34385FB3" w14:textId="77777777" w:rsidR="00FD66A3" w:rsidRPr="000C42E6" w:rsidRDefault="00FD66A3" w:rsidP="00FD66A3">
      <w:pPr>
        <w:numPr>
          <w:ilvl w:val="1"/>
          <w:numId w:val="5"/>
        </w:numPr>
        <w:spacing w:after="0" w:line="240" w:lineRule="auto"/>
        <w:rPr>
          <w:rFonts w:ascii="Arial" w:hAnsi="Arial" w:cs="Arial"/>
          <w:b/>
          <w:sz w:val="20"/>
          <w:szCs w:val="20"/>
        </w:rPr>
      </w:pPr>
      <w:r w:rsidRPr="000C42E6">
        <w:rPr>
          <w:rFonts w:ascii="Arial" w:hAnsi="Arial" w:cs="Arial"/>
          <w:b/>
          <w:sz w:val="20"/>
          <w:szCs w:val="20"/>
        </w:rPr>
        <w:t xml:space="preserve">Se cumplen los Postulados Básicos de Contabilidad Gubernamental (PBCG). </w:t>
      </w:r>
    </w:p>
    <w:p w14:paraId="71BC169D" w14:textId="77777777" w:rsidR="00FD66A3" w:rsidRPr="000C42E6" w:rsidRDefault="00FD66A3" w:rsidP="00FD66A3">
      <w:pPr>
        <w:spacing w:after="0" w:line="240" w:lineRule="auto"/>
        <w:rPr>
          <w:rFonts w:ascii="Arial" w:hAnsi="Arial" w:cs="Arial"/>
          <w:b/>
          <w:sz w:val="20"/>
          <w:szCs w:val="20"/>
        </w:rPr>
      </w:pPr>
    </w:p>
    <w:p w14:paraId="57BC74E7" w14:textId="77777777" w:rsidR="00FD66A3" w:rsidRPr="000C42E6" w:rsidRDefault="00FD66A3" w:rsidP="00FD66A3">
      <w:pPr>
        <w:numPr>
          <w:ilvl w:val="1"/>
          <w:numId w:val="5"/>
        </w:numPr>
        <w:spacing w:after="0" w:line="240" w:lineRule="auto"/>
        <w:rPr>
          <w:rFonts w:ascii="Arial" w:hAnsi="Arial" w:cs="Arial"/>
          <w:b/>
          <w:sz w:val="20"/>
          <w:szCs w:val="20"/>
        </w:rPr>
      </w:pPr>
      <w:r w:rsidRPr="000C42E6">
        <w:rPr>
          <w:rFonts w:ascii="Arial" w:hAnsi="Arial" w:cs="Arial"/>
          <w:b/>
          <w:sz w:val="20"/>
          <w:szCs w:val="20"/>
        </w:rPr>
        <w:t xml:space="preserve">No se emplea normatividad supletoria. </w:t>
      </w:r>
    </w:p>
    <w:p w14:paraId="73DDA319" w14:textId="77777777" w:rsidR="00FD66A3" w:rsidRPr="000C42E6" w:rsidRDefault="00FD66A3" w:rsidP="00FD66A3">
      <w:pPr>
        <w:spacing w:after="0" w:line="240" w:lineRule="auto"/>
        <w:ind w:left="1440"/>
        <w:rPr>
          <w:rFonts w:ascii="Arial" w:hAnsi="Arial" w:cs="Arial"/>
          <w:b/>
          <w:sz w:val="20"/>
          <w:szCs w:val="20"/>
        </w:rPr>
      </w:pPr>
    </w:p>
    <w:p w14:paraId="18C6E67A"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La información contable, presupuestal y programática fue generada en tres sistemas que emiten información financiera y presupuestal, integrándose como sigue:</w:t>
      </w:r>
    </w:p>
    <w:p w14:paraId="774D8A42" w14:textId="77777777" w:rsidR="00FD66A3" w:rsidRPr="000C42E6" w:rsidRDefault="00FD66A3" w:rsidP="00FD66A3">
      <w:pPr>
        <w:numPr>
          <w:ilvl w:val="0"/>
          <w:numId w:val="11"/>
        </w:numPr>
        <w:spacing w:after="0" w:line="240" w:lineRule="auto"/>
        <w:rPr>
          <w:rFonts w:ascii="Arial" w:hAnsi="Arial" w:cs="Arial"/>
          <w:b/>
          <w:sz w:val="20"/>
          <w:szCs w:val="20"/>
        </w:rPr>
      </w:pPr>
      <w:r w:rsidRPr="000C42E6">
        <w:rPr>
          <w:rFonts w:ascii="Arial" w:hAnsi="Arial" w:cs="Arial"/>
          <w:b/>
          <w:sz w:val="20"/>
          <w:szCs w:val="20"/>
        </w:rPr>
        <w:t>Sistema de Recaudador</w:t>
      </w:r>
    </w:p>
    <w:p w14:paraId="74BDF83D" w14:textId="77777777" w:rsidR="00FD66A3" w:rsidRPr="000C42E6" w:rsidRDefault="00FD66A3" w:rsidP="00FD66A3">
      <w:pPr>
        <w:numPr>
          <w:ilvl w:val="0"/>
          <w:numId w:val="11"/>
        </w:numPr>
        <w:spacing w:after="0" w:line="240" w:lineRule="auto"/>
        <w:rPr>
          <w:rFonts w:ascii="Arial" w:hAnsi="Arial" w:cs="Arial"/>
          <w:b/>
          <w:sz w:val="20"/>
          <w:szCs w:val="20"/>
        </w:rPr>
      </w:pPr>
      <w:r w:rsidRPr="000C42E6">
        <w:rPr>
          <w:rFonts w:ascii="Arial" w:hAnsi="Arial" w:cs="Arial"/>
          <w:b/>
          <w:sz w:val="20"/>
          <w:szCs w:val="20"/>
        </w:rPr>
        <w:t>Sistemas Open HR el cual sirve para la elaboración de la nómina, y</w:t>
      </w:r>
    </w:p>
    <w:p w14:paraId="36E93C83" w14:textId="77777777" w:rsidR="00FD66A3" w:rsidRPr="000C42E6" w:rsidRDefault="00FD66A3" w:rsidP="00FD66A3">
      <w:pPr>
        <w:numPr>
          <w:ilvl w:val="0"/>
          <w:numId w:val="11"/>
        </w:numPr>
        <w:spacing w:after="0" w:line="240" w:lineRule="auto"/>
        <w:rPr>
          <w:rFonts w:ascii="Arial" w:hAnsi="Arial" w:cs="Arial"/>
          <w:b/>
          <w:sz w:val="20"/>
          <w:szCs w:val="20"/>
        </w:rPr>
      </w:pPr>
      <w:r w:rsidRPr="000C42E6">
        <w:rPr>
          <w:rFonts w:ascii="Arial" w:hAnsi="Arial" w:cs="Arial"/>
          <w:b/>
          <w:sz w:val="20"/>
          <w:szCs w:val="20"/>
        </w:rPr>
        <w:t>Sistema Oracle E-Business Suite</w:t>
      </w:r>
    </w:p>
    <w:p w14:paraId="2CC34D46" w14:textId="77777777" w:rsidR="00FD66A3" w:rsidRPr="000C42E6" w:rsidRDefault="00FD66A3" w:rsidP="00FD66A3">
      <w:pPr>
        <w:spacing w:after="0" w:line="240" w:lineRule="auto"/>
        <w:rPr>
          <w:rFonts w:ascii="Arial" w:hAnsi="Arial" w:cs="Arial"/>
          <w:b/>
          <w:sz w:val="20"/>
          <w:szCs w:val="20"/>
        </w:rPr>
      </w:pPr>
    </w:p>
    <w:p w14:paraId="3464F257" w14:textId="77777777" w:rsidR="00313968" w:rsidRDefault="00313968" w:rsidP="00FD66A3">
      <w:pPr>
        <w:spacing w:after="0" w:line="240" w:lineRule="auto"/>
        <w:rPr>
          <w:rFonts w:ascii="Arial" w:hAnsi="Arial" w:cs="Arial"/>
          <w:b/>
          <w:sz w:val="20"/>
          <w:szCs w:val="20"/>
        </w:rPr>
      </w:pPr>
    </w:p>
    <w:p w14:paraId="1FB1BB2A" w14:textId="77777777" w:rsidR="00313968" w:rsidRDefault="00313968" w:rsidP="00FD66A3">
      <w:pPr>
        <w:spacing w:after="0" w:line="240" w:lineRule="auto"/>
        <w:rPr>
          <w:rFonts w:ascii="Arial" w:hAnsi="Arial" w:cs="Arial"/>
          <w:b/>
          <w:sz w:val="20"/>
          <w:szCs w:val="20"/>
        </w:rPr>
      </w:pPr>
    </w:p>
    <w:p w14:paraId="0065FFA5" w14:textId="77777777" w:rsidR="00313968" w:rsidRDefault="00313968" w:rsidP="00FD66A3">
      <w:pPr>
        <w:spacing w:after="0" w:line="240" w:lineRule="auto"/>
        <w:rPr>
          <w:rFonts w:ascii="Arial" w:hAnsi="Arial" w:cs="Arial"/>
          <w:b/>
          <w:sz w:val="20"/>
          <w:szCs w:val="20"/>
        </w:rPr>
      </w:pPr>
    </w:p>
    <w:p w14:paraId="5B784E8B"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lastRenderedPageBreak/>
        <w:t>Bienes Inmuebles, Infraestructura y Construcciones en Proceso</w:t>
      </w:r>
    </w:p>
    <w:p w14:paraId="316A1BB7" w14:textId="77777777" w:rsidR="00FD66A3" w:rsidRPr="000C42E6" w:rsidRDefault="00FD66A3" w:rsidP="00FD66A3">
      <w:pPr>
        <w:spacing w:after="0" w:line="240" w:lineRule="auto"/>
        <w:rPr>
          <w:rFonts w:ascii="Arial" w:hAnsi="Arial" w:cs="Arial"/>
          <w:b/>
          <w:sz w:val="20"/>
          <w:szCs w:val="20"/>
        </w:rPr>
      </w:pPr>
    </w:p>
    <w:p w14:paraId="4EB60090"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Los terrenos y edificios se registran a su costo de adquisición, construcción o en el caso de terrenos adquiridos a título gratuito, al valor que indique la escritura correspondiente, que por lo general es el valor catastral y en su caso, por el importe determinado por perito autorizado de acuerdo a los lineamientos establecidos por la Subdirección de Patrimonio, adscrita a la Secretaría de Administración y Finanzas.</w:t>
      </w:r>
    </w:p>
    <w:p w14:paraId="37408049" w14:textId="77777777" w:rsidR="00FD66A3" w:rsidRPr="000C42E6" w:rsidRDefault="00FD66A3" w:rsidP="00FD66A3">
      <w:pPr>
        <w:spacing w:after="0" w:line="240" w:lineRule="auto"/>
        <w:jc w:val="both"/>
        <w:rPr>
          <w:rFonts w:ascii="Arial" w:hAnsi="Arial" w:cs="Arial"/>
          <w:b/>
          <w:sz w:val="20"/>
          <w:szCs w:val="20"/>
        </w:rPr>
      </w:pPr>
    </w:p>
    <w:p w14:paraId="4086408B"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Obras en Proceso</w:t>
      </w:r>
    </w:p>
    <w:p w14:paraId="7966EE08" w14:textId="77777777" w:rsidR="00FD66A3" w:rsidRPr="000C42E6" w:rsidRDefault="00FD66A3" w:rsidP="00FD66A3">
      <w:pPr>
        <w:spacing w:after="0" w:line="240" w:lineRule="auto"/>
        <w:rPr>
          <w:rFonts w:ascii="Arial" w:hAnsi="Arial" w:cs="Arial"/>
          <w:b/>
          <w:sz w:val="20"/>
          <w:szCs w:val="20"/>
        </w:rPr>
      </w:pPr>
    </w:p>
    <w:p w14:paraId="7CC6AB6E"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El costo de la obra pública incluye el de la elaboración de proyectos, la propia construcción y la supervisión, así como los gastos y costos relacionados con la misma, generados hasta su conclusión, independientemente de la fuente de financiamiento, observando los lineamientos aplicables en cada caso. Para su control y registro contable se identifican tres tipos: </w:t>
      </w:r>
    </w:p>
    <w:p w14:paraId="6CAB84FB" w14:textId="77777777" w:rsidR="00FD66A3" w:rsidRPr="000C42E6" w:rsidRDefault="00FD66A3" w:rsidP="00FD66A3">
      <w:pPr>
        <w:spacing w:after="0" w:line="240" w:lineRule="auto"/>
        <w:rPr>
          <w:rFonts w:ascii="Arial" w:hAnsi="Arial" w:cs="Arial"/>
          <w:b/>
          <w:sz w:val="20"/>
          <w:szCs w:val="20"/>
        </w:rPr>
      </w:pPr>
    </w:p>
    <w:p w14:paraId="0B19924A" w14:textId="000472B7" w:rsidR="00FD66A3" w:rsidRPr="000C42E6" w:rsidRDefault="00FD66A3" w:rsidP="00FD66A3">
      <w:pPr>
        <w:numPr>
          <w:ilvl w:val="0"/>
          <w:numId w:val="17"/>
        </w:numPr>
        <w:spacing w:after="0" w:line="240" w:lineRule="auto"/>
        <w:jc w:val="both"/>
        <w:rPr>
          <w:rFonts w:ascii="Arial" w:hAnsi="Arial" w:cs="Arial"/>
          <w:b/>
          <w:sz w:val="20"/>
          <w:szCs w:val="20"/>
        </w:rPr>
      </w:pPr>
      <w:r w:rsidRPr="000C42E6">
        <w:rPr>
          <w:rFonts w:ascii="Arial" w:hAnsi="Arial" w:cs="Arial"/>
          <w:b/>
          <w:sz w:val="20"/>
          <w:szCs w:val="20"/>
        </w:rPr>
        <w:t>Obras capitalizables. Son realizadas por este ente público en inmuebles que cumplen con la definición de Activo conforme a la normatividad del CONAC y que incrementan su valor. Concluid</w:t>
      </w:r>
      <w:r w:rsidR="003777B3">
        <w:rPr>
          <w:rFonts w:ascii="Arial" w:hAnsi="Arial" w:cs="Arial"/>
          <w:b/>
          <w:sz w:val="20"/>
          <w:szCs w:val="20"/>
        </w:rPr>
        <w:t>a</w:t>
      </w:r>
      <w:r w:rsidRPr="000C42E6">
        <w:rPr>
          <w:rFonts w:ascii="Arial" w:hAnsi="Arial" w:cs="Arial"/>
          <w:b/>
          <w:sz w:val="20"/>
          <w:szCs w:val="20"/>
        </w:rPr>
        <w:t xml:space="preserve"> cada obra de este tipo y  obtenidos  los  soportes documentales del registro contable, que son el acta  de entrega-recepción y la de cierre administrativo, se transfiere el saldo al Activo no circulante que corresponda.</w:t>
      </w:r>
    </w:p>
    <w:p w14:paraId="6F0DD328" w14:textId="77777777" w:rsidR="00FD66A3" w:rsidRPr="000C42E6" w:rsidRDefault="00FD66A3" w:rsidP="00FD66A3">
      <w:pPr>
        <w:spacing w:after="0" w:line="240" w:lineRule="auto"/>
        <w:ind w:left="720"/>
        <w:jc w:val="both"/>
        <w:rPr>
          <w:rFonts w:ascii="Arial" w:hAnsi="Arial" w:cs="Arial"/>
          <w:b/>
          <w:sz w:val="20"/>
          <w:szCs w:val="20"/>
        </w:rPr>
      </w:pPr>
    </w:p>
    <w:p w14:paraId="006AA12B" w14:textId="77777777" w:rsidR="00FD66A3" w:rsidRPr="000C42E6" w:rsidRDefault="00FD66A3" w:rsidP="00FD66A3">
      <w:pPr>
        <w:numPr>
          <w:ilvl w:val="0"/>
          <w:numId w:val="17"/>
        </w:numPr>
        <w:spacing w:after="0" w:line="240" w:lineRule="auto"/>
        <w:jc w:val="both"/>
        <w:rPr>
          <w:rFonts w:ascii="Arial" w:hAnsi="Arial" w:cs="Arial"/>
          <w:b/>
          <w:sz w:val="20"/>
          <w:szCs w:val="20"/>
        </w:rPr>
      </w:pPr>
      <w:r w:rsidRPr="000C42E6">
        <w:rPr>
          <w:rFonts w:ascii="Arial" w:hAnsi="Arial" w:cs="Arial"/>
          <w:b/>
          <w:sz w:val="20"/>
          <w:szCs w:val="20"/>
        </w:rPr>
        <w:t>Obras del dominio público. Son construidas por este ente público para uso común. Concluida cada obra de este tipo y obtenidos los soportes mencionados en el punto 1 anterior, se transfiere el saldo a los gastos del período, si corresponde al presupuesto del mismo ejercicio. Erogaciones de presupuestos de años anteriores se reconocen en el resultado de ejercicios anteriores para mostrar el resultado real de las operaciones del ente público a una fecha determinada.</w:t>
      </w:r>
    </w:p>
    <w:p w14:paraId="15B59703" w14:textId="77777777" w:rsidR="00FD66A3" w:rsidRPr="000C42E6" w:rsidRDefault="00FD66A3" w:rsidP="00FD66A3">
      <w:pPr>
        <w:spacing w:after="0" w:line="240" w:lineRule="auto"/>
        <w:jc w:val="both"/>
        <w:rPr>
          <w:rFonts w:ascii="Arial" w:hAnsi="Arial" w:cs="Arial"/>
          <w:b/>
          <w:sz w:val="20"/>
          <w:szCs w:val="20"/>
        </w:rPr>
      </w:pPr>
    </w:p>
    <w:p w14:paraId="726EFDE4" w14:textId="586C1D63" w:rsidR="00FD66A3" w:rsidRPr="000C42E6" w:rsidRDefault="00FD66A3" w:rsidP="00FD66A3">
      <w:pPr>
        <w:numPr>
          <w:ilvl w:val="0"/>
          <w:numId w:val="17"/>
        </w:numPr>
        <w:spacing w:after="0" w:line="240" w:lineRule="auto"/>
        <w:jc w:val="both"/>
        <w:rPr>
          <w:rFonts w:ascii="Arial" w:hAnsi="Arial" w:cs="Arial"/>
          <w:b/>
          <w:sz w:val="20"/>
          <w:szCs w:val="20"/>
        </w:rPr>
      </w:pPr>
      <w:r w:rsidRPr="000C42E6">
        <w:rPr>
          <w:rFonts w:ascii="Arial" w:hAnsi="Arial" w:cs="Arial"/>
          <w:b/>
          <w:sz w:val="20"/>
          <w:szCs w:val="20"/>
        </w:rPr>
        <w:t>Obras transferibles. Son realizadas por este ente público a favor de otro. Permanecen en la cuenta de Construcciones en Proceso hasta concluida la obr</w:t>
      </w:r>
      <w:r w:rsidR="00A742D3">
        <w:rPr>
          <w:rFonts w:ascii="Arial" w:hAnsi="Arial" w:cs="Arial"/>
          <w:b/>
          <w:sz w:val="20"/>
          <w:szCs w:val="20"/>
        </w:rPr>
        <w:t>a; y cuando han sido obtenidas las</w:t>
      </w:r>
      <w:r w:rsidRPr="000C42E6">
        <w:rPr>
          <w:rFonts w:ascii="Arial" w:hAnsi="Arial" w:cs="Arial"/>
          <w:b/>
          <w:sz w:val="20"/>
          <w:szCs w:val="20"/>
        </w:rPr>
        <w:t xml:space="preserve"> acta</w:t>
      </w:r>
      <w:r w:rsidR="00A742D3">
        <w:rPr>
          <w:rFonts w:ascii="Arial" w:hAnsi="Arial" w:cs="Arial"/>
          <w:b/>
          <w:sz w:val="20"/>
          <w:szCs w:val="20"/>
        </w:rPr>
        <w:t>s</w:t>
      </w:r>
      <w:r w:rsidRPr="000C42E6">
        <w:rPr>
          <w:rFonts w:ascii="Arial" w:hAnsi="Arial" w:cs="Arial"/>
          <w:b/>
          <w:sz w:val="20"/>
          <w:szCs w:val="20"/>
        </w:rPr>
        <w:t xml:space="preserve"> de cierre administrativo y la de entrega-recepción firmada por el otro ente público, o con la documentación justificativa o comprobatoria que sirva de soporte, se  da de baja el activo, reconociéndose en gastos del período en el caso que corresponda al presupuesto del mismo ejercicio. Erogaciones de presupuestos de años anteriores se cargan a Resultados de Ejercicios Anteriores.</w:t>
      </w:r>
    </w:p>
    <w:p w14:paraId="270F1B30" w14:textId="77777777" w:rsidR="00FD66A3" w:rsidRPr="000C42E6" w:rsidRDefault="00FD66A3" w:rsidP="00FD66A3">
      <w:pPr>
        <w:spacing w:after="0" w:line="240" w:lineRule="auto"/>
        <w:ind w:left="720"/>
        <w:rPr>
          <w:rFonts w:ascii="Arial" w:hAnsi="Arial" w:cs="Arial"/>
          <w:b/>
          <w:sz w:val="20"/>
          <w:szCs w:val="20"/>
        </w:rPr>
      </w:pPr>
    </w:p>
    <w:p w14:paraId="0992CC58" w14:textId="16EFD260"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Bienes Muebles</w:t>
      </w:r>
      <w:r w:rsidR="00A742D3">
        <w:rPr>
          <w:rFonts w:ascii="Arial" w:hAnsi="Arial" w:cs="Arial"/>
          <w:b/>
          <w:sz w:val="20"/>
          <w:szCs w:val="20"/>
        </w:rPr>
        <w:t xml:space="preserve"> e Inmuebles</w:t>
      </w:r>
    </w:p>
    <w:p w14:paraId="5FB5FF85" w14:textId="77777777" w:rsidR="00FD66A3" w:rsidRPr="000C42E6" w:rsidRDefault="00FD66A3" w:rsidP="00FD66A3">
      <w:pPr>
        <w:spacing w:after="0" w:line="240" w:lineRule="auto"/>
        <w:rPr>
          <w:rFonts w:ascii="Arial" w:hAnsi="Arial" w:cs="Arial"/>
          <w:b/>
          <w:sz w:val="20"/>
          <w:szCs w:val="20"/>
        </w:rPr>
      </w:pPr>
    </w:p>
    <w:p w14:paraId="641869F4" w14:textId="4AAB46ED"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Los Bienes Muebles</w:t>
      </w:r>
      <w:r w:rsidR="00A2095C">
        <w:rPr>
          <w:rFonts w:ascii="Arial" w:hAnsi="Arial" w:cs="Arial"/>
          <w:b/>
          <w:sz w:val="20"/>
          <w:szCs w:val="20"/>
        </w:rPr>
        <w:t xml:space="preserve"> e Inmuebles</w:t>
      </w:r>
      <w:r w:rsidRPr="000C42E6">
        <w:rPr>
          <w:rFonts w:ascii="Arial" w:hAnsi="Arial" w:cs="Arial"/>
          <w:b/>
          <w:sz w:val="20"/>
          <w:szCs w:val="20"/>
        </w:rPr>
        <w:t>, considerados inversiones en Activo no circulante, se registran a su costo de adquisición o valor de donación.  La  reposición  de  bienes  se  efectúa  mediante  asignación presupuestal. El Gobierno capitaliza sus adquisiciones de bienes muebles e inmuebles como incrementos únicamente en el Activo no circulante, por lo que no se muestra un renglón específico para este concepto en el Patrimonio.</w:t>
      </w:r>
    </w:p>
    <w:p w14:paraId="129B4997" w14:textId="77777777" w:rsidR="00C502AB" w:rsidRPr="000C42E6" w:rsidRDefault="00C502AB" w:rsidP="00FD66A3">
      <w:pPr>
        <w:spacing w:after="0" w:line="240" w:lineRule="auto"/>
        <w:rPr>
          <w:rFonts w:ascii="Arial" w:hAnsi="Arial" w:cs="Arial"/>
          <w:b/>
          <w:sz w:val="20"/>
          <w:szCs w:val="20"/>
        </w:rPr>
      </w:pPr>
    </w:p>
    <w:p w14:paraId="4A8E9907" w14:textId="77777777" w:rsidR="00FD66A3" w:rsidRPr="000C42E6" w:rsidRDefault="00FD66A3" w:rsidP="00FD66A3">
      <w:pPr>
        <w:numPr>
          <w:ilvl w:val="0"/>
          <w:numId w:val="10"/>
        </w:numPr>
        <w:spacing w:after="0" w:line="240" w:lineRule="auto"/>
        <w:rPr>
          <w:rFonts w:ascii="Arial" w:hAnsi="Arial" w:cs="Arial"/>
          <w:b/>
          <w:sz w:val="20"/>
          <w:szCs w:val="20"/>
        </w:rPr>
      </w:pPr>
      <w:r w:rsidRPr="000C42E6">
        <w:rPr>
          <w:rFonts w:ascii="Arial" w:hAnsi="Arial" w:cs="Arial"/>
          <w:b/>
          <w:sz w:val="20"/>
          <w:szCs w:val="20"/>
        </w:rPr>
        <w:t>Políticas de Contabilidad Significativas</w:t>
      </w:r>
    </w:p>
    <w:p w14:paraId="5B919023" w14:textId="77777777" w:rsidR="00FD66A3" w:rsidRPr="000C42E6" w:rsidRDefault="00FD66A3" w:rsidP="00FD66A3">
      <w:pPr>
        <w:spacing w:after="0" w:line="240" w:lineRule="auto"/>
        <w:ind w:left="502"/>
        <w:rPr>
          <w:rFonts w:ascii="Arial" w:hAnsi="Arial" w:cs="Arial"/>
          <w:b/>
          <w:sz w:val="20"/>
          <w:szCs w:val="20"/>
        </w:rPr>
      </w:pPr>
    </w:p>
    <w:p w14:paraId="7A536C72"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Las políticas contables del Gobierno del Estado de Tabasco son similares a las que utilizan entidades federativas en el país (Armonizadas con las disposiciones de la Ley General de Contabilidad Gubernamental y acuerdos del Consejo Nacional de Armonización Contable). A continuación se mencionan las políticas de contabilidad significativas:</w:t>
      </w:r>
    </w:p>
    <w:p w14:paraId="6D745A88" w14:textId="77777777" w:rsidR="00FD66A3" w:rsidRPr="000C42E6" w:rsidRDefault="00FD66A3" w:rsidP="00FD66A3">
      <w:pPr>
        <w:spacing w:after="0" w:line="240" w:lineRule="auto"/>
        <w:jc w:val="both"/>
        <w:rPr>
          <w:rFonts w:ascii="Arial" w:hAnsi="Arial" w:cs="Arial"/>
          <w:b/>
          <w:sz w:val="20"/>
          <w:szCs w:val="20"/>
        </w:rPr>
      </w:pPr>
    </w:p>
    <w:p w14:paraId="23C1FCD5"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lastRenderedPageBreak/>
        <w:t xml:space="preserve">Actualización. El método utilizado para la actualización del valor de  los activos y Hacienda Pública/Patrimonio es el de avalúos de bienes inmuebles cuyos dictámenes se obtienen del Instituto de Administración y Avalúos de Bienes Nacionales y se contabilizan en el Activo no Circulante, contra el rubro </w:t>
      </w:r>
      <w:proofErr w:type="spellStart"/>
      <w:r w:rsidRPr="000C42E6">
        <w:rPr>
          <w:rFonts w:ascii="Arial" w:hAnsi="Arial" w:cs="Arial"/>
          <w:b/>
          <w:sz w:val="20"/>
          <w:szCs w:val="20"/>
        </w:rPr>
        <w:t>Revalúos</w:t>
      </w:r>
      <w:proofErr w:type="spellEnd"/>
      <w:r w:rsidRPr="000C42E6">
        <w:rPr>
          <w:rFonts w:ascii="Arial" w:hAnsi="Arial" w:cs="Arial"/>
          <w:b/>
          <w:sz w:val="20"/>
          <w:szCs w:val="20"/>
        </w:rPr>
        <w:t xml:space="preserve">. </w:t>
      </w:r>
    </w:p>
    <w:p w14:paraId="640D40BB"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Operaciones en el extranjero no las hay, por lo que no tienen efecto en la información financiera gubernamental.</w:t>
      </w:r>
    </w:p>
    <w:p w14:paraId="6B793F77"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No se tiene inversión en acciones de compañías subsidiarias no consolidadas y asociadas.</w:t>
      </w:r>
    </w:p>
    <w:p w14:paraId="2584A9E6"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Sistema y método de valuación de inventarios y costo de lo vendido: No se tiene inventarios de mercancías para venta.</w:t>
      </w:r>
    </w:p>
    <w:p w14:paraId="6D76A528"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Beneficios a empleados: revelar el cálculo de la reserva actuarial, valor presente de los ingresos esperados comparado con el valor presente de la estimación de gastos tanto de los beneficiarios actuales como futuros. Estos conceptos son competencia del organismo descentralizado Instituto de Seguridad Social del Estado de Tabasco.</w:t>
      </w:r>
    </w:p>
    <w:p w14:paraId="7BAAF01B"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Provisiones: objetivo de su creación, monto y plazo. No se tienen actualmente.</w:t>
      </w:r>
    </w:p>
    <w:p w14:paraId="67CA3052"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Reservas: objetivo de su creación, monto y plazo. No se tienen actualmente.</w:t>
      </w:r>
    </w:p>
    <w:p w14:paraId="52ACA503"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Cambios en políticas contables y correcciones de errores junto con la revelación de los efectos que se tendrá en la información financiera del ente público ya sea retrospectivo o prospectivos. Se reconocen contablemente de acuerdo con la normativa del Consejo Nacional de Armonización Contable.</w:t>
      </w:r>
    </w:p>
    <w:p w14:paraId="44433B28"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 xml:space="preserve">Reclasificaciones: Se realizaron depuraciones de cuentas como seguimiento al análisis de las mismas. </w:t>
      </w:r>
    </w:p>
    <w:p w14:paraId="624149EB" w14:textId="77777777" w:rsidR="00FD66A3" w:rsidRPr="000C42E6" w:rsidRDefault="00FD66A3" w:rsidP="00FD66A3">
      <w:pPr>
        <w:numPr>
          <w:ilvl w:val="0"/>
          <w:numId w:val="8"/>
        </w:numPr>
        <w:spacing w:after="0" w:line="240" w:lineRule="auto"/>
        <w:jc w:val="both"/>
        <w:rPr>
          <w:rFonts w:ascii="Arial" w:hAnsi="Arial" w:cs="Arial"/>
          <w:b/>
          <w:sz w:val="20"/>
          <w:szCs w:val="20"/>
        </w:rPr>
      </w:pPr>
      <w:r w:rsidRPr="000C42E6">
        <w:rPr>
          <w:rFonts w:ascii="Arial" w:hAnsi="Arial" w:cs="Arial"/>
          <w:b/>
          <w:sz w:val="20"/>
          <w:szCs w:val="20"/>
        </w:rPr>
        <w:t xml:space="preserve">Se continúan los procesos para depuración.    </w:t>
      </w:r>
    </w:p>
    <w:p w14:paraId="7DBD94C8" w14:textId="77777777" w:rsidR="00FD66A3" w:rsidRPr="000C42E6" w:rsidRDefault="00FD66A3" w:rsidP="00FD66A3">
      <w:pPr>
        <w:spacing w:after="0" w:line="240" w:lineRule="auto"/>
        <w:jc w:val="both"/>
        <w:rPr>
          <w:rFonts w:ascii="Arial" w:hAnsi="Arial" w:cs="Arial"/>
          <w:b/>
          <w:sz w:val="20"/>
          <w:szCs w:val="20"/>
        </w:rPr>
      </w:pPr>
    </w:p>
    <w:p w14:paraId="78A57F6C" w14:textId="77777777" w:rsidR="00FD66A3" w:rsidRPr="000C42E6" w:rsidRDefault="00FD66A3" w:rsidP="00FD66A3">
      <w:pPr>
        <w:spacing w:after="0" w:line="240" w:lineRule="auto"/>
        <w:jc w:val="both"/>
        <w:rPr>
          <w:rFonts w:ascii="Arial" w:hAnsi="Arial" w:cs="Arial"/>
          <w:b/>
          <w:sz w:val="20"/>
          <w:szCs w:val="20"/>
        </w:rPr>
      </w:pPr>
    </w:p>
    <w:p w14:paraId="001646C1" w14:textId="77777777" w:rsidR="00FD66A3" w:rsidRPr="000C42E6" w:rsidRDefault="00FD66A3" w:rsidP="00FD66A3">
      <w:pPr>
        <w:numPr>
          <w:ilvl w:val="0"/>
          <w:numId w:val="10"/>
        </w:numPr>
        <w:spacing w:after="0" w:line="240" w:lineRule="auto"/>
        <w:jc w:val="both"/>
        <w:rPr>
          <w:rFonts w:ascii="Arial" w:hAnsi="Arial" w:cs="Arial"/>
          <w:b/>
          <w:sz w:val="20"/>
          <w:szCs w:val="20"/>
        </w:rPr>
      </w:pPr>
      <w:r w:rsidRPr="000C42E6">
        <w:rPr>
          <w:rFonts w:ascii="Arial" w:hAnsi="Arial" w:cs="Arial"/>
          <w:b/>
          <w:sz w:val="20"/>
          <w:szCs w:val="20"/>
        </w:rPr>
        <w:t xml:space="preserve"> Posición en Moneda Extranjera y Protección por Riesgo Cambiario</w:t>
      </w:r>
    </w:p>
    <w:p w14:paraId="71A4F89B" w14:textId="77777777" w:rsidR="00FD66A3" w:rsidRPr="000C42E6" w:rsidRDefault="00FD66A3" w:rsidP="00FD66A3">
      <w:pPr>
        <w:spacing w:after="0" w:line="240" w:lineRule="auto"/>
        <w:ind w:left="502"/>
        <w:jc w:val="both"/>
        <w:rPr>
          <w:rFonts w:ascii="Arial" w:hAnsi="Arial" w:cs="Arial"/>
          <w:b/>
          <w:sz w:val="20"/>
          <w:szCs w:val="20"/>
        </w:rPr>
      </w:pPr>
    </w:p>
    <w:p w14:paraId="60E24FBD"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El poder Ejecutivo del Gobierno del Estado no tiene Activos, Pasivos, cuentas por cobrar ni por pagar en moneda extranjera.</w:t>
      </w:r>
    </w:p>
    <w:p w14:paraId="6519EFD5" w14:textId="77777777" w:rsidR="00FD66A3" w:rsidRPr="000C42E6" w:rsidRDefault="00FD66A3" w:rsidP="00FD66A3">
      <w:pPr>
        <w:spacing w:after="0" w:line="240" w:lineRule="auto"/>
        <w:rPr>
          <w:rFonts w:ascii="Arial" w:hAnsi="Arial" w:cs="Arial"/>
          <w:b/>
          <w:sz w:val="20"/>
          <w:szCs w:val="20"/>
        </w:rPr>
      </w:pPr>
    </w:p>
    <w:p w14:paraId="2F12A6FB" w14:textId="77777777" w:rsidR="00FD66A3" w:rsidRPr="000C42E6" w:rsidRDefault="00FD66A3" w:rsidP="00FD66A3">
      <w:pPr>
        <w:numPr>
          <w:ilvl w:val="0"/>
          <w:numId w:val="10"/>
        </w:numPr>
        <w:spacing w:after="0" w:line="240" w:lineRule="auto"/>
        <w:rPr>
          <w:rFonts w:ascii="Arial" w:hAnsi="Arial" w:cs="Arial"/>
          <w:b/>
          <w:sz w:val="20"/>
          <w:szCs w:val="20"/>
        </w:rPr>
      </w:pPr>
      <w:r w:rsidRPr="000C42E6">
        <w:rPr>
          <w:rFonts w:ascii="Arial" w:hAnsi="Arial" w:cs="Arial"/>
          <w:b/>
          <w:sz w:val="20"/>
          <w:szCs w:val="20"/>
        </w:rPr>
        <w:t xml:space="preserve"> Reporte Analítico del Activo</w:t>
      </w:r>
    </w:p>
    <w:p w14:paraId="799CB489" w14:textId="77777777" w:rsidR="00FD66A3" w:rsidRPr="000C42E6" w:rsidRDefault="00FD66A3" w:rsidP="00FD66A3">
      <w:pPr>
        <w:spacing w:after="0" w:line="240" w:lineRule="auto"/>
        <w:ind w:left="502"/>
        <w:rPr>
          <w:rFonts w:ascii="Arial" w:hAnsi="Arial" w:cs="Arial"/>
          <w:b/>
          <w:sz w:val="20"/>
          <w:szCs w:val="20"/>
        </w:rPr>
      </w:pPr>
    </w:p>
    <w:p w14:paraId="0BC6E54F" w14:textId="77777777" w:rsidR="00FD66A3" w:rsidRPr="000C42E6" w:rsidRDefault="00FD66A3" w:rsidP="00FD66A3">
      <w:pPr>
        <w:spacing w:after="0" w:line="240" w:lineRule="auto"/>
        <w:jc w:val="both"/>
        <w:rPr>
          <w:rFonts w:ascii="Arial" w:hAnsi="Arial" w:cs="Arial"/>
          <w:b/>
          <w:sz w:val="20"/>
          <w:szCs w:val="20"/>
        </w:rPr>
      </w:pPr>
      <w:r w:rsidRPr="000C42E6">
        <w:rPr>
          <w:rFonts w:ascii="Arial" w:hAnsi="Arial" w:cs="Arial"/>
          <w:b/>
          <w:sz w:val="20"/>
          <w:szCs w:val="20"/>
        </w:rPr>
        <w:t>Los activos del Poder Ejecutivo son presentados a costos históricos en el formato establecido al efecto por el Consejo Nacional de Armonización Contable, integrado en los Estados Contables de la presente información financiera.</w:t>
      </w:r>
    </w:p>
    <w:p w14:paraId="6857ACC9" w14:textId="77777777" w:rsidR="00FD66A3" w:rsidRPr="000C42E6" w:rsidRDefault="00FD66A3" w:rsidP="00FD66A3">
      <w:pPr>
        <w:spacing w:after="0" w:line="240" w:lineRule="auto"/>
        <w:rPr>
          <w:rFonts w:ascii="Arial" w:hAnsi="Arial" w:cs="Arial"/>
          <w:b/>
          <w:sz w:val="20"/>
          <w:szCs w:val="20"/>
        </w:rPr>
      </w:pPr>
    </w:p>
    <w:p w14:paraId="068C97DB" w14:textId="77777777" w:rsidR="00FD66A3" w:rsidRPr="000C42E6" w:rsidRDefault="00FD66A3" w:rsidP="00FD66A3">
      <w:pPr>
        <w:numPr>
          <w:ilvl w:val="0"/>
          <w:numId w:val="10"/>
        </w:numPr>
        <w:spacing w:after="0" w:line="240" w:lineRule="auto"/>
        <w:rPr>
          <w:rFonts w:ascii="Arial" w:hAnsi="Arial" w:cs="Arial"/>
          <w:b/>
          <w:sz w:val="20"/>
          <w:szCs w:val="20"/>
        </w:rPr>
      </w:pPr>
      <w:r w:rsidRPr="000C42E6">
        <w:rPr>
          <w:rFonts w:ascii="Arial" w:hAnsi="Arial" w:cs="Arial"/>
          <w:b/>
          <w:sz w:val="20"/>
          <w:szCs w:val="20"/>
        </w:rPr>
        <w:t>Fideicomisos, Mandatos y Análogos</w:t>
      </w:r>
    </w:p>
    <w:p w14:paraId="5AAA5132" w14:textId="77777777" w:rsidR="00FD66A3" w:rsidRPr="000C42E6" w:rsidRDefault="00FD66A3" w:rsidP="00FD66A3">
      <w:pPr>
        <w:spacing w:after="0" w:line="240" w:lineRule="auto"/>
        <w:rPr>
          <w:rFonts w:ascii="Arial" w:hAnsi="Arial" w:cs="Arial"/>
          <w:b/>
          <w:sz w:val="20"/>
          <w:szCs w:val="20"/>
        </w:rPr>
      </w:pPr>
    </w:p>
    <w:p w14:paraId="52F9E48C" w14:textId="77777777"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 xml:space="preserve">            Total del Rubro $445</w:t>
      </w:r>
      <w:proofErr w:type="gramStart"/>
      <w:r w:rsidRPr="000C42E6">
        <w:rPr>
          <w:rFonts w:ascii="Arial" w:hAnsi="Arial" w:cs="Arial"/>
          <w:b/>
          <w:sz w:val="20"/>
          <w:szCs w:val="20"/>
        </w:rPr>
        <w:t>,710,902</w:t>
      </w:r>
      <w:proofErr w:type="gramEnd"/>
    </w:p>
    <w:p w14:paraId="57C1B296" w14:textId="77777777" w:rsidR="00FD66A3" w:rsidRPr="000C42E6" w:rsidRDefault="00FD66A3" w:rsidP="00FD66A3">
      <w:pPr>
        <w:spacing w:after="0" w:line="240" w:lineRule="auto"/>
        <w:rPr>
          <w:rFonts w:ascii="Arial" w:hAnsi="Arial" w:cs="Arial"/>
          <w:b/>
          <w:sz w:val="20"/>
          <w:szCs w:val="20"/>
        </w:rPr>
      </w:pPr>
    </w:p>
    <w:p w14:paraId="3CED1BA1" w14:textId="77777777" w:rsidR="00FD66A3" w:rsidRDefault="00FD66A3" w:rsidP="00FD66A3">
      <w:pPr>
        <w:spacing w:after="0" w:line="240" w:lineRule="auto"/>
        <w:jc w:val="both"/>
        <w:rPr>
          <w:rFonts w:ascii="Arial" w:hAnsi="Arial" w:cs="Arial"/>
          <w:b/>
          <w:sz w:val="20"/>
          <w:szCs w:val="20"/>
        </w:rPr>
      </w:pPr>
      <w:r w:rsidRPr="000C42E6">
        <w:rPr>
          <w:rFonts w:ascii="Arial" w:hAnsi="Arial" w:cs="Arial"/>
          <w:b/>
          <w:sz w:val="20"/>
          <w:szCs w:val="20"/>
        </w:rPr>
        <w:t xml:space="preserve">Fideicomisos Públicos sin estructura orgánica en los que el Gobierno del Estado de Tabasco es Fideicomitente a través de la Secretaría de Finanzas; con fundamento en los artículos 32 de la Ley General de Contabilidad Gubernamental; 10 de la Ley de Presupuesto y Responsabilidad Hacendaria del Estado de Tabasco y sus Municipios; así como en el acuerdo por el que el Consejo Nacional de Armonización Contable emitió los Lineamientos que deberán observar los entes públicos para registrar en las cuentas de activo los fideicomisos sin estructura orgánica y contratos análogos, incluyendo mandatos, se contabilizan en el rubro inversiones financieras a largo plazo y el desglose de dicho fideicomisos está en el numero 3 inciso </w:t>
      </w:r>
      <w:proofErr w:type="spellStart"/>
      <w:r w:rsidRPr="000C42E6">
        <w:rPr>
          <w:rFonts w:ascii="Arial" w:hAnsi="Arial" w:cs="Arial"/>
          <w:b/>
          <w:sz w:val="20"/>
          <w:szCs w:val="20"/>
        </w:rPr>
        <w:t>g.a</w:t>
      </w:r>
      <w:proofErr w:type="spellEnd"/>
      <w:r w:rsidRPr="000C42E6">
        <w:rPr>
          <w:rFonts w:ascii="Arial" w:hAnsi="Arial" w:cs="Arial"/>
          <w:b/>
          <w:sz w:val="20"/>
          <w:szCs w:val="20"/>
        </w:rPr>
        <w:t xml:space="preserve"> de las presentes Notas de Gestión Administrativa.</w:t>
      </w:r>
    </w:p>
    <w:p w14:paraId="640D180F" w14:textId="77777777" w:rsidR="00313968" w:rsidRDefault="00313968" w:rsidP="00FD66A3">
      <w:pPr>
        <w:spacing w:after="0" w:line="240" w:lineRule="auto"/>
        <w:jc w:val="both"/>
        <w:rPr>
          <w:rFonts w:ascii="Arial" w:hAnsi="Arial" w:cs="Arial"/>
          <w:b/>
          <w:sz w:val="20"/>
          <w:szCs w:val="20"/>
        </w:rPr>
      </w:pPr>
    </w:p>
    <w:p w14:paraId="6560DD5A" w14:textId="77777777" w:rsidR="00313968" w:rsidRDefault="00313968" w:rsidP="00FD66A3">
      <w:pPr>
        <w:spacing w:after="0" w:line="240" w:lineRule="auto"/>
        <w:jc w:val="both"/>
        <w:rPr>
          <w:rFonts w:ascii="Arial" w:hAnsi="Arial" w:cs="Arial"/>
          <w:b/>
          <w:sz w:val="20"/>
          <w:szCs w:val="20"/>
        </w:rPr>
      </w:pPr>
    </w:p>
    <w:p w14:paraId="5018AF1E" w14:textId="77777777" w:rsidR="00313968" w:rsidRDefault="00313968" w:rsidP="00FD66A3">
      <w:pPr>
        <w:spacing w:after="0" w:line="240" w:lineRule="auto"/>
        <w:jc w:val="both"/>
        <w:rPr>
          <w:rFonts w:ascii="Arial" w:hAnsi="Arial" w:cs="Arial"/>
          <w:b/>
          <w:sz w:val="20"/>
          <w:szCs w:val="20"/>
        </w:rPr>
      </w:pPr>
    </w:p>
    <w:p w14:paraId="5E03018A" w14:textId="77777777" w:rsidR="00313968" w:rsidRDefault="00313968" w:rsidP="00FD66A3">
      <w:pPr>
        <w:spacing w:after="0" w:line="240" w:lineRule="auto"/>
        <w:jc w:val="both"/>
        <w:rPr>
          <w:rFonts w:ascii="Arial" w:hAnsi="Arial" w:cs="Arial"/>
          <w:b/>
          <w:sz w:val="20"/>
          <w:szCs w:val="20"/>
        </w:rPr>
      </w:pPr>
    </w:p>
    <w:p w14:paraId="345EFDB3" w14:textId="77777777" w:rsidR="00313968" w:rsidRDefault="00313968" w:rsidP="00FD66A3">
      <w:pPr>
        <w:spacing w:after="0" w:line="240" w:lineRule="auto"/>
        <w:jc w:val="both"/>
        <w:rPr>
          <w:rFonts w:ascii="Arial" w:hAnsi="Arial" w:cs="Arial"/>
          <w:b/>
          <w:sz w:val="20"/>
          <w:szCs w:val="20"/>
        </w:rPr>
      </w:pPr>
    </w:p>
    <w:p w14:paraId="3B378B74" w14:textId="77777777" w:rsidR="00313968" w:rsidRPr="000C42E6" w:rsidRDefault="00313968" w:rsidP="00FD66A3">
      <w:pPr>
        <w:spacing w:after="0" w:line="240" w:lineRule="auto"/>
        <w:jc w:val="both"/>
        <w:rPr>
          <w:rFonts w:ascii="Arial" w:hAnsi="Arial" w:cs="Arial"/>
          <w:b/>
          <w:sz w:val="20"/>
          <w:szCs w:val="20"/>
        </w:rPr>
      </w:pPr>
    </w:p>
    <w:p w14:paraId="7BA3B9DC" w14:textId="1589DB98" w:rsidR="00FD66A3" w:rsidRPr="000C42E6" w:rsidRDefault="00FD66A3" w:rsidP="00FD66A3">
      <w:pPr>
        <w:spacing w:after="0" w:line="240" w:lineRule="auto"/>
        <w:rPr>
          <w:rFonts w:ascii="Arial" w:hAnsi="Arial" w:cs="Arial"/>
          <w:b/>
          <w:sz w:val="20"/>
          <w:szCs w:val="20"/>
        </w:rPr>
      </w:pPr>
      <w:r w:rsidRPr="000C42E6">
        <w:rPr>
          <w:rFonts w:ascii="Arial" w:hAnsi="Arial" w:cs="Arial"/>
          <w:b/>
          <w:sz w:val="20"/>
          <w:szCs w:val="20"/>
        </w:rPr>
        <w:t xml:space="preserve">   </w:t>
      </w:r>
    </w:p>
    <w:p w14:paraId="531E1A8B" w14:textId="77777777" w:rsidR="00FD66A3" w:rsidRDefault="00FD66A3" w:rsidP="00FD66A3">
      <w:pPr>
        <w:numPr>
          <w:ilvl w:val="0"/>
          <w:numId w:val="10"/>
        </w:numPr>
        <w:spacing w:after="0" w:line="240" w:lineRule="auto"/>
        <w:ind w:left="284"/>
        <w:contextualSpacing/>
        <w:jc w:val="both"/>
        <w:rPr>
          <w:rFonts w:ascii="Arial" w:hAnsi="Arial" w:cs="Arial"/>
          <w:b/>
          <w:sz w:val="20"/>
          <w:szCs w:val="20"/>
        </w:rPr>
      </w:pPr>
      <w:r w:rsidRPr="000C42E6">
        <w:rPr>
          <w:rFonts w:ascii="Arial" w:hAnsi="Arial" w:cs="Arial"/>
          <w:b/>
          <w:sz w:val="20"/>
          <w:szCs w:val="20"/>
        </w:rPr>
        <w:lastRenderedPageBreak/>
        <w:t xml:space="preserve">Reporte de la Recaudación         </w:t>
      </w:r>
    </w:p>
    <w:p w14:paraId="2265F157" w14:textId="77777777" w:rsidR="00313968" w:rsidRDefault="00313968" w:rsidP="00313968">
      <w:pPr>
        <w:spacing w:after="0" w:line="240" w:lineRule="auto"/>
        <w:ind w:left="284"/>
        <w:contextualSpacing/>
        <w:jc w:val="both"/>
        <w:rPr>
          <w:rFonts w:ascii="Arial" w:hAnsi="Arial" w:cs="Arial"/>
          <w:b/>
          <w:sz w:val="20"/>
          <w:szCs w:val="20"/>
        </w:rPr>
      </w:pPr>
    </w:p>
    <w:p w14:paraId="76BDD4D4" w14:textId="77777777" w:rsidR="00FD66A3" w:rsidRDefault="00FD66A3" w:rsidP="00FD66A3">
      <w:pPr>
        <w:spacing w:after="0"/>
        <w:jc w:val="center"/>
        <w:rPr>
          <w:rFonts w:ascii="Arial" w:hAnsi="Arial" w:cs="Arial"/>
          <w:b/>
          <w:sz w:val="20"/>
          <w:szCs w:val="20"/>
        </w:rPr>
      </w:pPr>
      <w:r w:rsidRPr="000C42E6">
        <w:rPr>
          <w:rFonts w:ascii="Arial" w:hAnsi="Arial" w:cs="Arial"/>
          <w:b/>
          <w:sz w:val="20"/>
          <w:szCs w:val="20"/>
        </w:rPr>
        <w:t>Ingresos Estatales y Federales al 31 de diciembre de 2025</w:t>
      </w:r>
    </w:p>
    <w:p w14:paraId="3713418E" w14:textId="77777777" w:rsidR="00C57728" w:rsidRDefault="00C57728" w:rsidP="00FD66A3">
      <w:pPr>
        <w:spacing w:after="0"/>
        <w:jc w:val="center"/>
        <w:rPr>
          <w:rFonts w:ascii="Arial" w:hAnsi="Arial" w:cs="Arial"/>
          <w:b/>
          <w:sz w:val="20"/>
          <w:szCs w:val="20"/>
        </w:rPr>
      </w:pPr>
    </w:p>
    <w:p w14:paraId="147AFC56" w14:textId="0BAB7E4D" w:rsidR="00A742D3" w:rsidRDefault="00A742D3" w:rsidP="00A742D3">
      <w:pPr>
        <w:spacing w:after="0" w:line="240" w:lineRule="auto"/>
        <w:jc w:val="both"/>
        <w:rPr>
          <w:rFonts w:ascii="Arial" w:hAnsi="Arial" w:cs="Arial"/>
          <w:b/>
          <w:sz w:val="20"/>
          <w:szCs w:val="20"/>
        </w:rPr>
      </w:pPr>
      <w:r w:rsidRPr="00A742D3">
        <w:rPr>
          <w:rFonts w:ascii="Arial" w:hAnsi="Arial" w:cs="Arial"/>
          <w:b/>
          <w:sz w:val="20"/>
          <w:szCs w:val="20"/>
        </w:rPr>
        <w:t>Para el 2025, los Ingresos Presupuestarios</w:t>
      </w:r>
      <w:r w:rsidR="001340EA">
        <w:rPr>
          <w:rFonts w:ascii="Arial" w:hAnsi="Arial" w:cs="Arial"/>
          <w:b/>
          <w:sz w:val="20"/>
          <w:szCs w:val="20"/>
        </w:rPr>
        <w:t xml:space="preserve"> Recaudados</w:t>
      </w:r>
      <w:r w:rsidRPr="00A742D3">
        <w:rPr>
          <w:rFonts w:ascii="Arial" w:hAnsi="Arial" w:cs="Arial"/>
          <w:b/>
          <w:sz w:val="20"/>
          <w:szCs w:val="20"/>
        </w:rPr>
        <w:t xml:space="preserve"> sumaron 75 mil 571.2 millones de pesos, cifra mayor en 13.29 por ciento a la estimada en la Ley de Ingresos del Estado de Tabasco y mayor en 12.33 por ciento real a la registrada en la Cuenta Pública del año previo.</w:t>
      </w:r>
    </w:p>
    <w:p w14:paraId="2773DD67" w14:textId="77777777" w:rsidR="001340EA" w:rsidRPr="00A742D3" w:rsidRDefault="001340EA" w:rsidP="00A742D3">
      <w:pPr>
        <w:spacing w:after="0" w:line="240" w:lineRule="auto"/>
        <w:jc w:val="both"/>
        <w:rPr>
          <w:rFonts w:ascii="Arial" w:hAnsi="Arial" w:cs="Arial"/>
          <w:b/>
          <w:sz w:val="20"/>
          <w:szCs w:val="20"/>
        </w:rPr>
      </w:pPr>
    </w:p>
    <w:p w14:paraId="24427F4B" w14:textId="77777777" w:rsidR="00A742D3" w:rsidRDefault="00A742D3" w:rsidP="00A742D3">
      <w:pPr>
        <w:spacing w:after="0" w:line="240" w:lineRule="auto"/>
        <w:jc w:val="both"/>
        <w:rPr>
          <w:rFonts w:ascii="Arial" w:hAnsi="Arial" w:cs="Arial"/>
          <w:b/>
          <w:sz w:val="20"/>
          <w:szCs w:val="20"/>
        </w:rPr>
      </w:pPr>
      <w:r w:rsidRPr="00A742D3">
        <w:rPr>
          <w:rFonts w:ascii="Arial" w:hAnsi="Arial" w:cs="Arial"/>
          <w:b/>
          <w:sz w:val="20"/>
          <w:szCs w:val="20"/>
        </w:rPr>
        <w:t>De los Ingresos Totales el 8.76 por ciento corresponde a Recursos Estatales y el 83.73 por ciento corresponde a Ingresos Federales, los cuales se dividen en los rubros de Participaciones con el 40.44 por ciento, Aportaciones con el 27.23 por ciento, Convenios con el 12.00 por ciento, Incentivos Derivados de la Colaboración Fiscal con el 1.61 por ciento, Fondos Distintos de Aportaciones con el 2.45 por ciento y Transferencias, Asignaciones, Subsidios y Subvenciones, y Pensiones y Jubilaciones con el 0.002 por ciento, así como el 7.51 por ciento corresponde a Ingresos Derivados de Financiamiento</w:t>
      </w:r>
    </w:p>
    <w:p w14:paraId="74866C20" w14:textId="77777777" w:rsidR="00C52E28" w:rsidRDefault="00C52E28" w:rsidP="00A742D3">
      <w:pPr>
        <w:spacing w:after="0" w:line="240" w:lineRule="auto"/>
        <w:jc w:val="both"/>
        <w:rPr>
          <w:rFonts w:ascii="Arial" w:hAnsi="Arial" w:cs="Arial"/>
          <w:b/>
          <w:sz w:val="20"/>
          <w:szCs w:val="20"/>
        </w:rPr>
      </w:pPr>
    </w:p>
    <w:p w14:paraId="5516C7FA" w14:textId="53E70BF4" w:rsidR="00A742D3" w:rsidRDefault="00C52E28" w:rsidP="00C52E28">
      <w:pPr>
        <w:spacing w:after="0" w:line="240" w:lineRule="auto"/>
        <w:jc w:val="center"/>
        <w:rPr>
          <w:rFonts w:ascii="Arial" w:hAnsi="Arial" w:cs="Arial"/>
          <w:b/>
          <w:sz w:val="20"/>
          <w:szCs w:val="20"/>
        </w:rPr>
      </w:pPr>
      <w:r>
        <w:rPr>
          <w:rFonts w:ascii="Arial" w:hAnsi="Arial" w:cs="Arial"/>
          <w:b/>
          <w:sz w:val="20"/>
          <w:szCs w:val="20"/>
        </w:rPr>
        <w:t>INGRESOS PRESUPUESTARIOS RECAUDADOS</w:t>
      </w:r>
    </w:p>
    <w:p w14:paraId="14D30134" w14:textId="261A2C00" w:rsidR="00C54657" w:rsidRDefault="00C54657" w:rsidP="00A742D3">
      <w:pPr>
        <w:spacing w:after="0" w:line="240" w:lineRule="auto"/>
        <w:jc w:val="both"/>
        <w:rPr>
          <w:rFonts w:ascii="Arial" w:hAnsi="Arial" w:cs="Arial"/>
          <w:b/>
          <w:sz w:val="20"/>
          <w:szCs w:val="20"/>
        </w:rPr>
      </w:pPr>
      <w:r w:rsidRPr="00D8734A">
        <w:rPr>
          <w:rFonts w:ascii="Arial" w:hAnsi="Arial" w:cs="Arial"/>
          <w:noProof/>
          <w:sz w:val="20"/>
          <w:szCs w:val="20"/>
          <w:lang w:eastAsia="es-MX"/>
        </w:rPr>
        <w:drawing>
          <wp:inline distT="0" distB="0" distL="0" distR="0" wp14:anchorId="5BCF00A6" wp14:editId="446868B9">
            <wp:extent cx="8190220" cy="3333115"/>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5915"/>
                    <a:stretch/>
                  </pic:blipFill>
                  <pic:spPr bwMode="auto">
                    <a:xfrm>
                      <a:off x="0" y="0"/>
                      <a:ext cx="8190865" cy="3333377"/>
                    </a:xfrm>
                    <a:prstGeom prst="rect">
                      <a:avLst/>
                    </a:prstGeom>
                    <a:noFill/>
                    <a:ln>
                      <a:noFill/>
                    </a:ln>
                    <a:extLst>
                      <a:ext uri="{53640926-AAD7-44D8-BBD7-CCE9431645EC}">
                        <a14:shadowObscured xmlns:a14="http://schemas.microsoft.com/office/drawing/2010/main"/>
                      </a:ext>
                    </a:extLst>
                  </pic:spPr>
                </pic:pic>
              </a:graphicData>
            </a:graphic>
          </wp:inline>
        </w:drawing>
      </w:r>
    </w:p>
    <w:p w14:paraId="64DB0DAD" w14:textId="77777777" w:rsidR="00C57728" w:rsidRDefault="00C57728" w:rsidP="00FD66A3">
      <w:pPr>
        <w:spacing w:after="0"/>
        <w:jc w:val="center"/>
        <w:rPr>
          <w:rFonts w:ascii="Arial" w:hAnsi="Arial" w:cs="Arial"/>
          <w:b/>
          <w:sz w:val="20"/>
          <w:szCs w:val="20"/>
        </w:rPr>
      </w:pPr>
    </w:p>
    <w:p w14:paraId="5CEDA94C" w14:textId="77777777" w:rsidR="00313968" w:rsidRDefault="00313968" w:rsidP="0032396B">
      <w:pPr>
        <w:spacing w:after="0" w:line="240" w:lineRule="auto"/>
        <w:rPr>
          <w:rFonts w:ascii="Arial" w:eastAsia="Calibri" w:hAnsi="Arial" w:cs="Arial"/>
          <w:b/>
          <w:sz w:val="20"/>
          <w:szCs w:val="20"/>
        </w:rPr>
      </w:pPr>
    </w:p>
    <w:p w14:paraId="27CCDCF3" w14:textId="77777777" w:rsidR="00A2095C" w:rsidRDefault="00A2095C" w:rsidP="0032396B">
      <w:pPr>
        <w:spacing w:after="0" w:line="240" w:lineRule="auto"/>
        <w:rPr>
          <w:rFonts w:ascii="Arial" w:eastAsia="Calibri" w:hAnsi="Arial" w:cs="Arial"/>
          <w:b/>
          <w:sz w:val="20"/>
          <w:szCs w:val="20"/>
        </w:rPr>
      </w:pPr>
    </w:p>
    <w:p w14:paraId="24849F61" w14:textId="77777777" w:rsidR="00313968" w:rsidRDefault="00313968" w:rsidP="0032396B">
      <w:pPr>
        <w:spacing w:after="0" w:line="240" w:lineRule="auto"/>
        <w:rPr>
          <w:rFonts w:ascii="Arial" w:eastAsia="Calibri" w:hAnsi="Arial" w:cs="Arial"/>
          <w:b/>
          <w:sz w:val="20"/>
          <w:szCs w:val="20"/>
        </w:rPr>
      </w:pPr>
    </w:p>
    <w:p w14:paraId="63EF0F8B" w14:textId="77777777" w:rsidR="00C52E28" w:rsidRDefault="00C52E28" w:rsidP="0032396B">
      <w:pPr>
        <w:spacing w:after="0" w:line="240" w:lineRule="auto"/>
        <w:rPr>
          <w:rFonts w:ascii="Arial" w:eastAsia="Calibri" w:hAnsi="Arial" w:cs="Arial"/>
          <w:b/>
          <w:sz w:val="20"/>
          <w:szCs w:val="20"/>
        </w:rPr>
      </w:pPr>
    </w:p>
    <w:p w14:paraId="0EE30CC1" w14:textId="77777777" w:rsidR="00313968" w:rsidRDefault="00313968" w:rsidP="0032396B">
      <w:pPr>
        <w:spacing w:after="0" w:line="240" w:lineRule="auto"/>
        <w:rPr>
          <w:rFonts w:ascii="Arial" w:eastAsia="Calibri" w:hAnsi="Arial" w:cs="Arial"/>
          <w:b/>
          <w:sz w:val="20"/>
          <w:szCs w:val="20"/>
        </w:rPr>
      </w:pPr>
    </w:p>
    <w:p w14:paraId="25D66A5A" w14:textId="77777777" w:rsidR="0032396B" w:rsidRDefault="0032396B" w:rsidP="0032396B">
      <w:pPr>
        <w:spacing w:after="0" w:line="240" w:lineRule="auto"/>
        <w:rPr>
          <w:rFonts w:ascii="Arial" w:eastAsia="Calibri" w:hAnsi="Arial" w:cs="Arial"/>
          <w:b/>
          <w:sz w:val="20"/>
          <w:szCs w:val="20"/>
        </w:rPr>
      </w:pPr>
      <w:r w:rsidRPr="00D8734A">
        <w:rPr>
          <w:rFonts w:ascii="Arial" w:eastAsia="Calibri" w:hAnsi="Arial" w:cs="Arial"/>
          <w:b/>
          <w:sz w:val="20"/>
          <w:szCs w:val="20"/>
        </w:rPr>
        <w:lastRenderedPageBreak/>
        <w:t>Ingresos Estatales</w:t>
      </w:r>
    </w:p>
    <w:p w14:paraId="183C1675" w14:textId="77777777" w:rsidR="00313968" w:rsidRPr="00D8734A" w:rsidRDefault="00313968" w:rsidP="0032396B">
      <w:pPr>
        <w:spacing w:after="0" w:line="240" w:lineRule="auto"/>
        <w:rPr>
          <w:rFonts w:ascii="Arial" w:eastAsia="Calibri" w:hAnsi="Arial" w:cs="Arial"/>
          <w:b/>
          <w:sz w:val="20"/>
          <w:szCs w:val="20"/>
        </w:rPr>
      </w:pPr>
    </w:p>
    <w:p w14:paraId="6FD62DB2" w14:textId="586F4630" w:rsidR="0032396B" w:rsidRDefault="00A742D3" w:rsidP="0032396B">
      <w:pPr>
        <w:spacing w:after="0" w:line="240" w:lineRule="auto"/>
        <w:jc w:val="both"/>
        <w:rPr>
          <w:rFonts w:ascii="Arial" w:eastAsia="Calibri" w:hAnsi="Arial" w:cs="Arial"/>
          <w:b/>
          <w:color w:val="000000"/>
          <w:sz w:val="20"/>
          <w:szCs w:val="20"/>
        </w:rPr>
      </w:pPr>
      <w:r w:rsidRPr="00A742D3">
        <w:rPr>
          <w:rFonts w:ascii="Arial" w:eastAsia="Calibri" w:hAnsi="Arial" w:cs="Arial"/>
          <w:b/>
          <w:color w:val="000000"/>
          <w:sz w:val="20"/>
          <w:szCs w:val="20"/>
        </w:rPr>
        <w:t>Los Ingresos Estatales recaudados al 31 de diciembre de 2025, alcanzaron la totalidad de 6 mil 622.9 millones de pesos, lo que representa un incremento del 26.64 por ciento, comparándolos con lo programado en Ley de Ingresos del Estado de Tabasco (LIET 2025), donde se tenía una expectativa de ingresos de 5 mil 229.9 millones de pesos, obteniéndose ingresos adicionales por 1 mil 393.0 millones de pesos</w:t>
      </w:r>
      <w:r w:rsidR="00C52E28">
        <w:rPr>
          <w:rFonts w:ascii="Arial" w:eastAsia="Calibri" w:hAnsi="Arial" w:cs="Arial"/>
          <w:b/>
          <w:color w:val="000000"/>
          <w:sz w:val="20"/>
          <w:szCs w:val="20"/>
        </w:rPr>
        <w:t>.</w:t>
      </w:r>
      <w:r w:rsidR="0032396B" w:rsidRPr="00D8734A">
        <w:rPr>
          <w:rFonts w:ascii="Arial" w:eastAsia="Calibri" w:hAnsi="Arial" w:cs="Arial"/>
          <w:b/>
          <w:color w:val="000000"/>
          <w:sz w:val="20"/>
          <w:szCs w:val="20"/>
        </w:rPr>
        <w:t xml:space="preserve"> </w:t>
      </w:r>
    </w:p>
    <w:p w14:paraId="3FE47E5F" w14:textId="77777777" w:rsidR="00C52E28" w:rsidRDefault="00C52E28" w:rsidP="0032396B">
      <w:pPr>
        <w:spacing w:after="0" w:line="240" w:lineRule="auto"/>
        <w:jc w:val="both"/>
        <w:rPr>
          <w:rFonts w:ascii="Arial" w:eastAsia="Calibri" w:hAnsi="Arial" w:cs="Arial"/>
          <w:b/>
          <w:color w:val="000000"/>
          <w:sz w:val="20"/>
          <w:szCs w:val="20"/>
        </w:rPr>
      </w:pPr>
    </w:p>
    <w:p w14:paraId="1BF31B69" w14:textId="7D5C255F" w:rsidR="00C52E28" w:rsidRPr="00D8734A" w:rsidRDefault="00C52E28" w:rsidP="00C52E28">
      <w:pPr>
        <w:spacing w:after="0" w:line="240" w:lineRule="auto"/>
        <w:jc w:val="center"/>
        <w:rPr>
          <w:rFonts w:ascii="Arial" w:eastAsia="Calibri" w:hAnsi="Arial" w:cs="Arial"/>
          <w:b/>
          <w:color w:val="000000"/>
          <w:sz w:val="20"/>
          <w:szCs w:val="20"/>
        </w:rPr>
      </w:pPr>
      <w:r>
        <w:rPr>
          <w:rFonts w:ascii="Arial" w:eastAsia="Calibri" w:hAnsi="Arial" w:cs="Arial"/>
          <w:b/>
          <w:color w:val="000000"/>
          <w:sz w:val="20"/>
          <w:szCs w:val="20"/>
        </w:rPr>
        <w:t>INGRESOS PRESUPUESTARIOS RECAUDADOS 2025</w:t>
      </w:r>
    </w:p>
    <w:p w14:paraId="5CBFE016" w14:textId="77777777" w:rsidR="0032396B" w:rsidRPr="0032396B" w:rsidRDefault="0032396B" w:rsidP="0032396B">
      <w:pPr>
        <w:spacing w:after="0" w:line="240" w:lineRule="auto"/>
        <w:jc w:val="center"/>
        <w:rPr>
          <w:rFonts w:ascii="Arial" w:eastAsia="Calibri" w:hAnsi="Arial" w:cs="Arial"/>
          <w:color w:val="000000"/>
          <w:sz w:val="24"/>
          <w:szCs w:val="24"/>
        </w:rPr>
      </w:pPr>
      <w:r w:rsidRPr="0032396B">
        <w:rPr>
          <w:rFonts w:ascii="Calibri" w:eastAsia="Calibri" w:hAnsi="Calibri" w:cs="Times New Roman"/>
          <w:noProof/>
          <w:lang w:eastAsia="es-MX"/>
        </w:rPr>
        <w:drawing>
          <wp:inline distT="0" distB="0" distL="0" distR="0" wp14:anchorId="7937D77B" wp14:editId="6DC017C0">
            <wp:extent cx="6614160" cy="2453640"/>
            <wp:effectExtent l="0" t="0" r="0" b="3810"/>
            <wp:docPr id="14275713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2262"/>
                    <a:stretch/>
                  </pic:blipFill>
                  <pic:spPr bwMode="auto">
                    <a:xfrm>
                      <a:off x="0" y="0"/>
                      <a:ext cx="6614160" cy="2453640"/>
                    </a:xfrm>
                    <a:prstGeom prst="rect">
                      <a:avLst/>
                    </a:prstGeom>
                    <a:noFill/>
                    <a:ln>
                      <a:noFill/>
                    </a:ln>
                    <a:extLst>
                      <a:ext uri="{53640926-AAD7-44D8-BBD7-CCE9431645EC}">
                        <a14:shadowObscured xmlns:a14="http://schemas.microsoft.com/office/drawing/2010/main"/>
                      </a:ext>
                    </a:extLst>
                  </pic:spPr>
                </pic:pic>
              </a:graphicData>
            </a:graphic>
          </wp:inline>
        </w:drawing>
      </w:r>
    </w:p>
    <w:p w14:paraId="4804927E" w14:textId="77777777" w:rsidR="0032396B" w:rsidRPr="0032396B" w:rsidRDefault="0032396B" w:rsidP="0032396B">
      <w:pPr>
        <w:spacing w:after="0" w:line="240" w:lineRule="auto"/>
        <w:jc w:val="both"/>
        <w:rPr>
          <w:rFonts w:ascii="Arial" w:eastAsia="Calibri" w:hAnsi="Arial" w:cs="Arial"/>
          <w:color w:val="000000"/>
          <w:sz w:val="24"/>
          <w:szCs w:val="24"/>
        </w:rPr>
      </w:pPr>
    </w:p>
    <w:p w14:paraId="3772F983" w14:textId="77777777" w:rsidR="00A742D3" w:rsidRPr="00A742D3" w:rsidRDefault="00A742D3" w:rsidP="00A742D3">
      <w:pPr>
        <w:rPr>
          <w:rFonts w:ascii="Arial" w:eastAsia="Calibri" w:hAnsi="Arial" w:cs="Arial"/>
          <w:color w:val="000000"/>
          <w:sz w:val="20"/>
          <w:szCs w:val="24"/>
        </w:rPr>
      </w:pPr>
      <w:r w:rsidRPr="00A742D3">
        <w:rPr>
          <w:rFonts w:ascii="Arial" w:eastAsia="Calibri" w:hAnsi="Arial" w:cs="Arial"/>
          <w:color w:val="000000"/>
          <w:sz w:val="20"/>
          <w:szCs w:val="24"/>
        </w:rPr>
        <w:t>Por su parte, los Ingresos Estatales captados al 31 de diciembre de 2025, reflejan un incremento en la recaudación del 11.46 por ciento, respecto al mismo período del 2024. Los rubros que conforman los ingresos propios, son: Impuestos, Derechos, Productos, Aprovechamientos e Ingresos por Venta de Bienes y Servicios.</w:t>
      </w:r>
    </w:p>
    <w:p w14:paraId="47EA2E47" w14:textId="77777777" w:rsidR="0032396B" w:rsidRPr="0032396B" w:rsidRDefault="0032396B" w:rsidP="0032396B">
      <w:pPr>
        <w:spacing w:after="0" w:line="240" w:lineRule="auto"/>
        <w:jc w:val="center"/>
        <w:rPr>
          <w:rFonts w:ascii="Calibri" w:eastAsia="Calibri" w:hAnsi="Calibri" w:cs="Times New Roman"/>
          <w:noProof/>
          <w:lang w:eastAsia="es-MX"/>
        </w:rPr>
      </w:pPr>
    </w:p>
    <w:p w14:paraId="7DFE2252" w14:textId="77777777" w:rsidR="0032396B" w:rsidRDefault="0032396B" w:rsidP="0032396B">
      <w:pPr>
        <w:spacing w:after="0" w:line="240" w:lineRule="auto"/>
        <w:rPr>
          <w:rFonts w:ascii="Calibri" w:eastAsia="Calibri" w:hAnsi="Calibri" w:cs="Times New Roman"/>
          <w:noProof/>
          <w:lang w:eastAsia="es-MX"/>
        </w:rPr>
      </w:pPr>
    </w:p>
    <w:p w14:paraId="7383AF2D" w14:textId="77777777" w:rsidR="0032396B" w:rsidRDefault="0032396B" w:rsidP="0032396B">
      <w:pPr>
        <w:spacing w:after="0" w:line="240" w:lineRule="auto"/>
        <w:rPr>
          <w:rFonts w:ascii="Calibri" w:eastAsia="Calibri" w:hAnsi="Calibri" w:cs="Times New Roman"/>
          <w:noProof/>
          <w:lang w:eastAsia="es-MX"/>
        </w:rPr>
      </w:pPr>
    </w:p>
    <w:p w14:paraId="1DE43FA5" w14:textId="77777777" w:rsidR="0032396B" w:rsidRDefault="0032396B" w:rsidP="0032396B">
      <w:pPr>
        <w:spacing w:after="0" w:line="240" w:lineRule="auto"/>
        <w:rPr>
          <w:rFonts w:ascii="Calibri" w:eastAsia="Calibri" w:hAnsi="Calibri" w:cs="Times New Roman"/>
          <w:noProof/>
          <w:lang w:eastAsia="es-MX"/>
        </w:rPr>
      </w:pPr>
    </w:p>
    <w:p w14:paraId="586A5ECD" w14:textId="77777777" w:rsidR="0032396B" w:rsidRDefault="0032396B" w:rsidP="0032396B">
      <w:pPr>
        <w:spacing w:after="0" w:line="240" w:lineRule="auto"/>
        <w:rPr>
          <w:rFonts w:ascii="Calibri" w:eastAsia="Calibri" w:hAnsi="Calibri" w:cs="Times New Roman"/>
          <w:noProof/>
          <w:lang w:eastAsia="es-MX"/>
        </w:rPr>
      </w:pPr>
    </w:p>
    <w:p w14:paraId="03C3D1B7" w14:textId="77777777" w:rsidR="0032396B" w:rsidRDefault="0032396B" w:rsidP="0032396B">
      <w:pPr>
        <w:spacing w:after="0" w:line="240" w:lineRule="auto"/>
        <w:rPr>
          <w:rFonts w:ascii="Calibri" w:eastAsia="Calibri" w:hAnsi="Calibri" w:cs="Times New Roman"/>
          <w:noProof/>
          <w:lang w:eastAsia="es-MX"/>
        </w:rPr>
      </w:pPr>
    </w:p>
    <w:p w14:paraId="3D103716" w14:textId="77777777" w:rsidR="00D8734A" w:rsidRDefault="00D8734A" w:rsidP="0032396B">
      <w:pPr>
        <w:spacing w:after="0" w:line="240" w:lineRule="auto"/>
        <w:rPr>
          <w:rFonts w:ascii="Calibri" w:eastAsia="Calibri" w:hAnsi="Calibri" w:cs="Times New Roman"/>
          <w:noProof/>
          <w:lang w:eastAsia="es-MX"/>
        </w:rPr>
      </w:pPr>
    </w:p>
    <w:p w14:paraId="321E2388" w14:textId="77777777" w:rsidR="00D8734A" w:rsidRDefault="00D8734A" w:rsidP="0032396B">
      <w:pPr>
        <w:spacing w:after="0" w:line="240" w:lineRule="auto"/>
        <w:rPr>
          <w:rFonts w:ascii="Calibri" w:eastAsia="Calibri" w:hAnsi="Calibri" w:cs="Times New Roman"/>
          <w:noProof/>
          <w:lang w:eastAsia="es-MX"/>
        </w:rPr>
      </w:pPr>
    </w:p>
    <w:p w14:paraId="4945D865" w14:textId="77777777" w:rsidR="00D8734A" w:rsidRDefault="00D8734A" w:rsidP="0032396B">
      <w:pPr>
        <w:spacing w:after="0" w:line="240" w:lineRule="auto"/>
        <w:rPr>
          <w:rFonts w:ascii="Calibri" w:eastAsia="Calibri" w:hAnsi="Calibri" w:cs="Times New Roman"/>
          <w:noProof/>
          <w:lang w:eastAsia="es-MX"/>
        </w:rPr>
      </w:pPr>
    </w:p>
    <w:p w14:paraId="0A511AE5" w14:textId="77777777" w:rsidR="0032396B" w:rsidRDefault="0032396B" w:rsidP="0032396B">
      <w:pPr>
        <w:spacing w:after="0" w:line="240" w:lineRule="auto"/>
        <w:rPr>
          <w:rFonts w:ascii="Calibri" w:eastAsia="Calibri" w:hAnsi="Calibri" w:cs="Times New Roman"/>
          <w:noProof/>
          <w:lang w:eastAsia="es-MX"/>
        </w:rPr>
      </w:pPr>
    </w:p>
    <w:p w14:paraId="53129AD5" w14:textId="77777777" w:rsidR="00C52E28" w:rsidRDefault="00C52E28" w:rsidP="0032396B">
      <w:pPr>
        <w:spacing w:after="0" w:line="240" w:lineRule="auto"/>
        <w:rPr>
          <w:rFonts w:ascii="Calibri" w:eastAsia="Calibri" w:hAnsi="Calibri" w:cs="Times New Roman"/>
          <w:noProof/>
          <w:lang w:eastAsia="es-MX"/>
        </w:rPr>
      </w:pPr>
    </w:p>
    <w:p w14:paraId="715EE915" w14:textId="77777777" w:rsidR="009C4E1D" w:rsidRDefault="009C4E1D" w:rsidP="0032396B">
      <w:pPr>
        <w:spacing w:after="0" w:line="240" w:lineRule="auto"/>
        <w:rPr>
          <w:rFonts w:ascii="Calibri" w:eastAsia="Calibri" w:hAnsi="Calibri" w:cs="Times New Roman"/>
          <w:noProof/>
          <w:lang w:eastAsia="es-MX"/>
        </w:rPr>
      </w:pPr>
    </w:p>
    <w:p w14:paraId="64818C9F" w14:textId="77777777" w:rsidR="0032396B" w:rsidRDefault="0032396B" w:rsidP="0032396B">
      <w:pPr>
        <w:spacing w:after="0" w:line="240" w:lineRule="auto"/>
        <w:rPr>
          <w:rFonts w:ascii="Calibri" w:eastAsia="Calibri" w:hAnsi="Calibri" w:cs="Times New Roman"/>
          <w:noProof/>
          <w:lang w:eastAsia="es-MX"/>
        </w:rPr>
      </w:pPr>
    </w:p>
    <w:tbl>
      <w:tblPr>
        <w:tblW w:w="10380" w:type="dxa"/>
        <w:jc w:val="center"/>
        <w:tblCellMar>
          <w:left w:w="70" w:type="dxa"/>
          <w:right w:w="70" w:type="dxa"/>
        </w:tblCellMar>
        <w:tblLook w:val="04A0" w:firstRow="1" w:lastRow="0" w:firstColumn="1" w:lastColumn="0" w:noHBand="0" w:noVBand="1"/>
      </w:tblPr>
      <w:tblGrid>
        <w:gridCol w:w="2622"/>
        <w:gridCol w:w="1812"/>
        <w:gridCol w:w="1812"/>
        <w:gridCol w:w="1622"/>
        <w:gridCol w:w="887"/>
        <w:gridCol w:w="1625"/>
      </w:tblGrid>
      <w:tr w:rsidR="0032396B" w:rsidRPr="0032396B" w14:paraId="1CDE2467" w14:textId="77777777" w:rsidTr="00D8734A">
        <w:trPr>
          <w:trHeight w:val="288"/>
          <w:jc w:val="center"/>
        </w:trPr>
        <w:tc>
          <w:tcPr>
            <w:tcW w:w="10380" w:type="dxa"/>
            <w:gridSpan w:val="6"/>
            <w:tcBorders>
              <w:top w:val="nil"/>
              <w:left w:val="nil"/>
              <w:bottom w:val="nil"/>
              <w:right w:val="nil"/>
            </w:tcBorders>
            <w:shd w:val="clear" w:color="000000" w:fill="FFFFFF"/>
            <w:noWrap/>
            <w:vAlign w:val="center"/>
            <w:hideMark/>
          </w:tcPr>
          <w:p w14:paraId="19779D66" w14:textId="4A770AD3"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lastRenderedPageBreak/>
              <w:t>INGRESOS PRESUPUESTARIOS</w:t>
            </w:r>
            <w:r w:rsidR="00C52E28">
              <w:rPr>
                <w:rFonts w:ascii="Arial" w:eastAsia="Times New Roman" w:hAnsi="Arial" w:cs="Arial"/>
                <w:b/>
                <w:bCs/>
                <w:color w:val="000000"/>
                <w:lang w:eastAsia="es-MX"/>
              </w:rPr>
              <w:t xml:space="preserve"> RECAUDADOS</w:t>
            </w:r>
            <w:r w:rsidRPr="0032396B">
              <w:rPr>
                <w:rFonts w:ascii="Arial" w:eastAsia="Times New Roman" w:hAnsi="Arial" w:cs="Arial"/>
                <w:b/>
                <w:bCs/>
                <w:color w:val="000000"/>
                <w:lang w:eastAsia="es-MX"/>
              </w:rPr>
              <w:t xml:space="preserve"> 2025</w:t>
            </w:r>
          </w:p>
        </w:tc>
      </w:tr>
      <w:tr w:rsidR="0032396B" w:rsidRPr="0032396B" w14:paraId="2C06B79C" w14:textId="77777777" w:rsidTr="00D8734A">
        <w:trPr>
          <w:trHeight w:val="300"/>
          <w:jc w:val="center"/>
        </w:trPr>
        <w:tc>
          <w:tcPr>
            <w:tcW w:w="10380" w:type="dxa"/>
            <w:gridSpan w:val="6"/>
            <w:tcBorders>
              <w:top w:val="nil"/>
              <w:left w:val="nil"/>
              <w:bottom w:val="single" w:sz="8" w:space="0" w:color="auto"/>
              <w:right w:val="nil"/>
            </w:tcBorders>
            <w:shd w:val="clear" w:color="000000" w:fill="FFFFFF"/>
            <w:noWrap/>
            <w:vAlign w:val="center"/>
            <w:hideMark/>
          </w:tcPr>
          <w:p w14:paraId="11274ECD" w14:textId="77777777" w:rsidR="0032396B" w:rsidRPr="0032396B" w:rsidRDefault="0032396B" w:rsidP="0032396B">
            <w:pPr>
              <w:spacing w:after="0" w:line="240" w:lineRule="auto"/>
              <w:jc w:val="center"/>
              <w:rPr>
                <w:rFonts w:ascii="Arial" w:eastAsia="Times New Roman" w:hAnsi="Arial" w:cs="Arial"/>
                <w:color w:val="000000"/>
                <w:lang w:eastAsia="es-MX"/>
              </w:rPr>
            </w:pPr>
            <w:r w:rsidRPr="0032396B">
              <w:rPr>
                <w:rFonts w:ascii="Arial" w:eastAsia="Times New Roman" w:hAnsi="Arial" w:cs="Arial"/>
                <w:color w:val="000000"/>
                <w:lang w:eastAsia="es-MX"/>
              </w:rPr>
              <w:t>(MILLONES DE PESOS)</w:t>
            </w:r>
          </w:p>
        </w:tc>
      </w:tr>
      <w:tr w:rsidR="0032396B" w:rsidRPr="0032396B" w14:paraId="1515E5F5" w14:textId="77777777" w:rsidTr="00D8734A">
        <w:trPr>
          <w:trHeight w:val="300"/>
          <w:jc w:val="center"/>
        </w:trPr>
        <w:tc>
          <w:tcPr>
            <w:tcW w:w="2622" w:type="dxa"/>
            <w:vMerge w:val="restart"/>
            <w:tcBorders>
              <w:top w:val="nil"/>
              <w:left w:val="single" w:sz="8" w:space="0" w:color="auto"/>
              <w:bottom w:val="single" w:sz="8" w:space="0" w:color="000000"/>
              <w:right w:val="single" w:sz="8" w:space="0" w:color="auto"/>
            </w:tcBorders>
            <w:shd w:val="clear" w:color="000000" w:fill="BB9959"/>
            <w:noWrap/>
            <w:vAlign w:val="center"/>
            <w:hideMark/>
          </w:tcPr>
          <w:p w14:paraId="18BEAACD" w14:textId="77777777"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t xml:space="preserve">Ingresos Estatales </w:t>
            </w:r>
          </w:p>
        </w:tc>
        <w:tc>
          <w:tcPr>
            <w:tcW w:w="1812" w:type="dxa"/>
            <w:vMerge w:val="restart"/>
            <w:tcBorders>
              <w:top w:val="nil"/>
              <w:left w:val="single" w:sz="8" w:space="0" w:color="auto"/>
              <w:bottom w:val="single" w:sz="8" w:space="0" w:color="000000"/>
              <w:right w:val="single" w:sz="8" w:space="0" w:color="auto"/>
            </w:tcBorders>
            <w:shd w:val="clear" w:color="000000" w:fill="BB9959"/>
            <w:noWrap/>
            <w:vAlign w:val="center"/>
            <w:hideMark/>
          </w:tcPr>
          <w:p w14:paraId="65AB26C1" w14:textId="77777777"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t>2025</w:t>
            </w:r>
          </w:p>
        </w:tc>
        <w:tc>
          <w:tcPr>
            <w:tcW w:w="1812" w:type="dxa"/>
            <w:vMerge w:val="restart"/>
            <w:tcBorders>
              <w:top w:val="nil"/>
              <w:left w:val="single" w:sz="8" w:space="0" w:color="auto"/>
              <w:bottom w:val="single" w:sz="8" w:space="0" w:color="000000"/>
              <w:right w:val="single" w:sz="8" w:space="0" w:color="auto"/>
            </w:tcBorders>
            <w:shd w:val="clear" w:color="000000" w:fill="BB9959"/>
            <w:noWrap/>
            <w:vAlign w:val="center"/>
            <w:hideMark/>
          </w:tcPr>
          <w:p w14:paraId="71FAA15D" w14:textId="77777777"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t>2024</w:t>
            </w:r>
          </w:p>
        </w:tc>
        <w:tc>
          <w:tcPr>
            <w:tcW w:w="4134" w:type="dxa"/>
            <w:gridSpan w:val="3"/>
            <w:tcBorders>
              <w:top w:val="single" w:sz="8" w:space="0" w:color="auto"/>
              <w:left w:val="nil"/>
              <w:bottom w:val="single" w:sz="8" w:space="0" w:color="auto"/>
              <w:right w:val="single" w:sz="8" w:space="0" w:color="000000"/>
            </w:tcBorders>
            <w:shd w:val="clear" w:color="000000" w:fill="BB9959"/>
            <w:noWrap/>
            <w:vAlign w:val="center"/>
            <w:hideMark/>
          </w:tcPr>
          <w:p w14:paraId="370D522A" w14:textId="77777777"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t>Incremento</w:t>
            </w:r>
          </w:p>
        </w:tc>
      </w:tr>
      <w:tr w:rsidR="0032396B" w:rsidRPr="0032396B" w14:paraId="218D18D7" w14:textId="77777777" w:rsidTr="00D8734A">
        <w:trPr>
          <w:trHeight w:val="300"/>
          <w:jc w:val="center"/>
        </w:trPr>
        <w:tc>
          <w:tcPr>
            <w:tcW w:w="2622" w:type="dxa"/>
            <w:vMerge/>
            <w:tcBorders>
              <w:top w:val="nil"/>
              <w:left w:val="single" w:sz="8" w:space="0" w:color="auto"/>
              <w:bottom w:val="single" w:sz="8" w:space="0" w:color="000000"/>
              <w:right w:val="single" w:sz="8" w:space="0" w:color="auto"/>
            </w:tcBorders>
            <w:vAlign w:val="center"/>
            <w:hideMark/>
          </w:tcPr>
          <w:p w14:paraId="0423B389" w14:textId="77777777" w:rsidR="0032396B" w:rsidRPr="0032396B" w:rsidRDefault="0032396B" w:rsidP="0032396B">
            <w:pPr>
              <w:spacing w:after="0" w:line="240" w:lineRule="auto"/>
              <w:rPr>
                <w:rFonts w:ascii="Arial" w:eastAsia="Times New Roman" w:hAnsi="Arial" w:cs="Arial"/>
                <w:b/>
                <w:bCs/>
                <w:color w:val="000000"/>
                <w:lang w:eastAsia="es-MX"/>
              </w:rPr>
            </w:pPr>
          </w:p>
        </w:tc>
        <w:tc>
          <w:tcPr>
            <w:tcW w:w="1812" w:type="dxa"/>
            <w:vMerge/>
            <w:tcBorders>
              <w:top w:val="nil"/>
              <w:left w:val="single" w:sz="8" w:space="0" w:color="auto"/>
              <w:bottom w:val="single" w:sz="8" w:space="0" w:color="000000"/>
              <w:right w:val="single" w:sz="8" w:space="0" w:color="auto"/>
            </w:tcBorders>
            <w:vAlign w:val="center"/>
            <w:hideMark/>
          </w:tcPr>
          <w:p w14:paraId="68AB45D7" w14:textId="77777777" w:rsidR="0032396B" w:rsidRPr="0032396B" w:rsidRDefault="0032396B" w:rsidP="0032396B">
            <w:pPr>
              <w:spacing w:after="0" w:line="240" w:lineRule="auto"/>
              <w:rPr>
                <w:rFonts w:ascii="Arial" w:eastAsia="Times New Roman" w:hAnsi="Arial" w:cs="Arial"/>
                <w:b/>
                <w:bCs/>
                <w:color w:val="000000"/>
                <w:lang w:eastAsia="es-MX"/>
              </w:rPr>
            </w:pPr>
          </w:p>
        </w:tc>
        <w:tc>
          <w:tcPr>
            <w:tcW w:w="1812" w:type="dxa"/>
            <w:vMerge/>
            <w:tcBorders>
              <w:top w:val="nil"/>
              <w:left w:val="single" w:sz="8" w:space="0" w:color="auto"/>
              <w:bottom w:val="single" w:sz="8" w:space="0" w:color="000000"/>
              <w:right w:val="single" w:sz="8" w:space="0" w:color="auto"/>
            </w:tcBorders>
            <w:vAlign w:val="center"/>
            <w:hideMark/>
          </w:tcPr>
          <w:p w14:paraId="0DA3365B" w14:textId="77777777" w:rsidR="0032396B" w:rsidRPr="0032396B" w:rsidRDefault="0032396B" w:rsidP="0032396B">
            <w:pPr>
              <w:spacing w:after="0" w:line="240" w:lineRule="auto"/>
              <w:rPr>
                <w:rFonts w:ascii="Arial" w:eastAsia="Times New Roman" w:hAnsi="Arial" w:cs="Arial"/>
                <w:b/>
                <w:bCs/>
                <w:color w:val="000000"/>
                <w:lang w:eastAsia="es-MX"/>
              </w:rPr>
            </w:pPr>
          </w:p>
        </w:tc>
        <w:tc>
          <w:tcPr>
            <w:tcW w:w="1622" w:type="dxa"/>
            <w:tcBorders>
              <w:top w:val="nil"/>
              <w:left w:val="nil"/>
              <w:bottom w:val="nil"/>
              <w:right w:val="single" w:sz="8" w:space="0" w:color="auto"/>
            </w:tcBorders>
            <w:shd w:val="clear" w:color="000000" w:fill="BB9959"/>
            <w:noWrap/>
            <w:vAlign w:val="center"/>
            <w:hideMark/>
          </w:tcPr>
          <w:p w14:paraId="4968EE17" w14:textId="77777777"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t>Absoluto</w:t>
            </w:r>
          </w:p>
        </w:tc>
        <w:tc>
          <w:tcPr>
            <w:tcW w:w="887" w:type="dxa"/>
            <w:tcBorders>
              <w:top w:val="nil"/>
              <w:left w:val="nil"/>
              <w:bottom w:val="single" w:sz="8" w:space="0" w:color="auto"/>
              <w:right w:val="single" w:sz="8" w:space="0" w:color="auto"/>
            </w:tcBorders>
            <w:shd w:val="clear" w:color="000000" w:fill="BB9959"/>
            <w:noWrap/>
            <w:vAlign w:val="center"/>
            <w:hideMark/>
          </w:tcPr>
          <w:p w14:paraId="5982C890" w14:textId="77777777"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t>%</w:t>
            </w:r>
          </w:p>
        </w:tc>
        <w:tc>
          <w:tcPr>
            <w:tcW w:w="1625" w:type="dxa"/>
            <w:tcBorders>
              <w:top w:val="nil"/>
              <w:left w:val="nil"/>
              <w:bottom w:val="nil"/>
              <w:right w:val="single" w:sz="8" w:space="0" w:color="auto"/>
            </w:tcBorders>
            <w:shd w:val="clear" w:color="000000" w:fill="BB9959"/>
            <w:noWrap/>
            <w:vAlign w:val="center"/>
            <w:hideMark/>
          </w:tcPr>
          <w:p w14:paraId="09551ED9" w14:textId="77777777" w:rsidR="0032396B" w:rsidRPr="0032396B" w:rsidRDefault="0032396B" w:rsidP="0032396B">
            <w:pPr>
              <w:spacing w:after="0" w:line="240" w:lineRule="auto"/>
              <w:jc w:val="center"/>
              <w:rPr>
                <w:rFonts w:ascii="Arial" w:eastAsia="Times New Roman" w:hAnsi="Arial" w:cs="Arial"/>
                <w:b/>
                <w:bCs/>
                <w:color w:val="000000"/>
                <w:lang w:eastAsia="es-MX"/>
              </w:rPr>
            </w:pPr>
            <w:r w:rsidRPr="0032396B">
              <w:rPr>
                <w:rFonts w:ascii="Arial" w:eastAsia="Times New Roman" w:hAnsi="Arial" w:cs="Arial"/>
                <w:b/>
                <w:bCs/>
                <w:color w:val="000000"/>
                <w:lang w:eastAsia="es-MX"/>
              </w:rPr>
              <w:t>Composición</w:t>
            </w:r>
          </w:p>
        </w:tc>
      </w:tr>
      <w:tr w:rsidR="0032396B" w:rsidRPr="0032396B" w14:paraId="6A728F47" w14:textId="77777777" w:rsidTr="00D8734A">
        <w:trPr>
          <w:trHeight w:val="288"/>
          <w:jc w:val="center"/>
        </w:trPr>
        <w:tc>
          <w:tcPr>
            <w:tcW w:w="2622" w:type="dxa"/>
            <w:tcBorders>
              <w:top w:val="nil"/>
              <w:left w:val="single" w:sz="8" w:space="0" w:color="auto"/>
              <w:bottom w:val="nil"/>
              <w:right w:val="nil"/>
            </w:tcBorders>
            <w:shd w:val="clear" w:color="000000" w:fill="FFFFFF"/>
            <w:noWrap/>
            <w:vAlign w:val="bottom"/>
            <w:hideMark/>
          </w:tcPr>
          <w:p w14:paraId="3CFEB7D0"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Impuestos</w:t>
            </w:r>
          </w:p>
        </w:tc>
        <w:tc>
          <w:tcPr>
            <w:tcW w:w="1812" w:type="dxa"/>
            <w:tcBorders>
              <w:top w:val="nil"/>
              <w:left w:val="single" w:sz="8" w:space="0" w:color="auto"/>
              <w:bottom w:val="nil"/>
              <w:right w:val="single" w:sz="8" w:space="0" w:color="auto"/>
            </w:tcBorders>
            <w:shd w:val="clear" w:color="000000" w:fill="FFFFFF"/>
            <w:noWrap/>
            <w:vAlign w:val="bottom"/>
            <w:hideMark/>
          </w:tcPr>
          <w:p w14:paraId="12DE79E3"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3,475,541,274.74</w:t>
            </w:r>
          </w:p>
        </w:tc>
        <w:tc>
          <w:tcPr>
            <w:tcW w:w="1812" w:type="dxa"/>
            <w:tcBorders>
              <w:top w:val="nil"/>
              <w:left w:val="nil"/>
              <w:bottom w:val="nil"/>
              <w:right w:val="single" w:sz="8" w:space="0" w:color="auto"/>
            </w:tcBorders>
            <w:shd w:val="clear" w:color="000000" w:fill="FFFFFF"/>
            <w:noWrap/>
            <w:vAlign w:val="bottom"/>
            <w:hideMark/>
          </w:tcPr>
          <w:p w14:paraId="7BF6AC56"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3,071,323,259.16</w:t>
            </w:r>
          </w:p>
        </w:tc>
        <w:tc>
          <w:tcPr>
            <w:tcW w:w="1622" w:type="dxa"/>
            <w:tcBorders>
              <w:top w:val="single" w:sz="8" w:space="0" w:color="auto"/>
              <w:left w:val="nil"/>
              <w:bottom w:val="nil"/>
              <w:right w:val="single" w:sz="8" w:space="0" w:color="auto"/>
            </w:tcBorders>
            <w:shd w:val="clear" w:color="000000" w:fill="FFFFFF"/>
            <w:noWrap/>
            <w:vAlign w:val="bottom"/>
            <w:hideMark/>
          </w:tcPr>
          <w:p w14:paraId="413E6C42"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404,218,015.58</w:t>
            </w:r>
          </w:p>
        </w:tc>
        <w:tc>
          <w:tcPr>
            <w:tcW w:w="887" w:type="dxa"/>
            <w:tcBorders>
              <w:top w:val="nil"/>
              <w:left w:val="nil"/>
              <w:bottom w:val="nil"/>
              <w:right w:val="nil"/>
            </w:tcBorders>
            <w:shd w:val="clear" w:color="000000" w:fill="FFFFFF"/>
            <w:noWrap/>
            <w:vAlign w:val="bottom"/>
            <w:hideMark/>
          </w:tcPr>
          <w:p w14:paraId="12CBF420"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13.16%</w:t>
            </w:r>
          </w:p>
        </w:tc>
        <w:tc>
          <w:tcPr>
            <w:tcW w:w="1625" w:type="dxa"/>
            <w:tcBorders>
              <w:top w:val="single" w:sz="8" w:space="0" w:color="auto"/>
              <w:left w:val="single" w:sz="8" w:space="0" w:color="auto"/>
              <w:bottom w:val="nil"/>
              <w:right w:val="single" w:sz="8" w:space="0" w:color="auto"/>
            </w:tcBorders>
            <w:shd w:val="clear" w:color="000000" w:fill="FFFFFF"/>
            <w:noWrap/>
            <w:vAlign w:val="center"/>
            <w:hideMark/>
          </w:tcPr>
          <w:p w14:paraId="3561226D"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52.48</w:t>
            </w:r>
          </w:p>
        </w:tc>
      </w:tr>
      <w:tr w:rsidR="0032396B" w:rsidRPr="0032396B" w14:paraId="62CC1D7C" w14:textId="77777777" w:rsidTr="00D8734A">
        <w:trPr>
          <w:trHeight w:val="288"/>
          <w:jc w:val="center"/>
        </w:trPr>
        <w:tc>
          <w:tcPr>
            <w:tcW w:w="2622" w:type="dxa"/>
            <w:tcBorders>
              <w:top w:val="nil"/>
              <w:left w:val="single" w:sz="8" w:space="0" w:color="auto"/>
              <w:bottom w:val="nil"/>
              <w:right w:val="nil"/>
            </w:tcBorders>
            <w:shd w:val="clear" w:color="000000" w:fill="FFFFFF"/>
            <w:noWrap/>
            <w:vAlign w:val="center"/>
            <w:hideMark/>
          </w:tcPr>
          <w:p w14:paraId="47EF9546"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xml:space="preserve">Derechos </w:t>
            </w:r>
          </w:p>
        </w:tc>
        <w:tc>
          <w:tcPr>
            <w:tcW w:w="1812" w:type="dxa"/>
            <w:tcBorders>
              <w:top w:val="nil"/>
              <w:left w:val="single" w:sz="8" w:space="0" w:color="auto"/>
              <w:bottom w:val="nil"/>
              <w:right w:val="single" w:sz="8" w:space="0" w:color="auto"/>
            </w:tcBorders>
            <w:shd w:val="clear" w:color="000000" w:fill="FFFFFF"/>
            <w:noWrap/>
            <w:vAlign w:val="bottom"/>
            <w:hideMark/>
          </w:tcPr>
          <w:p w14:paraId="4D3E6948"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1,801,251,325.01</w:t>
            </w:r>
          </w:p>
        </w:tc>
        <w:tc>
          <w:tcPr>
            <w:tcW w:w="1812" w:type="dxa"/>
            <w:tcBorders>
              <w:top w:val="nil"/>
              <w:left w:val="nil"/>
              <w:bottom w:val="nil"/>
              <w:right w:val="single" w:sz="8" w:space="0" w:color="auto"/>
            </w:tcBorders>
            <w:shd w:val="clear" w:color="000000" w:fill="FFFFFF"/>
            <w:noWrap/>
            <w:vAlign w:val="bottom"/>
            <w:hideMark/>
          </w:tcPr>
          <w:p w14:paraId="6E59DA9A"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1,631,428,951.34</w:t>
            </w:r>
          </w:p>
        </w:tc>
        <w:tc>
          <w:tcPr>
            <w:tcW w:w="1622" w:type="dxa"/>
            <w:tcBorders>
              <w:top w:val="nil"/>
              <w:left w:val="nil"/>
              <w:bottom w:val="nil"/>
              <w:right w:val="single" w:sz="8" w:space="0" w:color="auto"/>
            </w:tcBorders>
            <w:shd w:val="clear" w:color="000000" w:fill="FFFFFF"/>
            <w:noWrap/>
            <w:vAlign w:val="bottom"/>
            <w:hideMark/>
          </w:tcPr>
          <w:p w14:paraId="082431EC"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169,822,373.67</w:t>
            </w:r>
          </w:p>
        </w:tc>
        <w:tc>
          <w:tcPr>
            <w:tcW w:w="887" w:type="dxa"/>
            <w:tcBorders>
              <w:top w:val="nil"/>
              <w:left w:val="nil"/>
              <w:bottom w:val="nil"/>
              <w:right w:val="nil"/>
            </w:tcBorders>
            <w:shd w:val="clear" w:color="000000" w:fill="FFFFFF"/>
            <w:noWrap/>
            <w:vAlign w:val="bottom"/>
            <w:hideMark/>
          </w:tcPr>
          <w:p w14:paraId="6F9BD478"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10.41%</w:t>
            </w:r>
          </w:p>
        </w:tc>
        <w:tc>
          <w:tcPr>
            <w:tcW w:w="1625" w:type="dxa"/>
            <w:tcBorders>
              <w:top w:val="nil"/>
              <w:left w:val="single" w:sz="8" w:space="0" w:color="auto"/>
              <w:bottom w:val="nil"/>
              <w:right w:val="single" w:sz="8" w:space="0" w:color="auto"/>
            </w:tcBorders>
            <w:shd w:val="clear" w:color="000000" w:fill="FFFFFF"/>
            <w:noWrap/>
            <w:vAlign w:val="center"/>
            <w:hideMark/>
          </w:tcPr>
          <w:p w14:paraId="4832E01A"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27.20</w:t>
            </w:r>
          </w:p>
        </w:tc>
      </w:tr>
      <w:tr w:rsidR="0032396B" w:rsidRPr="0032396B" w14:paraId="3E5E0F3D" w14:textId="77777777" w:rsidTr="00D8734A">
        <w:trPr>
          <w:trHeight w:val="720"/>
          <w:jc w:val="center"/>
        </w:trPr>
        <w:tc>
          <w:tcPr>
            <w:tcW w:w="2622" w:type="dxa"/>
            <w:tcBorders>
              <w:top w:val="nil"/>
              <w:left w:val="single" w:sz="8" w:space="0" w:color="auto"/>
              <w:bottom w:val="nil"/>
              <w:right w:val="nil"/>
            </w:tcBorders>
            <w:shd w:val="clear" w:color="000000" w:fill="FFFFFF"/>
            <w:vAlign w:val="bottom"/>
            <w:hideMark/>
          </w:tcPr>
          <w:p w14:paraId="4B94084B"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Productos y Aprovechamientos</w:t>
            </w:r>
          </w:p>
        </w:tc>
        <w:tc>
          <w:tcPr>
            <w:tcW w:w="1812" w:type="dxa"/>
            <w:tcBorders>
              <w:top w:val="nil"/>
              <w:left w:val="single" w:sz="8" w:space="0" w:color="auto"/>
              <w:bottom w:val="nil"/>
              <w:right w:val="single" w:sz="8" w:space="0" w:color="auto"/>
            </w:tcBorders>
            <w:shd w:val="clear" w:color="000000" w:fill="FFFFFF"/>
            <w:noWrap/>
            <w:vAlign w:val="center"/>
            <w:hideMark/>
          </w:tcPr>
          <w:p w14:paraId="090F14D1"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1,346,135,474.70</w:t>
            </w:r>
          </w:p>
        </w:tc>
        <w:tc>
          <w:tcPr>
            <w:tcW w:w="1812" w:type="dxa"/>
            <w:tcBorders>
              <w:top w:val="nil"/>
              <w:left w:val="nil"/>
              <w:bottom w:val="nil"/>
              <w:right w:val="single" w:sz="8" w:space="0" w:color="auto"/>
            </w:tcBorders>
            <w:shd w:val="clear" w:color="000000" w:fill="FFFFFF"/>
            <w:noWrap/>
            <w:vAlign w:val="center"/>
            <w:hideMark/>
          </w:tcPr>
          <w:p w14:paraId="229E5B29"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1,239,323,467.79</w:t>
            </w:r>
          </w:p>
        </w:tc>
        <w:tc>
          <w:tcPr>
            <w:tcW w:w="1622" w:type="dxa"/>
            <w:tcBorders>
              <w:top w:val="nil"/>
              <w:left w:val="nil"/>
              <w:bottom w:val="nil"/>
              <w:right w:val="single" w:sz="8" w:space="0" w:color="auto"/>
            </w:tcBorders>
            <w:shd w:val="clear" w:color="000000" w:fill="FFFFFF"/>
            <w:noWrap/>
            <w:vAlign w:val="center"/>
            <w:hideMark/>
          </w:tcPr>
          <w:p w14:paraId="301C0771"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106,812,006.91</w:t>
            </w:r>
          </w:p>
        </w:tc>
        <w:tc>
          <w:tcPr>
            <w:tcW w:w="887" w:type="dxa"/>
            <w:tcBorders>
              <w:top w:val="nil"/>
              <w:left w:val="nil"/>
              <w:bottom w:val="nil"/>
              <w:right w:val="nil"/>
            </w:tcBorders>
            <w:shd w:val="clear" w:color="000000" w:fill="FFFFFF"/>
            <w:noWrap/>
            <w:vAlign w:val="center"/>
            <w:hideMark/>
          </w:tcPr>
          <w:p w14:paraId="3E5641D5"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8.62%</w:t>
            </w:r>
          </w:p>
        </w:tc>
        <w:tc>
          <w:tcPr>
            <w:tcW w:w="1625" w:type="dxa"/>
            <w:tcBorders>
              <w:top w:val="nil"/>
              <w:left w:val="single" w:sz="8" w:space="0" w:color="auto"/>
              <w:bottom w:val="nil"/>
              <w:right w:val="single" w:sz="8" w:space="0" w:color="auto"/>
            </w:tcBorders>
            <w:shd w:val="clear" w:color="000000" w:fill="FFFFFF"/>
            <w:noWrap/>
            <w:vAlign w:val="center"/>
            <w:hideMark/>
          </w:tcPr>
          <w:p w14:paraId="0E2862AC"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20.33</w:t>
            </w:r>
          </w:p>
        </w:tc>
      </w:tr>
      <w:tr w:rsidR="0032396B" w:rsidRPr="0032396B" w14:paraId="67F52C6E" w14:textId="77777777" w:rsidTr="00D8734A">
        <w:trPr>
          <w:trHeight w:val="720"/>
          <w:jc w:val="center"/>
        </w:trPr>
        <w:tc>
          <w:tcPr>
            <w:tcW w:w="2622" w:type="dxa"/>
            <w:tcBorders>
              <w:top w:val="nil"/>
              <w:left w:val="single" w:sz="8" w:space="0" w:color="auto"/>
              <w:bottom w:val="single" w:sz="8" w:space="0" w:color="auto"/>
              <w:right w:val="nil"/>
            </w:tcBorders>
            <w:shd w:val="clear" w:color="000000" w:fill="FFFFFF"/>
            <w:vAlign w:val="center"/>
            <w:hideMark/>
          </w:tcPr>
          <w:p w14:paraId="397B7E30"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xml:space="preserve">Ingresos por Venta de Bienes y Servicios </w:t>
            </w:r>
          </w:p>
        </w:tc>
        <w:tc>
          <w:tcPr>
            <w:tcW w:w="1812" w:type="dxa"/>
            <w:tcBorders>
              <w:top w:val="nil"/>
              <w:left w:val="single" w:sz="8" w:space="0" w:color="auto"/>
              <w:bottom w:val="single" w:sz="8" w:space="0" w:color="auto"/>
              <w:right w:val="single" w:sz="8" w:space="0" w:color="auto"/>
            </w:tcBorders>
            <w:shd w:val="clear" w:color="000000" w:fill="FFFFFF"/>
            <w:noWrap/>
            <w:vAlign w:val="center"/>
            <w:hideMark/>
          </w:tcPr>
          <w:p w14:paraId="51A4C7E9"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0.00</w:t>
            </w:r>
          </w:p>
        </w:tc>
        <w:tc>
          <w:tcPr>
            <w:tcW w:w="1812" w:type="dxa"/>
            <w:tcBorders>
              <w:top w:val="nil"/>
              <w:left w:val="nil"/>
              <w:bottom w:val="single" w:sz="8" w:space="0" w:color="auto"/>
              <w:right w:val="single" w:sz="8" w:space="0" w:color="auto"/>
            </w:tcBorders>
            <w:shd w:val="clear" w:color="000000" w:fill="FFFFFF"/>
            <w:noWrap/>
            <w:vAlign w:val="center"/>
            <w:hideMark/>
          </w:tcPr>
          <w:p w14:paraId="399612A2"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0.00</w:t>
            </w:r>
          </w:p>
        </w:tc>
        <w:tc>
          <w:tcPr>
            <w:tcW w:w="1622" w:type="dxa"/>
            <w:tcBorders>
              <w:top w:val="nil"/>
              <w:left w:val="nil"/>
              <w:bottom w:val="single" w:sz="8" w:space="0" w:color="auto"/>
              <w:right w:val="single" w:sz="8" w:space="0" w:color="auto"/>
            </w:tcBorders>
            <w:shd w:val="clear" w:color="000000" w:fill="FFFFFF"/>
            <w:noWrap/>
            <w:vAlign w:val="center"/>
            <w:hideMark/>
          </w:tcPr>
          <w:p w14:paraId="4D559449"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0.00</w:t>
            </w:r>
          </w:p>
        </w:tc>
        <w:tc>
          <w:tcPr>
            <w:tcW w:w="887" w:type="dxa"/>
            <w:tcBorders>
              <w:top w:val="nil"/>
              <w:left w:val="nil"/>
              <w:bottom w:val="single" w:sz="8" w:space="0" w:color="auto"/>
              <w:right w:val="nil"/>
            </w:tcBorders>
            <w:shd w:val="clear" w:color="000000" w:fill="FFFFFF"/>
            <w:noWrap/>
            <w:vAlign w:val="center"/>
            <w:hideMark/>
          </w:tcPr>
          <w:p w14:paraId="6726A0A4"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0.00%</w:t>
            </w:r>
          </w:p>
        </w:tc>
        <w:tc>
          <w:tcPr>
            <w:tcW w:w="1625" w:type="dxa"/>
            <w:tcBorders>
              <w:top w:val="nil"/>
              <w:left w:val="single" w:sz="8" w:space="0" w:color="auto"/>
              <w:bottom w:val="single" w:sz="8" w:space="0" w:color="auto"/>
              <w:right w:val="single" w:sz="8" w:space="0" w:color="auto"/>
            </w:tcBorders>
            <w:shd w:val="clear" w:color="000000" w:fill="FFFFFF"/>
            <w:noWrap/>
            <w:vAlign w:val="center"/>
            <w:hideMark/>
          </w:tcPr>
          <w:p w14:paraId="4FED918A" w14:textId="77777777" w:rsidR="0032396B" w:rsidRPr="0032396B" w:rsidRDefault="0032396B" w:rsidP="0032396B">
            <w:pPr>
              <w:spacing w:after="0" w:line="240" w:lineRule="auto"/>
              <w:jc w:val="right"/>
              <w:rPr>
                <w:rFonts w:ascii="Arial" w:eastAsia="Times New Roman" w:hAnsi="Arial" w:cs="Arial"/>
                <w:color w:val="000000"/>
                <w:sz w:val="20"/>
                <w:szCs w:val="20"/>
                <w:lang w:eastAsia="es-MX"/>
              </w:rPr>
            </w:pPr>
            <w:r w:rsidRPr="0032396B">
              <w:rPr>
                <w:rFonts w:ascii="Arial" w:eastAsia="Times New Roman" w:hAnsi="Arial" w:cs="Arial"/>
                <w:color w:val="000000"/>
                <w:sz w:val="20"/>
                <w:szCs w:val="20"/>
                <w:lang w:eastAsia="es-MX"/>
              </w:rPr>
              <w:t>0.00</w:t>
            </w:r>
          </w:p>
        </w:tc>
      </w:tr>
      <w:tr w:rsidR="0032396B" w:rsidRPr="0032396B" w14:paraId="7CEB5B98" w14:textId="77777777" w:rsidTr="00D8734A">
        <w:trPr>
          <w:trHeight w:val="300"/>
          <w:jc w:val="center"/>
        </w:trPr>
        <w:tc>
          <w:tcPr>
            <w:tcW w:w="2622" w:type="dxa"/>
            <w:tcBorders>
              <w:top w:val="nil"/>
              <w:left w:val="single" w:sz="8" w:space="0" w:color="auto"/>
              <w:bottom w:val="single" w:sz="8" w:space="0" w:color="auto"/>
              <w:right w:val="nil"/>
            </w:tcBorders>
            <w:shd w:val="clear" w:color="000000" w:fill="BB9959"/>
            <w:vAlign w:val="center"/>
            <w:hideMark/>
          </w:tcPr>
          <w:p w14:paraId="43B654DF" w14:textId="77777777" w:rsidR="0032396B" w:rsidRPr="0032396B" w:rsidRDefault="0032396B" w:rsidP="0032396B">
            <w:pPr>
              <w:spacing w:after="0" w:line="240" w:lineRule="auto"/>
              <w:rPr>
                <w:rFonts w:ascii="Arial" w:eastAsia="Times New Roman" w:hAnsi="Arial" w:cs="Arial"/>
                <w:b/>
                <w:bCs/>
                <w:color w:val="000000"/>
                <w:lang w:eastAsia="es-MX"/>
              </w:rPr>
            </w:pPr>
            <w:r w:rsidRPr="0032396B">
              <w:rPr>
                <w:rFonts w:ascii="Arial" w:eastAsia="Times New Roman" w:hAnsi="Arial" w:cs="Arial"/>
                <w:b/>
                <w:bCs/>
                <w:color w:val="000000"/>
                <w:lang w:eastAsia="es-MX"/>
              </w:rPr>
              <w:t>Total</w:t>
            </w:r>
          </w:p>
        </w:tc>
        <w:tc>
          <w:tcPr>
            <w:tcW w:w="1812" w:type="dxa"/>
            <w:tcBorders>
              <w:top w:val="nil"/>
              <w:left w:val="single" w:sz="8" w:space="0" w:color="auto"/>
              <w:bottom w:val="single" w:sz="8" w:space="0" w:color="auto"/>
              <w:right w:val="single" w:sz="8" w:space="0" w:color="auto"/>
            </w:tcBorders>
            <w:shd w:val="clear" w:color="000000" w:fill="BB9959"/>
            <w:noWrap/>
            <w:vAlign w:val="center"/>
            <w:hideMark/>
          </w:tcPr>
          <w:p w14:paraId="44E2D1D8" w14:textId="77777777" w:rsidR="0032396B" w:rsidRPr="0032396B" w:rsidRDefault="0032396B" w:rsidP="0032396B">
            <w:pPr>
              <w:spacing w:after="0" w:line="240" w:lineRule="auto"/>
              <w:jc w:val="right"/>
              <w:rPr>
                <w:rFonts w:ascii="Arial" w:eastAsia="Times New Roman" w:hAnsi="Arial" w:cs="Arial"/>
                <w:b/>
                <w:bCs/>
                <w:color w:val="000000"/>
                <w:sz w:val="20"/>
                <w:szCs w:val="20"/>
                <w:lang w:eastAsia="es-MX"/>
              </w:rPr>
            </w:pPr>
            <w:r w:rsidRPr="0032396B">
              <w:rPr>
                <w:rFonts w:ascii="Arial" w:eastAsia="Times New Roman" w:hAnsi="Arial" w:cs="Arial"/>
                <w:b/>
                <w:bCs/>
                <w:color w:val="000000"/>
                <w:sz w:val="20"/>
                <w:szCs w:val="20"/>
                <w:lang w:eastAsia="es-MX"/>
              </w:rPr>
              <w:t>6,622,928,074.45</w:t>
            </w:r>
          </w:p>
        </w:tc>
        <w:tc>
          <w:tcPr>
            <w:tcW w:w="1812" w:type="dxa"/>
            <w:tcBorders>
              <w:top w:val="nil"/>
              <w:left w:val="nil"/>
              <w:bottom w:val="single" w:sz="8" w:space="0" w:color="auto"/>
              <w:right w:val="nil"/>
            </w:tcBorders>
            <w:shd w:val="clear" w:color="000000" w:fill="BB9959"/>
            <w:noWrap/>
            <w:vAlign w:val="center"/>
            <w:hideMark/>
          </w:tcPr>
          <w:p w14:paraId="4C991559" w14:textId="77777777" w:rsidR="0032396B" w:rsidRPr="0032396B" w:rsidRDefault="0032396B" w:rsidP="0032396B">
            <w:pPr>
              <w:spacing w:after="0" w:line="240" w:lineRule="auto"/>
              <w:jc w:val="right"/>
              <w:rPr>
                <w:rFonts w:ascii="Arial" w:eastAsia="Times New Roman" w:hAnsi="Arial" w:cs="Arial"/>
                <w:b/>
                <w:bCs/>
                <w:color w:val="000000"/>
                <w:sz w:val="20"/>
                <w:szCs w:val="20"/>
                <w:lang w:eastAsia="es-MX"/>
              </w:rPr>
            </w:pPr>
            <w:r w:rsidRPr="0032396B">
              <w:rPr>
                <w:rFonts w:ascii="Arial" w:eastAsia="Times New Roman" w:hAnsi="Arial" w:cs="Arial"/>
                <w:b/>
                <w:bCs/>
                <w:color w:val="000000"/>
                <w:sz w:val="20"/>
                <w:szCs w:val="20"/>
                <w:lang w:eastAsia="es-MX"/>
              </w:rPr>
              <w:t>5,942,075,678.29</w:t>
            </w:r>
          </w:p>
        </w:tc>
        <w:tc>
          <w:tcPr>
            <w:tcW w:w="1622" w:type="dxa"/>
            <w:tcBorders>
              <w:top w:val="nil"/>
              <w:left w:val="single" w:sz="8" w:space="0" w:color="auto"/>
              <w:bottom w:val="single" w:sz="8" w:space="0" w:color="auto"/>
              <w:right w:val="single" w:sz="8" w:space="0" w:color="auto"/>
            </w:tcBorders>
            <w:shd w:val="clear" w:color="000000" w:fill="BB9959"/>
            <w:noWrap/>
            <w:vAlign w:val="center"/>
            <w:hideMark/>
          </w:tcPr>
          <w:p w14:paraId="27D4D4EB" w14:textId="77777777" w:rsidR="0032396B" w:rsidRPr="0032396B" w:rsidRDefault="0032396B" w:rsidP="0032396B">
            <w:pPr>
              <w:spacing w:after="0" w:line="240" w:lineRule="auto"/>
              <w:jc w:val="right"/>
              <w:rPr>
                <w:rFonts w:ascii="Arial" w:eastAsia="Times New Roman" w:hAnsi="Arial" w:cs="Arial"/>
                <w:b/>
                <w:bCs/>
                <w:color w:val="000000"/>
                <w:sz w:val="20"/>
                <w:szCs w:val="20"/>
                <w:lang w:eastAsia="es-MX"/>
              </w:rPr>
            </w:pPr>
            <w:r w:rsidRPr="0032396B">
              <w:rPr>
                <w:rFonts w:ascii="Arial" w:eastAsia="Times New Roman" w:hAnsi="Arial" w:cs="Arial"/>
                <w:b/>
                <w:bCs/>
                <w:color w:val="000000"/>
                <w:sz w:val="20"/>
                <w:szCs w:val="20"/>
                <w:lang w:eastAsia="es-MX"/>
              </w:rPr>
              <w:t>680,852,396.16</w:t>
            </w:r>
          </w:p>
        </w:tc>
        <w:tc>
          <w:tcPr>
            <w:tcW w:w="887" w:type="dxa"/>
            <w:tcBorders>
              <w:top w:val="nil"/>
              <w:left w:val="nil"/>
              <w:bottom w:val="single" w:sz="8" w:space="0" w:color="auto"/>
              <w:right w:val="nil"/>
            </w:tcBorders>
            <w:shd w:val="clear" w:color="000000" w:fill="BB9959"/>
            <w:noWrap/>
            <w:vAlign w:val="center"/>
            <w:hideMark/>
          </w:tcPr>
          <w:p w14:paraId="2AF91031" w14:textId="77777777" w:rsidR="0032396B" w:rsidRPr="0032396B" w:rsidRDefault="0032396B" w:rsidP="0032396B">
            <w:pPr>
              <w:spacing w:after="0" w:line="240" w:lineRule="auto"/>
              <w:jc w:val="right"/>
              <w:rPr>
                <w:rFonts w:ascii="Arial" w:eastAsia="Times New Roman" w:hAnsi="Arial" w:cs="Arial"/>
                <w:b/>
                <w:bCs/>
                <w:color w:val="000000"/>
                <w:lang w:eastAsia="es-MX"/>
              </w:rPr>
            </w:pPr>
            <w:r w:rsidRPr="0032396B">
              <w:rPr>
                <w:rFonts w:ascii="Arial" w:eastAsia="Times New Roman" w:hAnsi="Arial" w:cs="Arial"/>
                <w:b/>
                <w:bCs/>
                <w:color w:val="000000"/>
                <w:lang w:eastAsia="es-MX"/>
              </w:rPr>
              <w:t>11.46%</w:t>
            </w:r>
          </w:p>
        </w:tc>
        <w:tc>
          <w:tcPr>
            <w:tcW w:w="1625" w:type="dxa"/>
            <w:tcBorders>
              <w:top w:val="nil"/>
              <w:left w:val="single" w:sz="8" w:space="0" w:color="auto"/>
              <w:bottom w:val="single" w:sz="8" w:space="0" w:color="auto"/>
              <w:right w:val="single" w:sz="8" w:space="0" w:color="auto"/>
            </w:tcBorders>
            <w:shd w:val="clear" w:color="000000" w:fill="BB9959"/>
            <w:noWrap/>
            <w:vAlign w:val="center"/>
            <w:hideMark/>
          </w:tcPr>
          <w:p w14:paraId="2FEEF2F5" w14:textId="77777777" w:rsidR="0032396B" w:rsidRPr="0032396B" w:rsidRDefault="0032396B" w:rsidP="0032396B">
            <w:pPr>
              <w:spacing w:after="0" w:line="240" w:lineRule="auto"/>
              <w:jc w:val="right"/>
              <w:rPr>
                <w:rFonts w:ascii="Arial" w:eastAsia="Times New Roman" w:hAnsi="Arial" w:cs="Arial"/>
                <w:b/>
                <w:bCs/>
                <w:color w:val="000000"/>
                <w:lang w:eastAsia="es-MX"/>
              </w:rPr>
            </w:pPr>
            <w:r w:rsidRPr="0032396B">
              <w:rPr>
                <w:rFonts w:ascii="Arial" w:eastAsia="Times New Roman" w:hAnsi="Arial" w:cs="Arial"/>
                <w:b/>
                <w:bCs/>
                <w:color w:val="000000"/>
                <w:lang w:eastAsia="es-MX"/>
              </w:rPr>
              <w:t>100.00</w:t>
            </w:r>
          </w:p>
        </w:tc>
      </w:tr>
      <w:tr w:rsidR="0032396B" w:rsidRPr="0032396B" w14:paraId="356C26CD" w14:textId="77777777" w:rsidTr="00D8734A">
        <w:trPr>
          <w:trHeight w:val="288"/>
          <w:jc w:val="center"/>
        </w:trPr>
        <w:tc>
          <w:tcPr>
            <w:tcW w:w="4434" w:type="dxa"/>
            <w:gridSpan w:val="2"/>
            <w:tcBorders>
              <w:top w:val="nil"/>
              <w:left w:val="nil"/>
              <w:bottom w:val="nil"/>
              <w:right w:val="nil"/>
            </w:tcBorders>
            <w:shd w:val="clear" w:color="000000" w:fill="FFFFFF"/>
            <w:noWrap/>
            <w:vAlign w:val="center"/>
            <w:hideMark/>
          </w:tcPr>
          <w:p w14:paraId="6C25D811" w14:textId="77777777" w:rsidR="0032396B" w:rsidRPr="0032396B" w:rsidRDefault="0032396B" w:rsidP="0032396B">
            <w:pPr>
              <w:spacing w:after="0" w:line="240" w:lineRule="auto"/>
              <w:rPr>
                <w:rFonts w:ascii="Arial" w:eastAsia="Times New Roman" w:hAnsi="Arial" w:cs="Arial"/>
                <w:color w:val="000000"/>
                <w:sz w:val="16"/>
                <w:szCs w:val="16"/>
                <w:lang w:eastAsia="es-MX"/>
              </w:rPr>
            </w:pPr>
            <w:r w:rsidRPr="0032396B">
              <w:rPr>
                <w:rFonts w:ascii="Arial" w:eastAsia="Times New Roman" w:hAnsi="Arial" w:cs="Arial"/>
                <w:color w:val="000000"/>
                <w:sz w:val="16"/>
                <w:szCs w:val="16"/>
                <w:lang w:eastAsia="es-MX"/>
              </w:rPr>
              <w:t>Fuente: Secretaría de Administración y Finanzas</w:t>
            </w:r>
          </w:p>
        </w:tc>
        <w:tc>
          <w:tcPr>
            <w:tcW w:w="1812" w:type="dxa"/>
            <w:tcBorders>
              <w:top w:val="nil"/>
              <w:left w:val="nil"/>
              <w:bottom w:val="nil"/>
              <w:right w:val="nil"/>
            </w:tcBorders>
            <w:shd w:val="clear" w:color="000000" w:fill="FFFFFF"/>
            <w:noWrap/>
            <w:vAlign w:val="bottom"/>
            <w:hideMark/>
          </w:tcPr>
          <w:p w14:paraId="02DEFC24"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c>
          <w:tcPr>
            <w:tcW w:w="1622" w:type="dxa"/>
            <w:tcBorders>
              <w:top w:val="nil"/>
              <w:left w:val="nil"/>
              <w:bottom w:val="nil"/>
              <w:right w:val="nil"/>
            </w:tcBorders>
            <w:shd w:val="clear" w:color="000000" w:fill="FFFFFF"/>
            <w:noWrap/>
            <w:vAlign w:val="bottom"/>
            <w:hideMark/>
          </w:tcPr>
          <w:p w14:paraId="3F7B9D36"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c>
          <w:tcPr>
            <w:tcW w:w="887" w:type="dxa"/>
            <w:tcBorders>
              <w:top w:val="nil"/>
              <w:left w:val="nil"/>
              <w:bottom w:val="nil"/>
              <w:right w:val="nil"/>
            </w:tcBorders>
            <w:shd w:val="clear" w:color="000000" w:fill="FFFFFF"/>
            <w:noWrap/>
            <w:vAlign w:val="bottom"/>
            <w:hideMark/>
          </w:tcPr>
          <w:p w14:paraId="044AF9F0"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c>
          <w:tcPr>
            <w:tcW w:w="1625" w:type="dxa"/>
            <w:tcBorders>
              <w:top w:val="nil"/>
              <w:left w:val="nil"/>
              <w:bottom w:val="nil"/>
              <w:right w:val="nil"/>
            </w:tcBorders>
            <w:shd w:val="clear" w:color="000000" w:fill="FFFFFF"/>
            <w:noWrap/>
            <w:vAlign w:val="bottom"/>
            <w:hideMark/>
          </w:tcPr>
          <w:p w14:paraId="4B632415"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r>
      <w:tr w:rsidR="0032396B" w:rsidRPr="0032396B" w14:paraId="2F9C1469" w14:textId="77777777" w:rsidTr="00D8734A">
        <w:trPr>
          <w:trHeight w:val="288"/>
          <w:jc w:val="center"/>
        </w:trPr>
        <w:tc>
          <w:tcPr>
            <w:tcW w:w="2622" w:type="dxa"/>
            <w:tcBorders>
              <w:top w:val="nil"/>
              <w:left w:val="nil"/>
              <w:bottom w:val="nil"/>
              <w:right w:val="nil"/>
            </w:tcBorders>
            <w:shd w:val="clear" w:color="000000" w:fill="FFFFFF"/>
            <w:noWrap/>
            <w:vAlign w:val="center"/>
            <w:hideMark/>
          </w:tcPr>
          <w:p w14:paraId="111952E7" w14:textId="77777777" w:rsidR="0032396B" w:rsidRPr="0032396B" w:rsidRDefault="0032396B" w:rsidP="0032396B">
            <w:pPr>
              <w:spacing w:after="0" w:line="240" w:lineRule="auto"/>
              <w:rPr>
                <w:rFonts w:ascii="Arial" w:eastAsia="Times New Roman" w:hAnsi="Arial" w:cs="Arial"/>
                <w:color w:val="000000"/>
                <w:sz w:val="16"/>
                <w:szCs w:val="16"/>
                <w:lang w:eastAsia="es-MX"/>
              </w:rPr>
            </w:pPr>
            <w:r w:rsidRPr="0032396B">
              <w:rPr>
                <w:rFonts w:ascii="Arial" w:eastAsia="Times New Roman" w:hAnsi="Arial" w:cs="Arial"/>
                <w:color w:val="000000"/>
                <w:sz w:val="16"/>
                <w:szCs w:val="16"/>
                <w:lang w:eastAsia="es-MX"/>
              </w:rPr>
              <w:t>Cifras definitivas 2024 y 2025.</w:t>
            </w:r>
          </w:p>
        </w:tc>
        <w:tc>
          <w:tcPr>
            <w:tcW w:w="1812" w:type="dxa"/>
            <w:tcBorders>
              <w:top w:val="nil"/>
              <w:left w:val="nil"/>
              <w:bottom w:val="nil"/>
              <w:right w:val="nil"/>
            </w:tcBorders>
            <w:shd w:val="clear" w:color="000000" w:fill="FFFFFF"/>
            <w:noWrap/>
            <w:vAlign w:val="bottom"/>
            <w:hideMark/>
          </w:tcPr>
          <w:p w14:paraId="138E25E3"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c>
          <w:tcPr>
            <w:tcW w:w="1812" w:type="dxa"/>
            <w:tcBorders>
              <w:top w:val="nil"/>
              <w:left w:val="nil"/>
              <w:bottom w:val="nil"/>
              <w:right w:val="nil"/>
            </w:tcBorders>
            <w:shd w:val="clear" w:color="000000" w:fill="FFFFFF"/>
            <w:noWrap/>
            <w:vAlign w:val="bottom"/>
            <w:hideMark/>
          </w:tcPr>
          <w:p w14:paraId="4F503142"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c>
          <w:tcPr>
            <w:tcW w:w="1622" w:type="dxa"/>
            <w:tcBorders>
              <w:top w:val="nil"/>
              <w:left w:val="nil"/>
              <w:bottom w:val="nil"/>
              <w:right w:val="nil"/>
            </w:tcBorders>
            <w:shd w:val="clear" w:color="000000" w:fill="FFFFFF"/>
            <w:noWrap/>
            <w:vAlign w:val="bottom"/>
            <w:hideMark/>
          </w:tcPr>
          <w:p w14:paraId="527E88DE"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c>
          <w:tcPr>
            <w:tcW w:w="887" w:type="dxa"/>
            <w:tcBorders>
              <w:top w:val="nil"/>
              <w:left w:val="nil"/>
              <w:bottom w:val="nil"/>
              <w:right w:val="nil"/>
            </w:tcBorders>
            <w:shd w:val="clear" w:color="000000" w:fill="FFFFFF"/>
            <w:noWrap/>
            <w:vAlign w:val="bottom"/>
            <w:hideMark/>
          </w:tcPr>
          <w:p w14:paraId="5B5588F5"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c>
          <w:tcPr>
            <w:tcW w:w="1625" w:type="dxa"/>
            <w:tcBorders>
              <w:top w:val="nil"/>
              <w:left w:val="nil"/>
              <w:bottom w:val="nil"/>
              <w:right w:val="nil"/>
            </w:tcBorders>
            <w:shd w:val="clear" w:color="000000" w:fill="FFFFFF"/>
            <w:noWrap/>
            <w:vAlign w:val="bottom"/>
            <w:hideMark/>
          </w:tcPr>
          <w:p w14:paraId="7B7416D0" w14:textId="77777777" w:rsidR="0032396B" w:rsidRPr="0032396B" w:rsidRDefault="0032396B" w:rsidP="0032396B">
            <w:pPr>
              <w:spacing w:after="0" w:line="240" w:lineRule="auto"/>
              <w:rPr>
                <w:rFonts w:ascii="Arial" w:eastAsia="Times New Roman" w:hAnsi="Arial" w:cs="Arial"/>
                <w:color w:val="000000"/>
                <w:lang w:eastAsia="es-MX"/>
              </w:rPr>
            </w:pPr>
            <w:r w:rsidRPr="0032396B">
              <w:rPr>
                <w:rFonts w:ascii="Arial" w:eastAsia="Times New Roman" w:hAnsi="Arial" w:cs="Arial"/>
                <w:color w:val="000000"/>
                <w:lang w:eastAsia="es-MX"/>
              </w:rPr>
              <w:t> </w:t>
            </w:r>
          </w:p>
        </w:tc>
      </w:tr>
    </w:tbl>
    <w:p w14:paraId="11C7DAE3" w14:textId="77777777" w:rsidR="0032396B" w:rsidRPr="0032396B" w:rsidRDefault="0032396B" w:rsidP="0032396B">
      <w:pPr>
        <w:spacing w:after="200" w:line="240" w:lineRule="auto"/>
        <w:jc w:val="both"/>
        <w:rPr>
          <w:rFonts w:ascii="Arial" w:eastAsia="Calibri" w:hAnsi="Arial" w:cs="Arial"/>
          <w:b/>
          <w:sz w:val="24"/>
          <w:szCs w:val="24"/>
        </w:rPr>
      </w:pPr>
    </w:p>
    <w:p w14:paraId="3B24E8AB" w14:textId="77777777" w:rsidR="0032396B" w:rsidRDefault="0032396B" w:rsidP="00777AA3">
      <w:pPr>
        <w:spacing w:after="0" w:line="240" w:lineRule="auto"/>
        <w:jc w:val="both"/>
        <w:rPr>
          <w:rFonts w:ascii="Arial" w:eastAsia="Calibri" w:hAnsi="Arial" w:cs="Arial"/>
          <w:b/>
          <w:sz w:val="20"/>
          <w:szCs w:val="24"/>
        </w:rPr>
      </w:pPr>
      <w:r w:rsidRPr="00D8734A">
        <w:rPr>
          <w:rFonts w:ascii="Arial" w:eastAsia="Calibri" w:hAnsi="Arial" w:cs="Arial"/>
          <w:b/>
          <w:sz w:val="20"/>
          <w:szCs w:val="24"/>
        </w:rPr>
        <w:t>Impuestos</w:t>
      </w:r>
    </w:p>
    <w:p w14:paraId="54364EE2" w14:textId="77777777" w:rsidR="00313968" w:rsidRPr="00D8734A" w:rsidRDefault="00313968" w:rsidP="00777AA3">
      <w:pPr>
        <w:spacing w:after="0" w:line="240" w:lineRule="auto"/>
        <w:jc w:val="both"/>
        <w:rPr>
          <w:rFonts w:ascii="Arial" w:eastAsia="Calibri" w:hAnsi="Arial" w:cs="Arial"/>
          <w:b/>
          <w:sz w:val="20"/>
          <w:szCs w:val="24"/>
        </w:rPr>
      </w:pPr>
    </w:p>
    <w:p w14:paraId="3C4278AC" w14:textId="77777777" w:rsidR="00A742D3" w:rsidRDefault="00A742D3" w:rsidP="0032396B">
      <w:pPr>
        <w:spacing w:after="20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 xml:space="preserve">Durante el período enero-diciembre 2025, en el rubro de Impuestos se obtuvieron 3 mil 475.54 millones de pesos, los cuales, en relación a lo recaudado en el mismo período del ejercicio 2024, de 3 mil 071.32 millones de pesos, representan un aumento en la recaudación 404.22 millones de pesos, equivalentes a 13.16 por ciento. Observándose que este aumento es originado por el cobro del Impuesto sobre actos, contratos e instrumentos notariales; el Impuesto Sobre Nóminas de Contribuyentes Generales; entre otros. </w:t>
      </w:r>
    </w:p>
    <w:p w14:paraId="0852E471" w14:textId="77777777" w:rsidR="00A742D3" w:rsidRDefault="00A742D3" w:rsidP="0032396B">
      <w:pPr>
        <w:spacing w:after="20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En comparación con lo programado en LIET 2025 para el cuarto trimestre, que fueron 3 mil 084.15 millones de pesos, se refleja un incremento del 12.69 por ciento en este período, donde se recaudaron ingresos por 3 mil 475.54 millones de pesos, que significan un aumento en la recaudación por 391.39 millones de pesos. Los principales rubros de recaudación que destacaron en este período respecto a lo proyectado en LIET 2025 son: Impuesto sobre Honorarios por actividades profesionales y ejercicios lucrativos no gravados por la ley del IVA; el Impuesto sobre Actos, Contratos e Instrumentos Notariales; y el Impuesto Sobre Nóminas; entre otros.</w:t>
      </w:r>
    </w:p>
    <w:p w14:paraId="48EA30D2" w14:textId="77777777" w:rsidR="00A742D3" w:rsidRDefault="00A742D3" w:rsidP="0032396B">
      <w:pPr>
        <w:spacing w:after="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Lo anterior, se logró gracias a las diversas acciones emprendidas en los programas de control de obligaciones y la estrecha vigilancia a los contribuyentes omisos e incumplidos.</w:t>
      </w:r>
    </w:p>
    <w:p w14:paraId="068FBC2B" w14:textId="77777777" w:rsidR="00A742D3" w:rsidRDefault="00A742D3" w:rsidP="0032396B">
      <w:pPr>
        <w:spacing w:after="0" w:line="240" w:lineRule="auto"/>
        <w:jc w:val="both"/>
        <w:rPr>
          <w:rFonts w:ascii="Arial" w:eastAsia="Calibri" w:hAnsi="Arial" w:cs="Arial"/>
          <w:b/>
          <w:color w:val="000000"/>
          <w:sz w:val="20"/>
          <w:szCs w:val="24"/>
        </w:rPr>
      </w:pPr>
    </w:p>
    <w:p w14:paraId="193706F8" w14:textId="77777777" w:rsidR="00A742D3" w:rsidRPr="00A742D3" w:rsidRDefault="00A742D3" w:rsidP="00A742D3">
      <w:pPr>
        <w:spacing w:after="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 xml:space="preserve">Los cuatro principales rubros de recaudación son: </w:t>
      </w:r>
    </w:p>
    <w:p w14:paraId="6F13086C" w14:textId="77777777" w:rsidR="00A742D3" w:rsidRPr="00A742D3" w:rsidRDefault="00A742D3" w:rsidP="00A742D3">
      <w:pPr>
        <w:spacing w:after="0" w:line="240" w:lineRule="auto"/>
        <w:jc w:val="both"/>
        <w:rPr>
          <w:rFonts w:ascii="Arial" w:eastAsia="Calibri" w:hAnsi="Arial" w:cs="Arial"/>
          <w:b/>
          <w:color w:val="000000"/>
          <w:sz w:val="20"/>
          <w:szCs w:val="24"/>
        </w:rPr>
      </w:pPr>
    </w:p>
    <w:p w14:paraId="4836F724" w14:textId="77777777" w:rsidR="00A742D3" w:rsidRPr="00A742D3" w:rsidRDefault="00A742D3" w:rsidP="00A742D3">
      <w:pPr>
        <w:spacing w:after="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w:t>
      </w:r>
      <w:r w:rsidRPr="00A742D3">
        <w:rPr>
          <w:rFonts w:ascii="Arial" w:eastAsia="Calibri" w:hAnsi="Arial" w:cs="Arial"/>
          <w:b/>
          <w:color w:val="000000"/>
          <w:sz w:val="20"/>
          <w:szCs w:val="24"/>
        </w:rPr>
        <w:tab/>
        <w:t xml:space="preserve">Impuesto Sobre Nóminas (ISN); </w:t>
      </w:r>
    </w:p>
    <w:p w14:paraId="7FB40D18" w14:textId="77777777" w:rsidR="00A742D3" w:rsidRPr="00A742D3" w:rsidRDefault="00A742D3" w:rsidP="00A742D3">
      <w:pPr>
        <w:spacing w:after="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w:t>
      </w:r>
      <w:r w:rsidRPr="00A742D3">
        <w:rPr>
          <w:rFonts w:ascii="Arial" w:eastAsia="Calibri" w:hAnsi="Arial" w:cs="Arial"/>
          <w:b/>
          <w:color w:val="000000"/>
          <w:sz w:val="20"/>
          <w:szCs w:val="24"/>
        </w:rPr>
        <w:tab/>
        <w:t>Impuesto sobre Loterías, Rifas y Sorteos y concursos de toda clase.</w:t>
      </w:r>
    </w:p>
    <w:p w14:paraId="39675CF0" w14:textId="77777777" w:rsidR="00A742D3" w:rsidRPr="00A742D3" w:rsidRDefault="00A742D3" w:rsidP="00A742D3">
      <w:pPr>
        <w:spacing w:after="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w:t>
      </w:r>
      <w:r w:rsidRPr="00A742D3">
        <w:rPr>
          <w:rFonts w:ascii="Arial" w:eastAsia="Calibri" w:hAnsi="Arial" w:cs="Arial"/>
          <w:b/>
          <w:color w:val="000000"/>
          <w:sz w:val="20"/>
          <w:szCs w:val="24"/>
        </w:rPr>
        <w:tab/>
        <w:t xml:space="preserve">Impuesto a los Actos, Contratos e Instrumentos Notariales; </w:t>
      </w:r>
    </w:p>
    <w:p w14:paraId="4D65298B" w14:textId="77777777" w:rsidR="00A742D3" w:rsidRPr="00A742D3" w:rsidRDefault="00A742D3" w:rsidP="00A742D3">
      <w:pPr>
        <w:spacing w:after="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w:t>
      </w:r>
      <w:r w:rsidRPr="00A742D3">
        <w:rPr>
          <w:rFonts w:ascii="Arial" w:eastAsia="Calibri" w:hAnsi="Arial" w:cs="Arial"/>
          <w:b/>
          <w:color w:val="000000"/>
          <w:sz w:val="20"/>
          <w:szCs w:val="24"/>
        </w:rPr>
        <w:tab/>
        <w:t xml:space="preserve">Impuesto Sobre Traslado de Dominio de Bienes Muebles usado; </w:t>
      </w:r>
    </w:p>
    <w:p w14:paraId="3CF7A8D7" w14:textId="77777777" w:rsidR="00A742D3" w:rsidRPr="00A742D3" w:rsidRDefault="00A742D3" w:rsidP="00A742D3">
      <w:pPr>
        <w:spacing w:after="0" w:line="240" w:lineRule="auto"/>
        <w:jc w:val="both"/>
        <w:rPr>
          <w:rFonts w:ascii="Arial" w:eastAsia="Calibri" w:hAnsi="Arial" w:cs="Arial"/>
          <w:b/>
          <w:color w:val="000000"/>
          <w:sz w:val="20"/>
          <w:szCs w:val="24"/>
        </w:rPr>
      </w:pPr>
    </w:p>
    <w:p w14:paraId="5538C971" w14:textId="041516CD" w:rsidR="00313968" w:rsidRDefault="00A742D3" w:rsidP="00A742D3">
      <w:pPr>
        <w:spacing w:after="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Los cuales, contribuyeron con 97.00 por ciento del total en este rubro.</w:t>
      </w:r>
    </w:p>
    <w:p w14:paraId="7D6CFC50" w14:textId="77777777" w:rsidR="0032396B" w:rsidRDefault="0032396B" w:rsidP="00777AA3">
      <w:pPr>
        <w:spacing w:after="0" w:line="240" w:lineRule="auto"/>
        <w:jc w:val="both"/>
        <w:rPr>
          <w:rFonts w:ascii="Arial" w:eastAsia="Calibri" w:hAnsi="Arial" w:cs="Arial"/>
          <w:b/>
          <w:sz w:val="20"/>
          <w:szCs w:val="24"/>
        </w:rPr>
      </w:pPr>
      <w:r w:rsidRPr="00D8734A">
        <w:rPr>
          <w:rFonts w:ascii="Arial" w:eastAsia="Calibri" w:hAnsi="Arial" w:cs="Arial"/>
          <w:b/>
          <w:sz w:val="20"/>
          <w:szCs w:val="24"/>
        </w:rPr>
        <w:lastRenderedPageBreak/>
        <w:t>Derechos</w:t>
      </w:r>
    </w:p>
    <w:p w14:paraId="427D1FC6" w14:textId="77777777" w:rsidR="00313968" w:rsidRPr="00D8734A" w:rsidRDefault="00313968" w:rsidP="00777AA3">
      <w:pPr>
        <w:spacing w:after="0" w:line="240" w:lineRule="auto"/>
        <w:jc w:val="both"/>
        <w:rPr>
          <w:rFonts w:ascii="Arial" w:eastAsia="Calibri" w:hAnsi="Arial" w:cs="Arial"/>
          <w:b/>
          <w:sz w:val="20"/>
          <w:szCs w:val="24"/>
        </w:rPr>
      </w:pPr>
    </w:p>
    <w:p w14:paraId="1C52A81B" w14:textId="77777777" w:rsidR="00A742D3" w:rsidRDefault="00A742D3" w:rsidP="0032396B">
      <w:pPr>
        <w:spacing w:after="200" w:line="240" w:lineRule="auto"/>
        <w:jc w:val="both"/>
        <w:rPr>
          <w:rFonts w:ascii="Arial" w:eastAsia="Calibri" w:hAnsi="Arial" w:cs="Arial"/>
          <w:b/>
          <w:color w:val="000000"/>
          <w:sz w:val="20"/>
          <w:szCs w:val="24"/>
        </w:rPr>
      </w:pPr>
      <w:r w:rsidRPr="00A742D3">
        <w:rPr>
          <w:rFonts w:ascii="Arial" w:eastAsia="Calibri" w:hAnsi="Arial" w:cs="Arial"/>
          <w:b/>
          <w:color w:val="000000"/>
          <w:sz w:val="20"/>
          <w:szCs w:val="24"/>
        </w:rPr>
        <w:t>Al cierre de ejercicio 2025, en relación a los Ingresos por Derechos, la recaudación fue de 1 mil 801.25 millones de pesos, que en comparación con los 1 mil 631.43 millones de pesos del año anterior, representa un incremento de 169.82 millones de pesos, equivalentes a 10.41 por ciento, originado principalmente por los servicios prestados por Dependencias y Órganos Desconcentrados, tales como: los servicios prestados por la Secretaría de Gobierno relacionado con: La Dirección General de la Policía Estatal de Caminos 192.35 millones de pesos; los servicios prestados por la Secretaría de Movilidad con 67.65 millones de pesos; los prestados por la Secretaría de Administración y Finanzas, relacionados con el Registro de Vehículos particulares con 527.99 millones de pesos; y los Servicios Prestados por los Organismos Públicos Descentralizados con 409.70 millones de pesos; entre otros.</w:t>
      </w:r>
    </w:p>
    <w:p w14:paraId="3CD9F201" w14:textId="6CA7B17B" w:rsidR="0032396B" w:rsidRPr="00D8734A" w:rsidRDefault="00A742D3" w:rsidP="0032396B">
      <w:pPr>
        <w:spacing w:after="200" w:line="240" w:lineRule="auto"/>
        <w:jc w:val="both"/>
        <w:rPr>
          <w:rFonts w:ascii="Arial" w:eastAsia="Calibri" w:hAnsi="Arial" w:cs="Arial"/>
          <w:b/>
          <w:sz w:val="20"/>
          <w:szCs w:val="24"/>
        </w:rPr>
      </w:pPr>
      <w:r w:rsidRPr="00A742D3">
        <w:rPr>
          <w:rFonts w:ascii="Arial" w:eastAsia="Calibri" w:hAnsi="Arial" w:cs="Arial"/>
          <w:b/>
          <w:color w:val="000000"/>
          <w:sz w:val="20"/>
          <w:szCs w:val="24"/>
        </w:rPr>
        <w:t>Con relación a este Rubro, es importante mencionar que del presupuesto inicial en LIET 2025, que fue estimado por la cantidad de 1 mil 459.92 millones de pesos, que en comparación, con lo Recaudado al cierre del mes de Diciembre 2025, fue de 1 mil 801.25 millones de pesos, se obtuvo un incremento por 341.33 millones de pesos, equivalentes al 23.38 por ciento; originado principalmente por los ingresos originados por los servicios prestados por Dependencias y Órganos Desconcentrados, tales como: los prestados por la Secretaría de Gobierno, relacionados con la Dirección General del Registro Público de la Propiedad y del Comercio con 185.35 millones de pesos; los servicios prestados por La Dirección General de la Policía Estatal de Caminos 192.35 millones de pesos; los servicios prestados por la Secretaría de Movilidad con 67.65 millones de pesos; los servicios prestados por la Secretaría de Educación del Estado de Tabasco con 40.19 millones de pesos; los servicios prestados por la Secretaría de Administración y Finanzas, relacionados con el Registro de Vehículos particulares con 527.99 millones de pesos; y los Servicios Prestados por los Organismos Públicos Descentralizados con 409.70 millones de pesos; entre otros.</w:t>
      </w:r>
    </w:p>
    <w:p w14:paraId="1ADB6FF4" w14:textId="2869BCF5" w:rsidR="0032396B" w:rsidRPr="00D8734A" w:rsidRDefault="00777AA3" w:rsidP="00777AA3">
      <w:pPr>
        <w:spacing w:after="0" w:line="360" w:lineRule="auto"/>
        <w:rPr>
          <w:rFonts w:ascii="Arial" w:eastAsia="Times New Roman" w:hAnsi="Arial" w:cs="Arial"/>
          <w:b/>
          <w:color w:val="000000"/>
          <w:sz w:val="20"/>
          <w:szCs w:val="24"/>
          <w:lang w:val="es-ES" w:eastAsia="es-ES"/>
        </w:rPr>
      </w:pPr>
      <w:r w:rsidRPr="00D8734A">
        <w:rPr>
          <w:rFonts w:ascii="Arial" w:eastAsia="Times New Roman" w:hAnsi="Arial" w:cs="Arial"/>
          <w:b/>
          <w:color w:val="000000"/>
          <w:sz w:val="20"/>
          <w:szCs w:val="24"/>
          <w:lang w:val="es-ES" w:eastAsia="es-ES"/>
        </w:rPr>
        <w:t>Productos y Aprovechamientos</w:t>
      </w:r>
    </w:p>
    <w:p w14:paraId="336ED588" w14:textId="2F27ACB1" w:rsidR="0032396B" w:rsidRDefault="00A742D3" w:rsidP="0032396B">
      <w:pPr>
        <w:spacing w:after="0" w:line="240" w:lineRule="auto"/>
        <w:jc w:val="both"/>
        <w:rPr>
          <w:rFonts w:ascii="Arial" w:eastAsia="Calibri" w:hAnsi="Arial" w:cs="Arial"/>
          <w:b/>
          <w:sz w:val="20"/>
          <w:szCs w:val="24"/>
        </w:rPr>
      </w:pPr>
      <w:r w:rsidRPr="00A742D3">
        <w:rPr>
          <w:rFonts w:ascii="Arial" w:eastAsia="Calibri" w:hAnsi="Arial" w:cs="Arial"/>
          <w:b/>
          <w:sz w:val="20"/>
          <w:szCs w:val="24"/>
        </w:rPr>
        <w:t>Al 31 de diciembre del 2025, los ingresos por los rubros de Productos y Aprovechamientos, reflejaron un incremento de 8.62 por ciento, que significan 106.81 millones de pesos, debido a que en este ejercicio ingresaron 1 mil 346.14 millones de pesos, mientras que en 2024 se recaudaron 1 mil 239.32 millones de pesos. Este incremento es debido, a los productos financieros derivados de inversiones temporales y otros aprovechamientos.</w:t>
      </w:r>
    </w:p>
    <w:p w14:paraId="2018DF97" w14:textId="77777777" w:rsidR="00A742D3" w:rsidRPr="00D8734A" w:rsidRDefault="00A742D3" w:rsidP="0032396B">
      <w:pPr>
        <w:spacing w:after="0" w:line="240" w:lineRule="auto"/>
        <w:jc w:val="both"/>
        <w:rPr>
          <w:rFonts w:ascii="Arial" w:eastAsia="Calibri" w:hAnsi="Arial" w:cs="Arial"/>
          <w:b/>
          <w:sz w:val="20"/>
          <w:szCs w:val="24"/>
        </w:rPr>
      </w:pPr>
    </w:p>
    <w:p w14:paraId="00F25F73" w14:textId="3AF1C2A5" w:rsidR="0032396B" w:rsidRPr="00D8734A" w:rsidRDefault="00A742D3" w:rsidP="0032396B">
      <w:pPr>
        <w:tabs>
          <w:tab w:val="left" w:pos="3782"/>
        </w:tabs>
        <w:spacing w:after="0" w:line="240" w:lineRule="auto"/>
        <w:jc w:val="both"/>
        <w:rPr>
          <w:rFonts w:ascii="Arial" w:eastAsia="Calibri" w:hAnsi="Arial" w:cs="Arial"/>
          <w:b/>
          <w:sz w:val="2"/>
          <w:szCs w:val="24"/>
        </w:rPr>
      </w:pPr>
      <w:r w:rsidRPr="00A742D3">
        <w:rPr>
          <w:rFonts w:ascii="Arial" w:eastAsia="Calibri" w:hAnsi="Arial" w:cs="Arial"/>
          <w:b/>
          <w:sz w:val="20"/>
          <w:szCs w:val="24"/>
        </w:rPr>
        <w:t>Existe un incremento del 9</w:t>
      </w:r>
      <w:r w:rsidR="000A64B6">
        <w:rPr>
          <w:rFonts w:ascii="Arial" w:eastAsia="Calibri" w:hAnsi="Arial" w:cs="Arial"/>
          <w:b/>
          <w:sz w:val="20"/>
          <w:szCs w:val="24"/>
        </w:rPr>
        <w:t>6</w:t>
      </w:r>
      <w:r w:rsidRPr="00A742D3">
        <w:rPr>
          <w:rFonts w:ascii="Arial" w:eastAsia="Calibri" w:hAnsi="Arial" w:cs="Arial"/>
          <w:b/>
          <w:sz w:val="20"/>
          <w:szCs w:val="24"/>
        </w:rPr>
        <w:t>.28 por ciento con respecto a la LIET 2025, ya que en el rubro de Productos se recaudó en este periodo 315.93 millones de pesos, contra 255.41 millones de pesos estimados para el mismo período; lo que representa un aumento de 23.70 por ciento, originados principalmente en el Rubro de Productos, por los productos financieros de inversiones temporales con 115.36 millones de pesos y los productos financieros fideicomisos (1213) con 18.12 millones de pesos; asimismo, en el Rubro de Aprovechamientos se recaudó en este periodo 1 mil 030.20 millones de pesos, contra 430.42 millones de pesos estimados para el mismo período, existe un incremento de 599.78 millones de pesos, originado principalmente por los ingresos recaudados por  otros Aprovechamientos.</w:t>
      </w:r>
    </w:p>
    <w:p w14:paraId="5A1DC3A0" w14:textId="77777777" w:rsidR="0032396B" w:rsidRPr="00D8734A" w:rsidRDefault="0032396B" w:rsidP="0032396B">
      <w:pPr>
        <w:spacing w:after="0" w:line="240" w:lineRule="auto"/>
        <w:rPr>
          <w:rFonts w:ascii="Arial" w:eastAsia="Calibri" w:hAnsi="Arial" w:cs="Arial"/>
          <w:b/>
          <w:sz w:val="20"/>
          <w:szCs w:val="24"/>
        </w:rPr>
      </w:pPr>
    </w:p>
    <w:p w14:paraId="298C7120" w14:textId="77777777" w:rsidR="0032396B" w:rsidRPr="00D8734A" w:rsidRDefault="0032396B" w:rsidP="0032396B">
      <w:pPr>
        <w:spacing w:after="0" w:line="240" w:lineRule="auto"/>
        <w:rPr>
          <w:rFonts w:ascii="Arial" w:eastAsia="Calibri" w:hAnsi="Arial" w:cs="Arial"/>
          <w:b/>
          <w:sz w:val="20"/>
          <w:szCs w:val="24"/>
        </w:rPr>
      </w:pPr>
      <w:r w:rsidRPr="00D8734A">
        <w:rPr>
          <w:rFonts w:ascii="Arial" w:eastAsia="Calibri" w:hAnsi="Arial" w:cs="Arial"/>
          <w:b/>
          <w:sz w:val="20"/>
          <w:szCs w:val="24"/>
        </w:rPr>
        <w:t>Ingresos Federales</w:t>
      </w:r>
    </w:p>
    <w:p w14:paraId="0BDC9372" w14:textId="77777777" w:rsidR="0032396B" w:rsidRPr="00D8734A" w:rsidRDefault="0032396B" w:rsidP="0032396B">
      <w:pPr>
        <w:spacing w:after="0" w:line="240" w:lineRule="auto"/>
        <w:rPr>
          <w:rFonts w:ascii="Arial" w:eastAsia="Calibri" w:hAnsi="Arial" w:cs="Arial"/>
          <w:b/>
          <w:color w:val="FF0000"/>
          <w:sz w:val="20"/>
          <w:szCs w:val="24"/>
        </w:rPr>
      </w:pPr>
    </w:p>
    <w:p w14:paraId="28114672" w14:textId="3422C9F7" w:rsidR="0032396B" w:rsidRPr="00D8734A" w:rsidRDefault="00A742D3" w:rsidP="0032396B">
      <w:pPr>
        <w:spacing w:after="0" w:line="240" w:lineRule="auto"/>
        <w:jc w:val="both"/>
        <w:rPr>
          <w:rFonts w:ascii="Arial" w:eastAsia="Calibri" w:hAnsi="Arial" w:cs="Arial"/>
          <w:b/>
          <w:sz w:val="20"/>
          <w:szCs w:val="24"/>
        </w:rPr>
      </w:pPr>
      <w:r w:rsidRPr="00A742D3">
        <w:rPr>
          <w:rFonts w:ascii="Arial" w:eastAsia="Calibri" w:hAnsi="Arial" w:cs="Arial"/>
          <w:b/>
          <w:sz w:val="20"/>
          <w:szCs w:val="24"/>
        </w:rPr>
        <w:t>Los Ingresos Federales recaudados en 2025 fueron 63,269.9 millones de pesos, que comparados con los 61,474.5 millones de pesos estimados en Ley de Ingresos del Estado para el ejercicio 2025, reflejan un incremento de 1,795.3 millones de pesos, lo que significa 2.92 por ciento adicional, mismo que se integra por: Participaciones con 48.30 por ciento, Aportaciones con 32.52 por ciento, Convenios con 14.33 por ciento, Incentivos Derivados de la Colaboración Fiscal con 1.92 por ciento, Fondos Distintos de Aportaciones con 2.92 por ciento y el rubro de Transferencias, Asignaciones, Subsidios y Subvenciones, y Pensiones y Jubilaciones con un 0.003 por ciento, representando un 83.73 por ciento en relación a los ingresos totales del Estado.</w:t>
      </w:r>
      <w:r w:rsidR="0032396B" w:rsidRPr="00D8734A">
        <w:rPr>
          <w:rFonts w:ascii="Arial" w:eastAsia="Calibri" w:hAnsi="Arial" w:cs="Arial"/>
          <w:b/>
          <w:sz w:val="20"/>
          <w:szCs w:val="24"/>
        </w:rPr>
        <w:t xml:space="preserve"> </w:t>
      </w:r>
    </w:p>
    <w:p w14:paraId="15939817" w14:textId="77777777" w:rsidR="0032396B" w:rsidRPr="0032396B" w:rsidRDefault="0032396B" w:rsidP="0032396B">
      <w:pPr>
        <w:spacing w:after="0" w:line="240" w:lineRule="auto"/>
        <w:jc w:val="center"/>
        <w:rPr>
          <w:rFonts w:ascii="Arial" w:eastAsia="Calibri" w:hAnsi="Arial" w:cs="Arial"/>
          <w:sz w:val="24"/>
          <w:szCs w:val="24"/>
        </w:rPr>
      </w:pPr>
      <w:r w:rsidRPr="00D8734A">
        <w:rPr>
          <w:rFonts w:ascii="Calibri" w:eastAsia="Calibri" w:hAnsi="Calibri" w:cs="Times New Roman"/>
          <w:noProof/>
          <w:sz w:val="20"/>
          <w:lang w:eastAsia="es-MX"/>
        </w:rPr>
        <w:lastRenderedPageBreak/>
        <w:drawing>
          <wp:inline distT="0" distB="0" distL="0" distR="0" wp14:anchorId="4E5979F5" wp14:editId="767505CB">
            <wp:extent cx="8343900" cy="3371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43900" cy="3371850"/>
                    </a:xfrm>
                    <a:prstGeom prst="rect">
                      <a:avLst/>
                    </a:prstGeom>
                    <a:noFill/>
                    <a:ln>
                      <a:noFill/>
                    </a:ln>
                  </pic:spPr>
                </pic:pic>
              </a:graphicData>
            </a:graphic>
          </wp:inline>
        </w:drawing>
      </w:r>
    </w:p>
    <w:p w14:paraId="5A3E5DE8" w14:textId="77777777" w:rsidR="0032396B" w:rsidRPr="0032396B" w:rsidRDefault="0032396B" w:rsidP="0032396B">
      <w:pPr>
        <w:spacing w:after="0" w:line="240" w:lineRule="auto"/>
        <w:jc w:val="both"/>
        <w:rPr>
          <w:rFonts w:ascii="Arial" w:eastAsia="Calibri" w:hAnsi="Arial" w:cs="Arial"/>
          <w:sz w:val="24"/>
          <w:szCs w:val="24"/>
        </w:rPr>
      </w:pPr>
    </w:p>
    <w:p w14:paraId="529247CD" w14:textId="77777777" w:rsidR="0032396B" w:rsidRDefault="0032396B"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ヒラギノ角ゴ Pro W3" w:hAnsi="Arial" w:cs="Arial"/>
          <w:b/>
          <w:sz w:val="20"/>
          <w:szCs w:val="24"/>
          <w:lang w:eastAsia="es-CO"/>
        </w:rPr>
      </w:pPr>
      <w:r w:rsidRPr="00D8734A">
        <w:rPr>
          <w:rFonts w:ascii="Arial" w:eastAsia="ヒラギノ角ゴ Pro W3" w:hAnsi="Arial" w:cs="Arial"/>
          <w:b/>
          <w:sz w:val="20"/>
          <w:szCs w:val="24"/>
          <w:lang w:eastAsia="es-CO"/>
        </w:rPr>
        <w:t xml:space="preserve">Participaciones </w:t>
      </w:r>
    </w:p>
    <w:p w14:paraId="3B44CC98" w14:textId="77777777" w:rsidR="00313968" w:rsidRPr="00D8734A" w:rsidRDefault="00313968"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ヒラギノ角ゴ Pro W3" w:hAnsi="Arial" w:cs="Arial"/>
          <w:b/>
          <w:sz w:val="20"/>
          <w:szCs w:val="24"/>
          <w:lang w:eastAsia="es-CO"/>
        </w:rPr>
      </w:pPr>
    </w:p>
    <w:p w14:paraId="3F0B6A28" w14:textId="240E6798" w:rsidR="0032396B" w:rsidRPr="00D8734A" w:rsidRDefault="00A742D3" w:rsidP="0032396B">
      <w:pPr>
        <w:spacing w:after="0" w:line="240" w:lineRule="auto"/>
        <w:jc w:val="both"/>
        <w:rPr>
          <w:rFonts w:ascii="Arial" w:eastAsia="Calibri" w:hAnsi="Arial" w:cs="Arial"/>
          <w:b/>
          <w:sz w:val="20"/>
          <w:szCs w:val="24"/>
        </w:rPr>
      </w:pPr>
      <w:r w:rsidRPr="00A742D3">
        <w:rPr>
          <w:rFonts w:ascii="Arial" w:eastAsia="ヒラギノ角ゴ Pro W3" w:hAnsi="Arial" w:cs="Arial"/>
          <w:b/>
          <w:sz w:val="20"/>
          <w:szCs w:val="24"/>
          <w:lang w:eastAsia="es-CO"/>
        </w:rPr>
        <w:t>Comparando los ingresos de Participaciones recaudados al 31 de diciembre de 2025, los cuales ascendieron a 30,561.5 millones de pesos, contra lo presupuestado en Ley de Ingresos del Estado de Tabasco, en la cual se estimó 32,047.5 millones de pesos, se observa un decremento de 1,486.0 millones de pesos que representan un 4.64 por ciento, esto se debió principalmente a la estimación LIET en donde el Fondo General de Participaciones fue mayor a lo programado por la SHCP y además durante el ejercicio recibió ajustes cuatrimestrales negativos por 751.8 millones de pesos</w:t>
      </w:r>
    </w:p>
    <w:p w14:paraId="7FC4180B" w14:textId="77777777" w:rsidR="0032396B" w:rsidRPr="00D8734A" w:rsidRDefault="0032396B"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sz w:val="20"/>
          <w:szCs w:val="24"/>
          <w:lang w:eastAsia="es-MX"/>
        </w:rPr>
      </w:pPr>
    </w:p>
    <w:p w14:paraId="33F44F35" w14:textId="77777777" w:rsidR="0032396B" w:rsidRDefault="0032396B"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sz w:val="20"/>
          <w:szCs w:val="24"/>
          <w:lang w:eastAsia="es-MX"/>
        </w:rPr>
      </w:pPr>
      <w:r w:rsidRPr="00D8734A">
        <w:rPr>
          <w:rFonts w:ascii="Arial" w:eastAsia="Times New Roman" w:hAnsi="Arial" w:cs="Arial"/>
          <w:b/>
          <w:sz w:val="20"/>
          <w:szCs w:val="24"/>
          <w:lang w:eastAsia="es-MX"/>
        </w:rPr>
        <w:t>Aportaciones</w:t>
      </w:r>
    </w:p>
    <w:p w14:paraId="5969AD52" w14:textId="77777777" w:rsidR="00313968" w:rsidRPr="00D8734A" w:rsidRDefault="00313968"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sz w:val="20"/>
          <w:szCs w:val="24"/>
          <w:lang w:eastAsia="es-MX"/>
        </w:rPr>
      </w:pPr>
    </w:p>
    <w:p w14:paraId="204D02C2" w14:textId="665DBAD2" w:rsidR="0032396B" w:rsidRDefault="00A742D3" w:rsidP="0032396B">
      <w:pPr>
        <w:spacing w:after="0" w:line="240" w:lineRule="auto"/>
        <w:jc w:val="both"/>
        <w:rPr>
          <w:rFonts w:ascii="Arial" w:eastAsia="Times New Roman" w:hAnsi="Arial" w:cs="Arial"/>
          <w:b/>
          <w:sz w:val="20"/>
          <w:szCs w:val="24"/>
          <w:lang w:eastAsia="es-MX"/>
        </w:rPr>
      </w:pPr>
      <w:r w:rsidRPr="00A742D3">
        <w:rPr>
          <w:rFonts w:ascii="Arial" w:eastAsia="Times New Roman" w:hAnsi="Arial" w:cs="Arial"/>
          <w:b/>
          <w:sz w:val="20"/>
          <w:szCs w:val="24"/>
          <w:lang w:eastAsia="es-MX"/>
        </w:rPr>
        <w:t>Los Ingresos de Aportaciones recibidos al 31 de diciembre de 2025, alcanzaron 20,575.0 millones de pesos que en comparación con los 19,862.9 millones de pesos estimados en la Ley de Ingresos del Estado de Tabasco, presenta un crecimiento de 3.5 por ciento, es decir 712.0 millones de pesos, este incremento se origina principalmente por el Fondo para la Nómina Educativa y Gasto Operativo (FONE) servicios personales que recibió 1,064.7 millones de pesos adicionales a lo programado.</w:t>
      </w:r>
    </w:p>
    <w:p w14:paraId="6314E20E" w14:textId="77777777" w:rsidR="00313968" w:rsidRDefault="00313968" w:rsidP="0032396B">
      <w:pPr>
        <w:spacing w:after="0" w:line="240" w:lineRule="auto"/>
        <w:jc w:val="both"/>
        <w:rPr>
          <w:rFonts w:ascii="Arial" w:eastAsia="Times New Roman" w:hAnsi="Arial" w:cs="Arial"/>
          <w:b/>
          <w:sz w:val="20"/>
          <w:szCs w:val="24"/>
          <w:lang w:eastAsia="es-MX"/>
        </w:rPr>
      </w:pPr>
    </w:p>
    <w:p w14:paraId="33311731" w14:textId="77777777" w:rsidR="00313968" w:rsidRDefault="00313968" w:rsidP="0032396B">
      <w:pPr>
        <w:spacing w:after="0" w:line="240" w:lineRule="auto"/>
        <w:jc w:val="both"/>
        <w:rPr>
          <w:rFonts w:ascii="Arial" w:eastAsia="Times New Roman" w:hAnsi="Arial" w:cs="Arial"/>
          <w:b/>
          <w:sz w:val="20"/>
          <w:szCs w:val="24"/>
          <w:lang w:eastAsia="es-MX"/>
        </w:rPr>
      </w:pPr>
    </w:p>
    <w:p w14:paraId="7D53800C" w14:textId="77777777" w:rsidR="00313968" w:rsidRDefault="00313968" w:rsidP="0032396B">
      <w:pPr>
        <w:spacing w:after="0" w:line="240" w:lineRule="auto"/>
        <w:jc w:val="both"/>
        <w:rPr>
          <w:rFonts w:ascii="Arial" w:eastAsia="Times New Roman" w:hAnsi="Arial" w:cs="Arial"/>
          <w:b/>
          <w:sz w:val="20"/>
          <w:szCs w:val="24"/>
          <w:lang w:eastAsia="es-MX"/>
        </w:rPr>
      </w:pPr>
    </w:p>
    <w:p w14:paraId="076456FB" w14:textId="77777777" w:rsidR="00313968" w:rsidRDefault="00313968" w:rsidP="0032396B">
      <w:pPr>
        <w:spacing w:after="0" w:line="240" w:lineRule="auto"/>
        <w:jc w:val="both"/>
        <w:rPr>
          <w:rFonts w:ascii="Arial" w:eastAsia="Times New Roman" w:hAnsi="Arial" w:cs="Arial"/>
          <w:b/>
          <w:sz w:val="20"/>
          <w:szCs w:val="24"/>
          <w:lang w:eastAsia="es-MX"/>
        </w:rPr>
      </w:pPr>
    </w:p>
    <w:p w14:paraId="2F699029" w14:textId="77777777" w:rsidR="00313968" w:rsidRPr="00D8734A" w:rsidRDefault="00313968" w:rsidP="0032396B">
      <w:pPr>
        <w:spacing w:after="0" w:line="240" w:lineRule="auto"/>
        <w:jc w:val="both"/>
        <w:rPr>
          <w:rFonts w:ascii="Arial" w:eastAsia="Times New Roman" w:hAnsi="Arial" w:cs="Arial"/>
          <w:b/>
          <w:sz w:val="20"/>
          <w:szCs w:val="24"/>
          <w:lang w:eastAsia="es-MX"/>
        </w:rPr>
      </w:pPr>
    </w:p>
    <w:p w14:paraId="0AB2F05B" w14:textId="77777777" w:rsidR="0032396B" w:rsidRPr="00D8734A" w:rsidRDefault="0032396B" w:rsidP="0032396B">
      <w:pPr>
        <w:spacing w:after="0" w:line="240" w:lineRule="auto"/>
        <w:jc w:val="both"/>
        <w:rPr>
          <w:rFonts w:ascii="Arial" w:eastAsia="Times New Roman" w:hAnsi="Arial" w:cs="Arial"/>
          <w:b/>
          <w:sz w:val="20"/>
          <w:szCs w:val="24"/>
          <w:lang w:eastAsia="es-MX"/>
        </w:rPr>
      </w:pPr>
    </w:p>
    <w:p w14:paraId="50FE71E5" w14:textId="77777777" w:rsidR="0032396B" w:rsidRDefault="0032396B" w:rsidP="0032396B">
      <w:pPr>
        <w:spacing w:after="0" w:line="240" w:lineRule="auto"/>
        <w:jc w:val="both"/>
        <w:rPr>
          <w:rFonts w:ascii="Arial" w:eastAsia="Times New Roman" w:hAnsi="Arial" w:cs="Arial"/>
          <w:b/>
          <w:sz w:val="20"/>
          <w:szCs w:val="24"/>
          <w:lang w:eastAsia="es-MX"/>
        </w:rPr>
      </w:pPr>
      <w:r w:rsidRPr="00D8734A">
        <w:rPr>
          <w:rFonts w:ascii="Arial" w:eastAsia="Times New Roman" w:hAnsi="Arial" w:cs="Arial"/>
          <w:b/>
          <w:sz w:val="20"/>
          <w:szCs w:val="24"/>
          <w:lang w:eastAsia="es-MX"/>
        </w:rPr>
        <w:lastRenderedPageBreak/>
        <w:t>Convenios</w:t>
      </w:r>
    </w:p>
    <w:p w14:paraId="462B1548" w14:textId="77777777" w:rsidR="00313968" w:rsidRPr="00D8734A" w:rsidRDefault="00313968" w:rsidP="0032396B">
      <w:pPr>
        <w:spacing w:after="0" w:line="240" w:lineRule="auto"/>
        <w:jc w:val="both"/>
        <w:rPr>
          <w:rFonts w:ascii="Arial" w:eastAsia="Times New Roman" w:hAnsi="Arial" w:cs="Arial"/>
          <w:b/>
          <w:sz w:val="20"/>
          <w:szCs w:val="24"/>
          <w:lang w:eastAsia="es-MX"/>
        </w:rPr>
      </w:pPr>
    </w:p>
    <w:p w14:paraId="3B3F42A8" w14:textId="2BC81A6C" w:rsidR="0032396B" w:rsidRPr="00D8734A" w:rsidRDefault="00A742D3" w:rsidP="0032396B">
      <w:pPr>
        <w:spacing w:after="0" w:line="240" w:lineRule="auto"/>
        <w:jc w:val="both"/>
        <w:rPr>
          <w:rFonts w:ascii="Arial" w:eastAsia="Times New Roman" w:hAnsi="Arial" w:cs="Arial"/>
          <w:b/>
          <w:sz w:val="20"/>
          <w:szCs w:val="20"/>
          <w:shd w:val="clear" w:color="auto" w:fill="FFFF00"/>
          <w:lang w:eastAsia="es-MX"/>
        </w:rPr>
      </w:pPr>
      <w:r w:rsidRPr="00A742D3">
        <w:rPr>
          <w:rFonts w:ascii="Arial" w:eastAsia="Times New Roman" w:hAnsi="Arial" w:cs="Arial"/>
          <w:b/>
          <w:sz w:val="20"/>
          <w:szCs w:val="20"/>
          <w:lang w:eastAsia="es-MX"/>
        </w:rPr>
        <w:t>Los ingresos reales de Convenios del año 2025 alcanzaron 9,067.1 millones de pesos que comparados contra los 6,304.6 millones de pesos estimados en Ley de Ingresos del Estado de Tabasco, obtuvo un incremento del 43.8 por ciento, lo que significa un aumento de 2,762.4 millones de pesos, causado por los Convenios de Educación, que reflejan un incremento de 1,943.1 millones de pesos en los cuales el programa U080 Apoyos a Centros y Organizaciones de Educación recibió 1,500.0 millones de pesos y en otros Convenios Federales que recibieron recursos por 1,231.3 millones de pesos.</w:t>
      </w:r>
    </w:p>
    <w:p w14:paraId="137DDA3B" w14:textId="77777777" w:rsidR="0032396B" w:rsidRPr="00D8734A" w:rsidRDefault="0032396B" w:rsidP="0032396B">
      <w:pPr>
        <w:spacing w:after="0" w:line="240" w:lineRule="auto"/>
        <w:jc w:val="both"/>
        <w:rPr>
          <w:rFonts w:ascii="Arial" w:eastAsia="Times New Roman" w:hAnsi="Arial" w:cs="Arial"/>
          <w:b/>
          <w:sz w:val="20"/>
          <w:szCs w:val="20"/>
          <w:lang w:eastAsia="es-MX"/>
        </w:rPr>
      </w:pPr>
    </w:p>
    <w:p w14:paraId="5E29BAE2" w14:textId="77777777" w:rsidR="0032396B" w:rsidRDefault="0032396B" w:rsidP="0032396B">
      <w:pPr>
        <w:spacing w:after="0" w:line="240" w:lineRule="auto"/>
        <w:jc w:val="both"/>
        <w:rPr>
          <w:rFonts w:ascii="Arial" w:eastAsia="Times New Roman" w:hAnsi="Arial" w:cs="Arial"/>
          <w:b/>
          <w:sz w:val="20"/>
          <w:szCs w:val="20"/>
          <w:lang w:eastAsia="es-MX"/>
        </w:rPr>
      </w:pPr>
      <w:r w:rsidRPr="00D8734A">
        <w:rPr>
          <w:rFonts w:ascii="Arial" w:eastAsia="Times New Roman" w:hAnsi="Arial" w:cs="Arial"/>
          <w:b/>
          <w:sz w:val="20"/>
          <w:szCs w:val="20"/>
          <w:lang w:eastAsia="es-MX"/>
        </w:rPr>
        <w:t>Incentivos Derivados de la Colaboración Fiscal</w:t>
      </w:r>
    </w:p>
    <w:p w14:paraId="7DDC339C" w14:textId="77777777" w:rsidR="00313968" w:rsidRPr="00D8734A" w:rsidRDefault="00313968" w:rsidP="0032396B">
      <w:pPr>
        <w:spacing w:after="0" w:line="240" w:lineRule="auto"/>
        <w:jc w:val="both"/>
        <w:rPr>
          <w:rFonts w:ascii="Arial" w:eastAsia="Times New Roman" w:hAnsi="Arial" w:cs="Arial"/>
          <w:b/>
          <w:sz w:val="20"/>
          <w:szCs w:val="20"/>
          <w:lang w:eastAsia="es-MX"/>
        </w:rPr>
      </w:pPr>
    </w:p>
    <w:p w14:paraId="727BB9C4" w14:textId="4678F72B" w:rsidR="0032396B" w:rsidRPr="00D8734A" w:rsidRDefault="00A742D3"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sz w:val="20"/>
          <w:szCs w:val="20"/>
          <w:lang w:eastAsia="es-MX"/>
        </w:rPr>
      </w:pPr>
      <w:r w:rsidRPr="00A742D3">
        <w:rPr>
          <w:rFonts w:ascii="Arial" w:eastAsia="Times New Roman" w:hAnsi="Arial" w:cs="Arial"/>
          <w:b/>
          <w:sz w:val="20"/>
          <w:szCs w:val="20"/>
          <w:lang w:eastAsia="es-MX"/>
        </w:rPr>
        <w:t>En relación al rubro de Incentivos Derivados de la Colaboración Fiscal, se obtuvieron ingresos por 1,213.7 millones de pesos al cierre del ejercicio 2025, lo que representa un decremento del 28.3 por ciento, comparado contra los 1,693.9 millones de pesos estimados en Ley de Ingresos del Estado de Tabasco, monto menor de 480.1 millones de pesos. Esta caída se observa en los incentivos de los ingresos federales coordinados, el cual muestra una reducción de 376.5 millones de pesos misma que se observa en el Impuesto Especial sobre la Producción y Servicios por Gasolina y Diésel (IEPS), el cual no recibió 297.0 millones de pesos y en el Impuesto Sobre Automóviles Nuevos el cual no alcanzó lo programado por 75.9 millones de pesos.</w:t>
      </w:r>
    </w:p>
    <w:p w14:paraId="2638AD00" w14:textId="77777777" w:rsidR="0032396B" w:rsidRPr="00D8734A" w:rsidRDefault="0032396B"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noProof/>
          <w:sz w:val="20"/>
          <w:szCs w:val="20"/>
          <w:lang w:val="es-ES" w:eastAsia="es-MX"/>
        </w:rPr>
      </w:pPr>
    </w:p>
    <w:p w14:paraId="67519251" w14:textId="77777777" w:rsidR="0032396B" w:rsidRDefault="0032396B"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noProof/>
          <w:sz w:val="20"/>
          <w:szCs w:val="20"/>
          <w:lang w:val="es-ES" w:eastAsia="es-MX"/>
        </w:rPr>
      </w:pPr>
      <w:r w:rsidRPr="00D8734A">
        <w:rPr>
          <w:rFonts w:ascii="Arial" w:eastAsia="Times New Roman" w:hAnsi="Arial" w:cs="Arial"/>
          <w:b/>
          <w:noProof/>
          <w:sz w:val="20"/>
          <w:szCs w:val="20"/>
          <w:lang w:val="es-ES" w:eastAsia="es-MX"/>
        </w:rPr>
        <w:t>Fondos Distintos de Aportaciones</w:t>
      </w:r>
    </w:p>
    <w:p w14:paraId="03B4DA51" w14:textId="77777777" w:rsidR="00313968" w:rsidRPr="00D8734A" w:rsidRDefault="00313968"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noProof/>
          <w:sz w:val="20"/>
          <w:szCs w:val="20"/>
          <w:lang w:val="es-ES" w:eastAsia="es-MX"/>
        </w:rPr>
      </w:pPr>
    </w:p>
    <w:p w14:paraId="0AAEB33C" w14:textId="263DB308" w:rsidR="0032396B" w:rsidRDefault="00A742D3"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noProof/>
          <w:sz w:val="20"/>
          <w:szCs w:val="20"/>
          <w:lang w:val="es-ES" w:eastAsia="es-MX"/>
        </w:rPr>
      </w:pPr>
      <w:r w:rsidRPr="00A742D3">
        <w:rPr>
          <w:rFonts w:ascii="Arial" w:eastAsia="Times New Roman" w:hAnsi="Arial" w:cs="Arial"/>
          <w:b/>
          <w:noProof/>
          <w:sz w:val="20"/>
          <w:szCs w:val="20"/>
          <w:lang w:val="es-ES" w:eastAsia="es-MX"/>
        </w:rPr>
        <w:t>Al cierre del ejercicio fiscal 2025, este rubro obtuvo ingresos por 1,850.6 millones de pesos, que respecto a la estimación programada en la Ley de Ingresos del Estado por 1,563.7 millones de pesos, muestra un incremento del 18.3 por ciento, debido a que el Fondo para Entidades Federativas y Municipios Productores de Hidrocarburos obtuvo ingresos adicionales por 286.9 millones de pesos.</w:t>
      </w:r>
    </w:p>
    <w:p w14:paraId="2809F63A" w14:textId="77777777" w:rsidR="00A742D3" w:rsidRPr="00D8734A" w:rsidRDefault="00A742D3"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noProof/>
          <w:sz w:val="20"/>
          <w:szCs w:val="20"/>
          <w:lang w:val="es-ES" w:eastAsia="es-MX"/>
        </w:rPr>
      </w:pPr>
    </w:p>
    <w:p w14:paraId="6B1EBC64" w14:textId="77777777" w:rsidR="0032396B" w:rsidRDefault="0032396B"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noProof/>
          <w:sz w:val="20"/>
          <w:szCs w:val="20"/>
          <w:lang w:val="es-ES" w:eastAsia="es-MX"/>
        </w:rPr>
      </w:pPr>
      <w:r w:rsidRPr="00D8734A">
        <w:rPr>
          <w:rFonts w:ascii="Arial" w:eastAsia="Times New Roman" w:hAnsi="Arial" w:cs="Arial"/>
          <w:b/>
          <w:noProof/>
          <w:sz w:val="20"/>
          <w:szCs w:val="20"/>
          <w:lang w:val="es-ES" w:eastAsia="es-MX"/>
        </w:rPr>
        <w:t>Transferencias, Asignaciones, Subsidios y Subvenciones, y Pensiones y Jubilaciones</w:t>
      </w:r>
    </w:p>
    <w:p w14:paraId="4C28059B" w14:textId="77777777" w:rsidR="00313968" w:rsidRPr="00D8734A" w:rsidRDefault="00313968" w:rsidP="0032396B">
      <w:pPr>
        <w:tabs>
          <w:tab w:val="left" w:pos="708"/>
          <w:tab w:val="left" w:pos="1416"/>
          <w:tab w:val="left" w:pos="2124"/>
          <w:tab w:val="left" w:pos="2832"/>
          <w:tab w:val="left" w:pos="3540"/>
          <w:tab w:val="left" w:pos="3969"/>
          <w:tab w:val="left" w:pos="4956"/>
          <w:tab w:val="left" w:pos="5664"/>
          <w:tab w:val="left" w:pos="6372"/>
          <w:tab w:val="left" w:pos="7080"/>
          <w:tab w:val="left" w:pos="7788"/>
          <w:tab w:val="left" w:pos="8496"/>
        </w:tabs>
        <w:spacing w:after="0" w:line="240" w:lineRule="auto"/>
        <w:jc w:val="both"/>
        <w:rPr>
          <w:rFonts w:ascii="Arial" w:eastAsia="Times New Roman" w:hAnsi="Arial" w:cs="Arial"/>
          <w:b/>
          <w:noProof/>
          <w:sz w:val="20"/>
          <w:szCs w:val="20"/>
          <w:lang w:val="es-ES" w:eastAsia="es-MX"/>
        </w:rPr>
      </w:pPr>
    </w:p>
    <w:p w14:paraId="2A59A9E6" w14:textId="1C9AADC3" w:rsidR="0032396B" w:rsidRPr="00D8734A" w:rsidRDefault="00A742D3" w:rsidP="0032396B">
      <w:pPr>
        <w:spacing w:after="0" w:line="240" w:lineRule="auto"/>
        <w:jc w:val="both"/>
        <w:rPr>
          <w:rFonts w:ascii="Arial" w:eastAsia="Times New Roman" w:hAnsi="Arial" w:cs="Arial"/>
          <w:b/>
          <w:sz w:val="20"/>
          <w:szCs w:val="20"/>
          <w:lang w:eastAsia="es-MX"/>
        </w:rPr>
      </w:pPr>
      <w:r w:rsidRPr="00A742D3">
        <w:rPr>
          <w:rFonts w:ascii="Arial" w:eastAsia="Times New Roman" w:hAnsi="Arial" w:cs="Arial"/>
          <w:b/>
          <w:sz w:val="20"/>
          <w:szCs w:val="20"/>
          <w:lang w:eastAsia="es-MX"/>
        </w:rPr>
        <w:t>Al cierre del ejercicio 2025, este rubro obtuvo ingresos por 1.7 millones de pesos igual a lo programado en la Ley de Ingresos del Estado, provenientes del Programa Armonización Contable.</w:t>
      </w:r>
    </w:p>
    <w:p w14:paraId="1B10EDE8" w14:textId="77777777" w:rsidR="0032396B" w:rsidRPr="00D8734A" w:rsidRDefault="0032396B" w:rsidP="0032396B">
      <w:pPr>
        <w:spacing w:after="0" w:line="240" w:lineRule="auto"/>
        <w:jc w:val="both"/>
        <w:rPr>
          <w:rFonts w:ascii="Arial" w:eastAsia="Times New Roman" w:hAnsi="Arial" w:cs="Arial"/>
          <w:b/>
          <w:sz w:val="20"/>
          <w:szCs w:val="20"/>
          <w:lang w:eastAsia="es-MX"/>
        </w:rPr>
      </w:pPr>
    </w:p>
    <w:p w14:paraId="2EF8A5DE" w14:textId="77777777" w:rsidR="0032396B" w:rsidRDefault="0032396B" w:rsidP="0032396B">
      <w:pPr>
        <w:spacing w:after="0" w:line="240" w:lineRule="auto"/>
        <w:jc w:val="both"/>
        <w:rPr>
          <w:rFonts w:ascii="Arial" w:eastAsia="Times New Roman" w:hAnsi="Arial" w:cs="Arial"/>
          <w:b/>
          <w:noProof/>
          <w:sz w:val="20"/>
          <w:szCs w:val="20"/>
          <w:lang w:val="es-ES" w:eastAsia="es-MX"/>
        </w:rPr>
      </w:pPr>
      <w:r w:rsidRPr="00D8734A">
        <w:rPr>
          <w:rFonts w:ascii="Arial" w:eastAsia="Times New Roman" w:hAnsi="Arial" w:cs="Arial"/>
          <w:b/>
          <w:noProof/>
          <w:sz w:val="20"/>
          <w:szCs w:val="20"/>
          <w:lang w:val="es-ES" w:eastAsia="es-MX"/>
        </w:rPr>
        <w:t>Ingresos Derivados de Financiamiento</w:t>
      </w:r>
    </w:p>
    <w:p w14:paraId="366BDD48" w14:textId="77777777" w:rsidR="00313968" w:rsidRPr="00D8734A" w:rsidRDefault="00313968" w:rsidP="0032396B">
      <w:pPr>
        <w:spacing w:after="0" w:line="240" w:lineRule="auto"/>
        <w:jc w:val="both"/>
        <w:rPr>
          <w:rFonts w:ascii="Arial" w:eastAsia="Times New Roman" w:hAnsi="Arial" w:cs="Arial"/>
          <w:b/>
          <w:noProof/>
          <w:sz w:val="20"/>
          <w:szCs w:val="20"/>
          <w:lang w:val="es-ES" w:eastAsia="es-MX"/>
        </w:rPr>
      </w:pPr>
    </w:p>
    <w:p w14:paraId="01356535" w14:textId="16744520" w:rsidR="00850E49" w:rsidRPr="00D8734A" w:rsidRDefault="00A742D3" w:rsidP="0032396B">
      <w:pPr>
        <w:jc w:val="both"/>
        <w:rPr>
          <w:rFonts w:ascii="Arial" w:hAnsi="Arial" w:cs="Arial"/>
          <w:b/>
          <w:color w:val="000000" w:themeColor="text1"/>
          <w:sz w:val="20"/>
          <w:szCs w:val="20"/>
        </w:rPr>
      </w:pPr>
      <w:r w:rsidRPr="00A742D3">
        <w:rPr>
          <w:rFonts w:ascii="Arial" w:eastAsia="Calibri" w:hAnsi="Arial" w:cs="Arial"/>
          <w:b/>
          <w:sz w:val="20"/>
          <w:szCs w:val="20"/>
        </w:rPr>
        <w:t>Al cierre del ejercicio 2025, el Gobierno del Estado, a través de la Secretaría de Administración y Finanzas, contrató Ingresos Derivados de Financiamiento por 5,678.4 millones de pesos los cuales representan el 7.5 por ciento de los ingresos totales.</w:t>
      </w:r>
    </w:p>
    <w:p w14:paraId="0AA3EEBB" w14:textId="4B72D5D5" w:rsidR="00313968" w:rsidRPr="00313968" w:rsidRDefault="00FD66A3" w:rsidP="009C4E1D">
      <w:pPr>
        <w:numPr>
          <w:ilvl w:val="0"/>
          <w:numId w:val="10"/>
        </w:numPr>
        <w:spacing w:after="0" w:line="240" w:lineRule="auto"/>
        <w:jc w:val="both"/>
        <w:rPr>
          <w:rFonts w:ascii="Arial" w:eastAsia="DIN Next LT Pro Condensed" w:hAnsi="Arial" w:cs="Arial"/>
          <w:b/>
          <w:sz w:val="20"/>
          <w:szCs w:val="20"/>
        </w:rPr>
      </w:pPr>
      <w:r w:rsidRPr="00313968">
        <w:rPr>
          <w:rFonts w:ascii="Arial" w:eastAsia="DIN Next LT Pro Condensed" w:hAnsi="Arial" w:cs="Arial"/>
          <w:b/>
          <w:sz w:val="20"/>
          <w:szCs w:val="20"/>
        </w:rPr>
        <w:t>Información sobre la Deuda y el Reporte Analítico de la Deuda</w:t>
      </w:r>
    </w:p>
    <w:p w14:paraId="5F1B466A" w14:textId="77777777" w:rsidR="001D4737" w:rsidRPr="000C42E6" w:rsidRDefault="001D4737" w:rsidP="001D4737">
      <w:pPr>
        <w:spacing w:after="0" w:line="240" w:lineRule="auto"/>
        <w:ind w:left="502"/>
        <w:jc w:val="both"/>
        <w:rPr>
          <w:rFonts w:ascii="Arial" w:eastAsia="DIN Next LT Pro Condensed" w:hAnsi="Arial" w:cs="Arial"/>
          <w:b/>
          <w:sz w:val="20"/>
          <w:szCs w:val="20"/>
        </w:rPr>
      </w:pPr>
    </w:p>
    <w:p w14:paraId="69E48161" w14:textId="77777777" w:rsidR="00FD66A3" w:rsidRPr="000C42E6"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 xml:space="preserve"> </w:t>
      </w:r>
      <w:r w:rsidRPr="000C42E6">
        <w:rPr>
          <w:rFonts w:ascii="Arial" w:eastAsia="DIN Next LT Pro Condensed" w:hAnsi="Arial" w:cs="Arial"/>
          <w:b/>
          <w:sz w:val="20"/>
          <w:szCs w:val="20"/>
        </w:rPr>
        <w:t>a)</w:t>
      </w:r>
      <w:r w:rsidRPr="000C42E6">
        <w:rPr>
          <w:rFonts w:ascii="Arial" w:eastAsia="DIN Next LT Pro Condensed" w:hAnsi="Arial" w:cs="Arial"/>
          <w:sz w:val="20"/>
          <w:szCs w:val="20"/>
        </w:rPr>
        <w:t xml:space="preserve">  Deuda respecto al PIB y deuda respecto a la recaudación tomando, como mínimo, un período igual o menor a 5 años. </w:t>
      </w:r>
    </w:p>
    <w:p w14:paraId="420044B4" w14:textId="77777777" w:rsidR="001D4737" w:rsidRPr="000C42E6" w:rsidRDefault="001D4737" w:rsidP="00FD66A3">
      <w:pPr>
        <w:spacing w:after="0" w:line="240" w:lineRule="auto"/>
        <w:jc w:val="both"/>
        <w:rPr>
          <w:rFonts w:ascii="Arial" w:eastAsia="DIN Next LT Pro Condensed" w:hAnsi="Arial" w:cs="Arial"/>
          <w:sz w:val="20"/>
          <w:szCs w:val="20"/>
        </w:rPr>
      </w:pPr>
    </w:p>
    <w:tbl>
      <w:tblPr>
        <w:tblStyle w:val="Tablaconcuadrcula"/>
        <w:tblW w:w="12766" w:type="dxa"/>
        <w:jc w:val="center"/>
        <w:tblLayout w:type="fixed"/>
        <w:tblLook w:val="04A0" w:firstRow="1" w:lastRow="0" w:firstColumn="1" w:lastColumn="0" w:noHBand="0" w:noVBand="1"/>
      </w:tblPr>
      <w:tblGrid>
        <w:gridCol w:w="3740"/>
        <w:gridCol w:w="1069"/>
        <w:gridCol w:w="1071"/>
        <w:gridCol w:w="1069"/>
        <w:gridCol w:w="1275"/>
        <w:gridCol w:w="1134"/>
        <w:gridCol w:w="1134"/>
        <w:gridCol w:w="1137"/>
        <w:gridCol w:w="1137"/>
      </w:tblGrid>
      <w:tr w:rsidR="00FD66A3" w:rsidRPr="00D8734A" w14:paraId="1AFD8260" w14:textId="77777777" w:rsidTr="00764DE5">
        <w:trPr>
          <w:jc w:val="center"/>
        </w:trPr>
        <w:tc>
          <w:tcPr>
            <w:tcW w:w="3740" w:type="dxa"/>
            <w:shd w:val="clear" w:color="auto" w:fill="BFBFBF" w:themeFill="background1" w:themeFillShade="BF"/>
          </w:tcPr>
          <w:p w14:paraId="7E445C66" w14:textId="77777777" w:rsidR="00FD66A3" w:rsidRPr="00D8734A" w:rsidRDefault="00FD66A3" w:rsidP="00764DE5">
            <w:pPr>
              <w:jc w:val="both"/>
              <w:rPr>
                <w:rFonts w:ascii="Arial" w:eastAsia="DIN Next LT Pro Condensed" w:hAnsi="Arial" w:cs="Arial"/>
                <w:b/>
                <w:sz w:val="20"/>
                <w:szCs w:val="20"/>
              </w:rPr>
            </w:pPr>
          </w:p>
        </w:tc>
        <w:tc>
          <w:tcPr>
            <w:tcW w:w="1069" w:type="dxa"/>
            <w:shd w:val="clear" w:color="auto" w:fill="BFBFBF" w:themeFill="background1" w:themeFillShade="BF"/>
          </w:tcPr>
          <w:p w14:paraId="1F99B70F"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2018</w:t>
            </w:r>
          </w:p>
        </w:tc>
        <w:tc>
          <w:tcPr>
            <w:tcW w:w="1071" w:type="dxa"/>
            <w:shd w:val="clear" w:color="auto" w:fill="BFBFBF" w:themeFill="background1" w:themeFillShade="BF"/>
          </w:tcPr>
          <w:p w14:paraId="6710739E"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2019</w:t>
            </w:r>
          </w:p>
        </w:tc>
        <w:tc>
          <w:tcPr>
            <w:tcW w:w="1069" w:type="dxa"/>
            <w:shd w:val="clear" w:color="auto" w:fill="BFBFBF" w:themeFill="background1" w:themeFillShade="BF"/>
          </w:tcPr>
          <w:p w14:paraId="7D3064F0"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2020</w:t>
            </w:r>
          </w:p>
        </w:tc>
        <w:tc>
          <w:tcPr>
            <w:tcW w:w="1275" w:type="dxa"/>
            <w:shd w:val="clear" w:color="auto" w:fill="BFBFBF" w:themeFill="background1" w:themeFillShade="BF"/>
          </w:tcPr>
          <w:p w14:paraId="449D44A5"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2021</w:t>
            </w:r>
          </w:p>
        </w:tc>
        <w:tc>
          <w:tcPr>
            <w:tcW w:w="1134" w:type="dxa"/>
            <w:shd w:val="clear" w:color="auto" w:fill="BFBFBF" w:themeFill="background1" w:themeFillShade="BF"/>
          </w:tcPr>
          <w:p w14:paraId="605F58B6"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2022</w:t>
            </w:r>
          </w:p>
        </w:tc>
        <w:tc>
          <w:tcPr>
            <w:tcW w:w="1134" w:type="dxa"/>
            <w:shd w:val="clear" w:color="auto" w:fill="BFBFBF" w:themeFill="background1" w:themeFillShade="BF"/>
          </w:tcPr>
          <w:p w14:paraId="44DB381A"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2023</w:t>
            </w:r>
          </w:p>
        </w:tc>
        <w:tc>
          <w:tcPr>
            <w:tcW w:w="1137" w:type="dxa"/>
            <w:shd w:val="clear" w:color="auto" w:fill="BFBFBF" w:themeFill="background1" w:themeFillShade="BF"/>
          </w:tcPr>
          <w:p w14:paraId="29040C32"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2024</w:t>
            </w:r>
          </w:p>
        </w:tc>
        <w:tc>
          <w:tcPr>
            <w:tcW w:w="1137" w:type="dxa"/>
            <w:shd w:val="clear" w:color="auto" w:fill="BFBFBF" w:themeFill="background1" w:themeFillShade="BF"/>
          </w:tcPr>
          <w:p w14:paraId="1B54B056"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b/>
                <w:sz w:val="20"/>
                <w:szCs w:val="20"/>
              </w:rPr>
              <w:t>2025</w:t>
            </w:r>
          </w:p>
        </w:tc>
      </w:tr>
      <w:tr w:rsidR="00FD66A3" w:rsidRPr="00D8734A" w14:paraId="57115EE9" w14:textId="77777777" w:rsidTr="00764DE5">
        <w:trPr>
          <w:jc w:val="center"/>
        </w:trPr>
        <w:tc>
          <w:tcPr>
            <w:tcW w:w="3740" w:type="dxa"/>
            <w:vAlign w:val="bottom"/>
          </w:tcPr>
          <w:p w14:paraId="0A7F5A05" w14:textId="77777777" w:rsidR="00FD66A3" w:rsidRPr="00D8734A" w:rsidRDefault="00FD66A3" w:rsidP="00764DE5">
            <w:pPr>
              <w:jc w:val="both"/>
              <w:rPr>
                <w:rFonts w:ascii="Arial" w:eastAsia="DIN Next LT Pro Condensed" w:hAnsi="Arial" w:cs="Arial"/>
                <w:b/>
                <w:sz w:val="20"/>
                <w:szCs w:val="20"/>
              </w:rPr>
            </w:pPr>
            <w:r w:rsidRPr="00D8734A">
              <w:rPr>
                <w:rFonts w:ascii="Arial" w:eastAsia="DIN Next LT Pro Condensed" w:hAnsi="Arial" w:cs="Arial"/>
                <w:sz w:val="20"/>
                <w:szCs w:val="20"/>
                <w:lang w:val="es-ES"/>
              </w:rPr>
              <w:t>DEUDA PÚBLICA LARGO PLAZO (millones)</w:t>
            </w:r>
          </w:p>
        </w:tc>
        <w:tc>
          <w:tcPr>
            <w:tcW w:w="1069" w:type="dxa"/>
            <w:vAlign w:val="center"/>
          </w:tcPr>
          <w:p w14:paraId="52AD2DAF"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6,551</w:t>
            </w:r>
          </w:p>
        </w:tc>
        <w:tc>
          <w:tcPr>
            <w:tcW w:w="1071" w:type="dxa"/>
            <w:vAlign w:val="center"/>
          </w:tcPr>
          <w:p w14:paraId="58BE716F"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6,333</w:t>
            </w:r>
          </w:p>
        </w:tc>
        <w:tc>
          <w:tcPr>
            <w:tcW w:w="1069" w:type="dxa"/>
            <w:vAlign w:val="center"/>
          </w:tcPr>
          <w:p w14:paraId="1D128784"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6,103</w:t>
            </w:r>
          </w:p>
        </w:tc>
        <w:tc>
          <w:tcPr>
            <w:tcW w:w="1275" w:type="dxa"/>
            <w:vAlign w:val="center"/>
          </w:tcPr>
          <w:p w14:paraId="6AE5A4C6"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5,862</w:t>
            </w:r>
          </w:p>
        </w:tc>
        <w:tc>
          <w:tcPr>
            <w:tcW w:w="1134" w:type="dxa"/>
            <w:vAlign w:val="center"/>
          </w:tcPr>
          <w:p w14:paraId="06EF2742"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5,473</w:t>
            </w:r>
          </w:p>
        </w:tc>
        <w:tc>
          <w:tcPr>
            <w:tcW w:w="1134" w:type="dxa"/>
            <w:vAlign w:val="center"/>
          </w:tcPr>
          <w:p w14:paraId="1FC1D509" w14:textId="77777777" w:rsidR="00FD66A3" w:rsidRPr="00D8734A" w:rsidRDefault="00FD66A3" w:rsidP="00764DE5">
            <w:pPr>
              <w:rPr>
                <w:rFonts w:ascii="Arial" w:eastAsia="DIN Next LT Pro Condensed" w:hAnsi="Arial" w:cs="Arial"/>
                <w:sz w:val="20"/>
                <w:szCs w:val="20"/>
                <w:lang w:val="es-ES"/>
              </w:rPr>
            </w:pPr>
            <w:r w:rsidRPr="00D8734A">
              <w:rPr>
                <w:rFonts w:ascii="Arial" w:eastAsia="DIN Next LT Pro Condensed" w:hAnsi="Arial" w:cs="Arial"/>
                <w:sz w:val="20"/>
                <w:szCs w:val="20"/>
                <w:lang w:val="es-ES"/>
              </w:rPr>
              <w:t>5,335</w:t>
            </w:r>
          </w:p>
        </w:tc>
        <w:tc>
          <w:tcPr>
            <w:tcW w:w="1137" w:type="dxa"/>
            <w:vAlign w:val="center"/>
          </w:tcPr>
          <w:p w14:paraId="6A168DBD" w14:textId="77777777" w:rsidR="00FD66A3" w:rsidRPr="00D8734A" w:rsidRDefault="00FD66A3" w:rsidP="00764DE5">
            <w:pPr>
              <w:rPr>
                <w:rFonts w:ascii="Arial" w:eastAsia="DIN Next LT Pro Condensed" w:hAnsi="Arial" w:cs="Arial"/>
                <w:sz w:val="20"/>
                <w:szCs w:val="20"/>
                <w:lang w:val="es-ES"/>
              </w:rPr>
            </w:pPr>
            <w:r w:rsidRPr="00D8734A">
              <w:rPr>
                <w:rFonts w:ascii="Arial" w:eastAsia="DIN Next LT Pro Condensed" w:hAnsi="Arial" w:cs="Arial"/>
                <w:sz w:val="20"/>
                <w:szCs w:val="20"/>
                <w:lang w:val="es-ES"/>
              </w:rPr>
              <w:t>5,046</w:t>
            </w:r>
          </w:p>
        </w:tc>
        <w:tc>
          <w:tcPr>
            <w:tcW w:w="1137" w:type="dxa"/>
          </w:tcPr>
          <w:p w14:paraId="7E4872D5" w14:textId="77777777" w:rsidR="00FD66A3" w:rsidRPr="00D8734A" w:rsidRDefault="00FD66A3" w:rsidP="00764DE5">
            <w:pPr>
              <w:rPr>
                <w:rFonts w:ascii="Arial" w:eastAsia="DIN Next LT Pro Condensed" w:hAnsi="Arial" w:cs="Arial"/>
                <w:sz w:val="20"/>
                <w:szCs w:val="20"/>
                <w:lang w:val="es-ES"/>
              </w:rPr>
            </w:pPr>
          </w:p>
          <w:p w14:paraId="3C6A5A27" w14:textId="77777777" w:rsidR="00FD66A3" w:rsidRPr="00D8734A" w:rsidRDefault="00FD66A3" w:rsidP="00764DE5">
            <w:pPr>
              <w:spacing w:line="360" w:lineRule="auto"/>
              <w:rPr>
                <w:rFonts w:ascii="Arial" w:eastAsia="DIN Next LT Pro Condensed" w:hAnsi="Arial" w:cs="Arial"/>
                <w:sz w:val="20"/>
                <w:szCs w:val="20"/>
                <w:lang w:val="es-ES"/>
              </w:rPr>
            </w:pPr>
            <w:r w:rsidRPr="00D8734A">
              <w:rPr>
                <w:rFonts w:ascii="Arial" w:eastAsia="DIN Next LT Pro Condensed" w:hAnsi="Arial" w:cs="Arial"/>
                <w:sz w:val="20"/>
                <w:szCs w:val="20"/>
                <w:lang w:val="es-ES"/>
              </w:rPr>
              <w:t>5,084</w:t>
            </w:r>
          </w:p>
        </w:tc>
      </w:tr>
      <w:tr w:rsidR="00FD66A3" w:rsidRPr="00D8734A" w14:paraId="7D8BE170" w14:textId="77777777" w:rsidTr="00764DE5">
        <w:trPr>
          <w:trHeight w:val="524"/>
          <w:jc w:val="center"/>
        </w:trPr>
        <w:tc>
          <w:tcPr>
            <w:tcW w:w="3740" w:type="dxa"/>
            <w:vAlign w:val="center"/>
          </w:tcPr>
          <w:p w14:paraId="5072FB31" w14:textId="77777777" w:rsidR="00FD66A3" w:rsidRPr="00D8734A" w:rsidRDefault="00FD66A3" w:rsidP="00764DE5">
            <w:pPr>
              <w:jc w:val="both"/>
              <w:rPr>
                <w:rFonts w:ascii="Arial" w:eastAsia="DIN Next LT Pro Condensed" w:hAnsi="Arial" w:cs="Arial"/>
                <w:b/>
                <w:sz w:val="20"/>
                <w:szCs w:val="20"/>
              </w:rPr>
            </w:pPr>
            <w:r w:rsidRPr="00D8734A">
              <w:rPr>
                <w:rFonts w:ascii="Arial" w:eastAsia="DIN Next LT Pro Condensed" w:hAnsi="Arial" w:cs="Arial"/>
                <w:sz w:val="20"/>
                <w:szCs w:val="20"/>
                <w:lang w:val="es-ES"/>
              </w:rPr>
              <w:t>PIB ESTATAL TABASCO (fuente INEGI) (millones)</w:t>
            </w:r>
          </w:p>
        </w:tc>
        <w:tc>
          <w:tcPr>
            <w:tcW w:w="1069" w:type="dxa"/>
            <w:vAlign w:val="center"/>
          </w:tcPr>
          <w:p w14:paraId="661B6BE1"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467,226</w:t>
            </w:r>
          </w:p>
        </w:tc>
        <w:tc>
          <w:tcPr>
            <w:tcW w:w="1071" w:type="dxa"/>
            <w:vAlign w:val="center"/>
          </w:tcPr>
          <w:p w14:paraId="450671DA"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448,892</w:t>
            </w:r>
          </w:p>
        </w:tc>
        <w:tc>
          <w:tcPr>
            <w:tcW w:w="1069" w:type="dxa"/>
            <w:vAlign w:val="center"/>
          </w:tcPr>
          <w:p w14:paraId="234A8D3E"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464,414</w:t>
            </w:r>
          </w:p>
        </w:tc>
        <w:tc>
          <w:tcPr>
            <w:tcW w:w="1275" w:type="dxa"/>
            <w:vAlign w:val="center"/>
          </w:tcPr>
          <w:p w14:paraId="7E193D37"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543,000</w:t>
            </w:r>
          </w:p>
        </w:tc>
        <w:tc>
          <w:tcPr>
            <w:tcW w:w="1134" w:type="dxa"/>
            <w:vAlign w:val="center"/>
          </w:tcPr>
          <w:p w14:paraId="294E61F1"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637,775</w:t>
            </w:r>
          </w:p>
        </w:tc>
        <w:tc>
          <w:tcPr>
            <w:tcW w:w="1134" w:type="dxa"/>
            <w:vAlign w:val="center"/>
          </w:tcPr>
          <w:p w14:paraId="3F1010E0" w14:textId="77777777" w:rsidR="00FD66A3" w:rsidRPr="00D8734A" w:rsidRDefault="00FD66A3" w:rsidP="00764DE5">
            <w:pPr>
              <w:rPr>
                <w:rFonts w:ascii="Arial" w:eastAsia="DIN Next LT Pro Condensed" w:hAnsi="Arial" w:cs="Arial"/>
                <w:sz w:val="20"/>
                <w:szCs w:val="20"/>
                <w:lang w:val="es-ES"/>
              </w:rPr>
            </w:pPr>
            <w:r w:rsidRPr="00D8734A">
              <w:rPr>
                <w:rFonts w:ascii="Arial" w:eastAsia="DIN Next LT Pro Condensed" w:hAnsi="Arial" w:cs="Arial"/>
                <w:sz w:val="20"/>
                <w:szCs w:val="20"/>
                <w:lang w:val="es-ES"/>
              </w:rPr>
              <w:t>653,096</w:t>
            </w:r>
          </w:p>
        </w:tc>
        <w:tc>
          <w:tcPr>
            <w:tcW w:w="1137" w:type="dxa"/>
            <w:vAlign w:val="center"/>
          </w:tcPr>
          <w:p w14:paraId="66642F4C" w14:textId="77777777" w:rsidR="00FD66A3" w:rsidRPr="00D8734A" w:rsidRDefault="00FD66A3" w:rsidP="00764DE5">
            <w:pPr>
              <w:rPr>
                <w:rFonts w:ascii="Arial" w:eastAsia="DIN Next LT Pro Condensed" w:hAnsi="Arial" w:cs="Arial"/>
                <w:sz w:val="20"/>
                <w:szCs w:val="20"/>
              </w:rPr>
            </w:pPr>
            <w:r w:rsidRPr="00D8734A">
              <w:rPr>
                <w:rFonts w:ascii="Arial" w:eastAsia="DIN Next LT Pro Condensed" w:hAnsi="Arial" w:cs="Arial"/>
                <w:sz w:val="20"/>
                <w:szCs w:val="20"/>
              </w:rPr>
              <w:t>605,207*</w:t>
            </w:r>
          </w:p>
        </w:tc>
        <w:tc>
          <w:tcPr>
            <w:tcW w:w="1137" w:type="dxa"/>
            <w:vAlign w:val="center"/>
          </w:tcPr>
          <w:p w14:paraId="2C777337" w14:textId="77777777" w:rsidR="00FD66A3" w:rsidRPr="00D8734A" w:rsidRDefault="00FD66A3" w:rsidP="00764DE5">
            <w:pPr>
              <w:rPr>
                <w:rFonts w:ascii="Arial" w:eastAsia="DIN Next LT Pro Condensed" w:hAnsi="Arial" w:cs="Arial"/>
                <w:sz w:val="20"/>
                <w:szCs w:val="20"/>
              </w:rPr>
            </w:pPr>
            <w:r w:rsidRPr="00D8734A">
              <w:rPr>
                <w:rFonts w:ascii="Arial" w:eastAsia="DIN Next LT Pro Condensed" w:hAnsi="Arial" w:cs="Arial"/>
                <w:sz w:val="20"/>
                <w:szCs w:val="20"/>
              </w:rPr>
              <w:t>N.D.</w:t>
            </w:r>
          </w:p>
        </w:tc>
      </w:tr>
      <w:tr w:rsidR="00FD66A3" w:rsidRPr="00D8734A" w14:paraId="3FD35964" w14:textId="77777777" w:rsidTr="00764DE5">
        <w:trPr>
          <w:trHeight w:val="158"/>
          <w:jc w:val="center"/>
        </w:trPr>
        <w:tc>
          <w:tcPr>
            <w:tcW w:w="3740" w:type="dxa"/>
            <w:vAlign w:val="center"/>
          </w:tcPr>
          <w:p w14:paraId="7A548B6E" w14:textId="77777777" w:rsidR="00FD66A3" w:rsidRPr="00D8734A" w:rsidRDefault="00FD66A3" w:rsidP="00764DE5">
            <w:pPr>
              <w:jc w:val="both"/>
              <w:rPr>
                <w:rFonts w:ascii="Arial" w:eastAsia="DIN Next LT Pro Condensed" w:hAnsi="Arial" w:cs="Arial"/>
                <w:b/>
                <w:sz w:val="20"/>
                <w:szCs w:val="20"/>
              </w:rPr>
            </w:pPr>
            <w:r w:rsidRPr="00D8734A">
              <w:rPr>
                <w:rFonts w:ascii="Arial" w:eastAsia="DIN Next LT Pro Condensed" w:hAnsi="Arial" w:cs="Arial"/>
                <w:sz w:val="20"/>
                <w:szCs w:val="20"/>
                <w:lang w:val="es-ES"/>
              </w:rPr>
              <w:t>% Deuda respecto al PIB Estatal</w:t>
            </w:r>
          </w:p>
        </w:tc>
        <w:tc>
          <w:tcPr>
            <w:tcW w:w="1069" w:type="dxa"/>
            <w:vAlign w:val="center"/>
          </w:tcPr>
          <w:p w14:paraId="18760402"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rPr>
              <w:t>1.40</w:t>
            </w:r>
          </w:p>
        </w:tc>
        <w:tc>
          <w:tcPr>
            <w:tcW w:w="1071" w:type="dxa"/>
            <w:vAlign w:val="center"/>
          </w:tcPr>
          <w:p w14:paraId="02847CC0"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rPr>
              <w:t>1.41</w:t>
            </w:r>
          </w:p>
        </w:tc>
        <w:tc>
          <w:tcPr>
            <w:tcW w:w="1069" w:type="dxa"/>
            <w:vAlign w:val="center"/>
          </w:tcPr>
          <w:p w14:paraId="2FB271D2"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rPr>
              <w:t>1.31</w:t>
            </w:r>
          </w:p>
        </w:tc>
        <w:tc>
          <w:tcPr>
            <w:tcW w:w="1275" w:type="dxa"/>
            <w:vAlign w:val="center"/>
          </w:tcPr>
          <w:p w14:paraId="6BC5553D"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rPr>
              <w:t>1.08</w:t>
            </w:r>
          </w:p>
        </w:tc>
        <w:tc>
          <w:tcPr>
            <w:tcW w:w="1134" w:type="dxa"/>
            <w:vAlign w:val="center"/>
          </w:tcPr>
          <w:p w14:paraId="0C63EEBD" w14:textId="77777777" w:rsidR="00FD66A3" w:rsidRPr="00D8734A" w:rsidRDefault="00FD66A3" w:rsidP="00764DE5">
            <w:pPr>
              <w:rPr>
                <w:rFonts w:ascii="Arial" w:eastAsia="DIN Next LT Pro Condensed" w:hAnsi="Arial" w:cs="Arial"/>
                <w:b/>
                <w:bCs/>
                <w:sz w:val="20"/>
                <w:szCs w:val="20"/>
              </w:rPr>
            </w:pPr>
            <w:r w:rsidRPr="00D8734A">
              <w:rPr>
                <w:rFonts w:ascii="Arial" w:eastAsia="DIN Next LT Pro Condensed" w:hAnsi="Arial" w:cs="Arial"/>
                <w:b/>
                <w:bCs/>
                <w:sz w:val="20"/>
                <w:szCs w:val="20"/>
              </w:rPr>
              <w:t>0.86</w:t>
            </w:r>
          </w:p>
        </w:tc>
        <w:tc>
          <w:tcPr>
            <w:tcW w:w="1134" w:type="dxa"/>
            <w:vAlign w:val="center"/>
          </w:tcPr>
          <w:p w14:paraId="70CA7996" w14:textId="77777777" w:rsidR="00FD66A3" w:rsidRPr="00D8734A" w:rsidRDefault="00FD66A3" w:rsidP="00764DE5">
            <w:pPr>
              <w:rPr>
                <w:rFonts w:ascii="Arial" w:eastAsia="DIN Next LT Pro Condensed" w:hAnsi="Arial" w:cs="Arial"/>
                <w:b/>
                <w:bCs/>
                <w:sz w:val="20"/>
                <w:szCs w:val="20"/>
              </w:rPr>
            </w:pPr>
            <w:r w:rsidRPr="00D8734A">
              <w:rPr>
                <w:rFonts w:ascii="Arial" w:eastAsia="DIN Next LT Pro Condensed" w:hAnsi="Arial" w:cs="Arial"/>
                <w:b/>
                <w:bCs/>
                <w:sz w:val="20"/>
                <w:szCs w:val="20"/>
              </w:rPr>
              <w:t>0.81</w:t>
            </w:r>
          </w:p>
        </w:tc>
        <w:tc>
          <w:tcPr>
            <w:tcW w:w="1137" w:type="dxa"/>
            <w:vAlign w:val="center"/>
          </w:tcPr>
          <w:p w14:paraId="22A760C9" w14:textId="77777777" w:rsidR="00FD66A3" w:rsidRPr="00D8734A" w:rsidRDefault="00FD66A3" w:rsidP="00764DE5">
            <w:pPr>
              <w:rPr>
                <w:rFonts w:ascii="Arial" w:eastAsia="DIN Next LT Pro Condensed" w:hAnsi="Arial" w:cs="Arial"/>
                <w:b/>
                <w:bCs/>
                <w:sz w:val="20"/>
                <w:szCs w:val="20"/>
              </w:rPr>
            </w:pPr>
            <w:r w:rsidRPr="00D8734A">
              <w:rPr>
                <w:rFonts w:ascii="Arial" w:eastAsia="DIN Next LT Pro Condensed" w:hAnsi="Arial" w:cs="Arial"/>
                <w:b/>
                <w:bCs/>
                <w:sz w:val="20"/>
                <w:szCs w:val="20"/>
              </w:rPr>
              <w:t>0.50**</w:t>
            </w:r>
          </w:p>
        </w:tc>
        <w:tc>
          <w:tcPr>
            <w:tcW w:w="1137" w:type="dxa"/>
          </w:tcPr>
          <w:p w14:paraId="0A38CB13" w14:textId="77777777" w:rsidR="00FD66A3" w:rsidRPr="00D8734A" w:rsidRDefault="00FD66A3" w:rsidP="00764DE5">
            <w:pPr>
              <w:rPr>
                <w:rFonts w:ascii="Arial" w:eastAsia="DIN Next LT Pro Condensed" w:hAnsi="Arial" w:cs="Arial"/>
                <w:b/>
                <w:bCs/>
                <w:sz w:val="20"/>
                <w:szCs w:val="20"/>
              </w:rPr>
            </w:pPr>
            <w:r w:rsidRPr="00D8734A">
              <w:rPr>
                <w:rFonts w:ascii="Arial" w:eastAsia="DIN Next LT Pro Condensed" w:hAnsi="Arial" w:cs="Arial"/>
                <w:bCs/>
                <w:sz w:val="20"/>
                <w:szCs w:val="20"/>
              </w:rPr>
              <w:t>N.D.</w:t>
            </w:r>
          </w:p>
        </w:tc>
      </w:tr>
      <w:tr w:rsidR="00FD66A3" w:rsidRPr="00D8734A" w14:paraId="443AB6A9" w14:textId="77777777" w:rsidTr="00764DE5">
        <w:trPr>
          <w:trHeight w:val="264"/>
          <w:jc w:val="center"/>
        </w:trPr>
        <w:tc>
          <w:tcPr>
            <w:tcW w:w="3740" w:type="dxa"/>
            <w:vAlign w:val="bottom"/>
          </w:tcPr>
          <w:p w14:paraId="2A1921BA" w14:textId="77777777" w:rsidR="00FD66A3" w:rsidRPr="00D8734A" w:rsidRDefault="00FD66A3" w:rsidP="00764DE5">
            <w:pPr>
              <w:jc w:val="both"/>
              <w:rPr>
                <w:rFonts w:ascii="Arial" w:eastAsia="DIN Next LT Pro Condensed" w:hAnsi="Arial" w:cs="Arial"/>
                <w:b/>
                <w:sz w:val="20"/>
                <w:szCs w:val="20"/>
              </w:rPr>
            </w:pPr>
            <w:r w:rsidRPr="00D8734A">
              <w:rPr>
                <w:rFonts w:ascii="Arial" w:eastAsia="DIN Next LT Pro Condensed" w:hAnsi="Arial" w:cs="Arial"/>
                <w:sz w:val="20"/>
                <w:szCs w:val="20"/>
                <w:lang w:val="es-ES"/>
              </w:rPr>
              <w:lastRenderedPageBreak/>
              <w:t>RECAUDACION TOTAL (millones)</w:t>
            </w:r>
          </w:p>
        </w:tc>
        <w:tc>
          <w:tcPr>
            <w:tcW w:w="1069" w:type="dxa"/>
            <w:vAlign w:val="center"/>
          </w:tcPr>
          <w:p w14:paraId="212FB297"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48,138</w:t>
            </w:r>
          </w:p>
        </w:tc>
        <w:tc>
          <w:tcPr>
            <w:tcW w:w="1071" w:type="dxa"/>
            <w:vAlign w:val="center"/>
          </w:tcPr>
          <w:p w14:paraId="3DE3126A"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54,486</w:t>
            </w:r>
          </w:p>
        </w:tc>
        <w:tc>
          <w:tcPr>
            <w:tcW w:w="1069" w:type="dxa"/>
            <w:vAlign w:val="center"/>
          </w:tcPr>
          <w:p w14:paraId="4B4631E4"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53,603</w:t>
            </w:r>
          </w:p>
        </w:tc>
        <w:tc>
          <w:tcPr>
            <w:tcW w:w="1275" w:type="dxa"/>
            <w:vAlign w:val="center"/>
          </w:tcPr>
          <w:p w14:paraId="5EF4D94F"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57,343</w:t>
            </w:r>
          </w:p>
        </w:tc>
        <w:tc>
          <w:tcPr>
            <w:tcW w:w="1134" w:type="dxa"/>
            <w:vAlign w:val="center"/>
          </w:tcPr>
          <w:p w14:paraId="72419199"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60,824</w:t>
            </w:r>
          </w:p>
        </w:tc>
        <w:tc>
          <w:tcPr>
            <w:tcW w:w="1134" w:type="dxa"/>
            <w:vAlign w:val="center"/>
          </w:tcPr>
          <w:p w14:paraId="587B9BFB" w14:textId="77777777" w:rsidR="00FD66A3" w:rsidRPr="00D8734A" w:rsidRDefault="00FD66A3" w:rsidP="00764DE5">
            <w:pPr>
              <w:rPr>
                <w:rFonts w:ascii="Arial" w:eastAsia="DIN Next LT Pro Condensed" w:hAnsi="Arial" w:cs="Arial"/>
                <w:sz w:val="20"/>
                <w:szCs w:val="20"/>
                <w:lang w:val="es-ES"/>
              </w:rPr>
            </w:pPr>
            <w:r w:rsidRPr="00D8734A">
              <w:rPr>
                <w:rFonts w:ascii="Arial" w:eastAsia="DIN Next LT Pro Condensed" w:hAnsi="Arial" w:cs="Arial"/>
                <w:b/>
                <w:bCs/>
                <w:sz w:val="20"/>
                <w:szCs w:val="20"/>
              </w:rPr>
              <w:t>68,118</w:t>
            </w:r>
          </w:p>
        </w:tc>
        <w:tc>
          <w:tcPr>
            <w:tcW w:w="1137" w:type="dxa"/>
            <w:vAlign w:val="center"/>
          </w:tcPr>
          <w:p w14:paraId="191BE0B3" w14:textId="77777777" w:rsidR="00FD66A3" w:rsidRPr="00D8734A" w:rsidRDefault="00FD66A3" w:rsidP="00764DE5">
            <w:pPr>
              <w:rPr>
                <w:rFonts w:ascii="Arial" w:eastAsia="DIN Next LT Pro Condensed" w:hAnsi="Arial" w:cs="Arial"/>
                <w:b/>
                <w:bCs/>
                <w:sz w:val="20"/>
                <w:szCs w:val="20"/>
              </w:rPr>
            </w:pPr>
            <w:r w:rsidRPr="00D8734A">
              <w:rPr>
                <w:rFonts w:ascii="Arial" w:eastAsia="DIN Next LT Pro Condensed" w:hAnsi="Arial" w:cs="Arial"/>
                <w:b/>
                <w:bCs/>
                <w:sz w:val="20"/>
                <w:szCs w:val="20"/>
              </w:rPr>
              <w:t>67,275</w:t>
            </w:r>
          </w:p>
        </w:tc>
        <w:tc>
          <w:tcPr>
            <w:tcW w:w="1137" w:type="dxa"/>
          </w:tcPr>
          <w:p w14:paraId="5D87F7CF" w14:textId="77777777" w:rsidR="00FD66A3" w:rsidRPr="00D8734A" w:rsidRDefault="00FD66A3" w:rsidP="00764DE5">
            <w:pPr>
              <w:rPr>
                <w:rFonts w:ascii="Arial" w:eastAsia="DIN Next LT Pro Condensed" w:hAnsi="Arial" w:cs="Arial"/>
                <w:b/>
                <w:bCs/>
                <w:sz w:val="20"/>
                <w:szCs w:val="20"/>
              </w:rPr>
            </w:pPr>
            <w:r w:rsidRPr="00D8734A">
              <w:rPr>
                <w:rFonts w:ascii="Arial" w:eastAsia="DIN Next LT Pro Condensed" w:hAnsi="Arial" w:cs="Arial"/>
                <w:b/>
                <w:bCs/>
                <w:sz w:val="20"/>
                <w:szCs w:val="20"/>
              </w:rPr>
              <w:t>69,893</w:t>
            </w:r>
          </w:p>
        </w:tc>
      </w:tr>
      <w:tr w:rsidR="00FD66A3" w:rsidRPr="00D8734A" w14:paraId="07F6F58A" w14:textId="77777777" w:rsidTr="00764DE5">
        <w:trPr>
          <w:trHeight w:val="222"/>
          <w:jc w:val="center"/>
        </w:trPr>
        <w:tc>
          <w:tcPr>
            <w:tcW w:w="3740" w:type="dxa"/>
            <w:vAlign w:val="center"/>
          </w:tcPr>
          <w:p w14:paraId="1B7E51E8"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 Deuda respecto a recaudación total</w:t>
            </w:r>
          </w:p>
        </w:tc>
        <w:tc>
          <w:tcPr>
            <w:tcW w:w="1069" w:type="dxa"/>
            <w:vAlign w:val="center"/>
          </w:tcPr>
          <w:p w14:paraId="5818E2F5"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13.61</w:t>
            </w:r>
          </w:p>
        </w:tc>
        <w:tc>
          <w:tcPr>
            <w:tcW w:w="1071" w:type="dxa"/>
            <w:vAlign w:val="center"/>
          </w:tcPr>
          <w:p w14:paraId="4DC7BB40"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11.62</w:t>
            </w:r>
          </w:p>
        </w:tc>
        <w:tc>
          <w:tcPr>
            <w:tcW w:w="1069" w:type="dxa"/>
            <w:vAlign w:val="center"/>
          </w:tcPr>
          <w:p w14:paraId="026775D3"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rPr>
              <w:t>11.39</w:t>
            </w:r>
          </w:p>
        </w:tc>
        <w:tc>
          <w:tcPr>
            <w:tcW w:w="1275" w:type="dxa"/>
            <w:vAlign w:val="center"/>
          </w:tcPr>
          <w:p w14:paraId="561FBE86"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10.22</w:t>
            </w:r>
          </w:p>
        </w:tc>
        <w:tc>
          <w:tcPr>
            <w:tcW w:w="1134" w:type="dxa"/>
            <w:vAlign w:val="center"/>
          </w:tcPr>
          <w:p w14:paraId="1ADCEE3B" w14:textId="77777777" w:rsidR="00FD66A3" w:rsidRPr="00D8734A" w:rsidRDefault="00FD66A3" w:rsidP="00764DE5">
            <w:pPr>
              <w:rPr>
                <w:rFonts w:ascii="Arial" w:eastAsia="DIN Next LT Pro Condensed" w:hAnsi="Arial" w:cs="Arial"/>
                <w:b/>
                <w:sz w:val="20"/>
                <w:szCs w:val="20"/>
              </w:rPr>
            </w:pPr>
            <w:r w:rsidRPr="00D8734A">
              <w:rPr>
                <w:rFonts w:ascii="Arial" w:eastAsia="DIN Next LT Pro Condensed" w:hAnsi="Arial" w:cs="Arial"/>
                <w:sz w:val="20"/>
                <w:szCs w:val="20"/>
                <w:lang w:val="es-ES"/>
              </w:rPr>
              <w:t>9.00</w:t>
            </w:r>
          </w:p>
        </w:tc>
        <w:tc>
          <w:tcPr>
            <w:tcW w:w="1134" w:type="dxa"/>
            <w:vAlign w:val="center"/>
          </w:tcPr>
          <w:p w14:paraId="28AC05DB" w14:textId="77777777" w:rsidR="00FD66A3" w:rsidRPr="00D8734A" w:rsidRDefault="00FD66A3" w:rsidP="00764DE5">
            <w:pPr>
              <w:rPr>
                <w:rFonts w:ascii="Arial" w:eastAsia="DIN Next LT Pro Condensed" w:hAnsi="Arial" w:cs="Arial"/>
                <w:sz w:val="20"/>
                <w:szCs w:val="20"/>
                <w:lang w:val="es-ES"/>
              </w:rPr>
            </w:pPr>
            <w:r w:rsidRPr="00D8734A">
              <w:rPr>
                <w:rFonts w:ascii="Arial" w:eastAsia="DIN Next LT Pro Condensed" w:hAnsi="Arial" w:cs="Arial"/>
                <w:sz w:val="20"/>
                <w:szCs w:val="20"/>
              </w:rPr>
              <w:t>7.83</w:t>
            </w:r>
          </w:p>
        </w:tc>
        <w:tc>
          <w:tcPr>
            <w:tcW w:w="1137" w:type="dxa"/>
            <w:vAlign w:val="center"/>
          </w:tcPr>
          <w:p w14:paraId="6A6973C7" w14:textId="77777777" w:rsidR="00FD66A3" w:rsidRPr="00D8734A" w:rsidRDefault="00FD66A3" w:rsidP="00764DE5">
            <w:pPr>
              <w:rPr>
                <w:rFonts w:ascii="Arial" w:eastAsia="DIN Next LT Pro Condensed" w:hAnsi="Arial" w:cs="Arial"/>
                <w:sz w:val="20"/>
                <w:szCs w:val="20"/>
              </w:rPr>
            </w:pPr>
            <w:r w:rsidRPr="00D8734A">
              <w:rPr>
                <w:rFonts w:ascii="Arial" w:eastAsia="DIN Next LT Pro Condensed" w:hAnsi="Arial" w:cs="Arial"/>
                <w:sz w:val="20"/>
                <w:szCs w:val="20"/>
              </w:rPr>
              <w:t>7.50</w:t>
            </w:r>
          </w:p>
        </w:tc>
        <w:tc>
          <w:tcPr>
            <w:tcW w:w="1137" w:type="dxa"/>
            <w:vAlign w:val="center"/>
          </w:tcPr>
          <w:p w14:paraId="6A8B9599" w14:textId="77777777" w:rsidR="00FD66A3" w:rsidRPr="00D8734A" w:rsidRDefault="00FD66A3" w:rsidP="00764DE5">
            <w:pPr>
              <w:rPr>
                <w:rFonts w:ascii="Arial" w:eastAsia="DIN Next LT Pro Condensed" w:hAnsi="Arial" w:cs="Arial"/>
                <w:sz w:val="20"/>
                <w:szCs w:val="20"/>
              </w:rPr>
            </w:pPr>
            <w:r w:rsidRPr="00D8734A">
              <w:rPr>
                <w:rFonts w:ascii="Arial" w:eastAsia="DIN Next LT Pro Condensed" w:hAnsi="Arial" w:cs="Arial"/>
                <w:sz w:val="20"/>
                <w:szCs w:val="20"/>
              </w:rPr>
              <w:t>7.27</w:t>
            </w:r>
          </w:p>
        </w:tc>
      </w:tr>
    </w:tbl>
    <w:p w14:paraId="28365247" w14:textId="77777777" w:rsidR="00FD66A3" w:rsidRPr="000C42E6" w:rsidRDefault="00FD66A3" w:rsidP="00FD66A3">
      <w:pPr>
        <w:spacing w:after="0" w:line="240" w:lineRule="auto"/>
        <w:jc w:val="both"/>
        <w:rPr>
          <w:rFonts w:ascii="Arial" w:eastAsia="DIN Next LT Pro Condensed" w:hAnsi="Arial" w:cs="Arial"/>
          <w:b/>
          <w:sz w:val="20"/>
          <w:szCs w:val="20"/>
        </w:rPr>
      </w:pPr>
    </w:p>
    <w:p w14:paraId="46FF2889" w14:textId="77777777" w:rsidR="00FD66A3" w:rsidRPr="000C42E6"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b/>
          <w:sz w:val="20"/>
          <w:szCs w:val="20"/>
        </w:rPr>
        <w:t>*</w:t>
      </w:r>
      <w:r w:rsidRPr="000C42E6">
        <w:rPr>
          <w:rFonts w:ascii="Arial" w:eastAsia="DIN Next LT Pro Condensed" w:hAnsi="Arial" w:cs="Arial"/>
          <w:sz w:val="20"/>
          <w:szCs w:val="20"/>
        </w:rPr>
        <w:t xml:space="preserve">Fuente INEGI </w:t>
      </w:r>
      <w:r w:rsidRPr="000C42E6">
        <w:rPr>
          <w:rFonts w:ascii="Arial" w:hAnsi="Arial" w:cs="Arial"/>
          <w:sz w:val="20"/>
          <w:szCs w:val="20"/>
        </w:rPr>
        <w:t>REPORTE DE RESULTADOS 81/25 PRODUCTO INTERNO BRUTO POR ENTIDAD FEDERATIVA, TABASCO 5 de diciembre de 2025 Página 5/8</w:t>
      </w:r>
    </w:p>
    <w:p w14:paraId="45C2F932" w14:textId="77777777" w:rsidR="00FD66A3" w:rsidRPr="000C42E6"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**Estimado por el Centro de Estudios de las Finanzas Públicas Ifigenia Martínez y Hernández al segundo trimestre de 2024 con información de la SHCP y del INEGI.</w:t>
      </w:r>
    </w:p>
    <w:p w14:paraId="72F02D9D" w14:textId="77777777" w:rsidR="00FD66A3" w:rsidRPr="000C42E6" w:rsidRDefault="00FD66A3" w:rsidP="00FD66A3">
      <w:pPr>
        <w:spacing w:after="0" w:line="240" w:lineRule="auto"/>
        <w:jc w:val="both"/>
        <w:rPr>
          <w:rFonts w:ascii="Arial" w:eastAsia="DIN Next LT Pro Condensed" w:hAnsi="Arial" w:cs="Arial"/>
          <w:b/>
          <w:bCs/>
          <w:sz w:val="20"/>
          <w:szCs w:val="20"/>
        </w:rPr>
      </w:pPr>
    </w:p>
    <w:p w14:paraId="5BAC6BB9" w14:textId="7819180F" w:rsidR="001D4737" w:rsidRPr="00D8734A" w:rsidRDefault="00FD66A3" w:rsidP="00D8734A">
      <w:pPr>
        <w:numPr>
          <w:ilvl w:val="0"/>
          <w:numId w:val="7"/>
        </w:numPr>
        <w:spacing w:after="0" w:line="240" w:lineRule="auto"/>
        <w:jc w:val="both"/>
        <w:rPr>
          <w:rFonts w:ascii="Arial" w:eastAsia="DIN Next LT Pro Condensed" w:hAnsi="Arial" w:cs="Arial"/>
          <w:b/>
          <w:sz w:val="20"/>
          <w:szCs w:val="20"/>
        </w:rPr>
      </w:pPr>
      <w:r w:rsidRPr="00D8734A">
        <w:rPr>
          <w:rFonts w:ascii="Arial" w:eastAsia="DIN Next LT Pro Condensed" w:hAnsi="Arial" w:cs="Arial"/>
          <w:sz w:val="20"/>
          <w:szCs w:val="20"/>
        </w:rPr>
        <w:t>Información de manera agrupada por tipo de valor gubernamental o instrumento financiero en la que se consideran intereses, tasa, perfil de vencimiento:</w:t>
      </w:r>
    </w:p>
    <w:p w14:paraId="00AD853B" w14:textId="77777777" w:rsidR="001D4737" w:rsidRPr="000C42E6" w:rsidRDefault="001D4737" w:rsidP="009E3106">
      <w:pPr>
        <w:spacing w:after="0" w:line="240" w:lineRule="auto"/>
        <w:ind w:left="720"/>
        <w:jc w:val="both"/>
        <w:rPr>
          <w:rFonts w:ascii="Arial" w:eastAsia="DIN Next LT Pro Condensed" w:hAnsi="Arial" w:cs="Arial"/>
          <w:b/>
          <w:sz w:val="20"/>
          <w:szCs w:val="20"/>
        </w:rPr>
      </w:pPr>
    </w:p>
    <w:p w14:paraId="04A1C7D0" w14:textId="77777777" w:rsidR="00FD66A3" w:rsidRPr="000C42E6" w:rsidRDefault="00FD66A3" w:rsidP="00FD66A3">
      <w:pPr>
        <w:spacing w:after="0" w:line="240" w:lineRule="auto"/>
        <w:jc w:val="center"/>
        <w:rPr>
          <w:rFonts w:ascii="Arial" w:eastAsia="DIN Next LT Pro Condensed" w:hAnsi="Arial" w:cs="Arial"/>
          <w:b/>
          <w:sz w:val="20"/>
          <w:szCs w:val="20"/>
          <w:lang w:val="es-ES_tradnl"/>
        </w:rPr>
      </w:pPr>
      <w:r w:rsidRPr="000C42E6">
        <w:rPr>
          <w:rFonts w:ascii="Arial" w:eastAsia="DIN Next LT Pro Condensed" w:hAnsi="Arial" w:cs="Arial"/>
          <w:b/>
          <w:sz w:val="20"/>
          <w:szCs w:val="20"/>
          <w:lang w:val="es-ES_tradnl"/>
        </w:rPr>
        <w:t>Fuente de pago de la Deuda Pública y % de Afectación de las Participaciones Federales al 31 de diciembre de 2025</w:t>
      </w:r>
    </w:p>
    <w:p w14:paraId="4D7B26F8" w14:textId="77777777" w:rsidR="00FD66A3" w:rsidRPr="000C42E6" w:rsidRDefault="00FD66A3" w:rsidP="00FD66A3">
      <w:pPr>
        <w:spacing w:after="0" w:line="240" w:lineRule="auto"/>
        <w:jc w:val="center"/>
        <w:rPr>
          <w:rFonts w:ascii="Arial" w:eastAsia="DIN Next LT Pro Condensed" w:hAnsi="Arial" w:cs="Arial"/>
          <w:b/>
          <w:sz w:val="20"/>
          <w:szCs w:val="20"/>
          <w:lang w:val="es-ES_tradnl"/>
        </w:rPr>
      </w:pPr>
      <w:r w:rsidRPr="000C42E6">
        <w:rPr>
          <w:rFonts w:ascii="Arial" w:eastAsia="DIN Next LT Pro Condensed" w:hAnsi="Arial" w:cs="Arial"/>
          <w:b/>
          <w:sz w:val="20"/>
          <w:szCs w:val="20"/>
          <w:lang w:val="es-ES_tradnl"/>
        </w:rPr>
        <w:t>(</w:t>
      </w:r>
      <w:proofErr w:type="gramStart"/>
      <w:r w:rsidRPr="000C42E6">
        <w:rPr>
          <w:rFonts w:ascii="Arial" w:eastAsia="DIN Next LT Pro Condensed" w:hAnsi="Arial" w:cs="Arial"/>
          <w:b/>
          <w:sz w:val="20"/>
          <w:szCs w:val="20"/>
          <w:lang w:val="es-ES_tradnl"/>
        </w:rPr>
        <w:t>pesos</w:t>
      </w:r>
      <w:proofErr w:type="gramEnd"/>
      <w:r w:rsidRPr="000C42E6">
        <w:rPr>
          <w:rFonts w:ascii="Arial" w:eastAsia="DIN Next LT Pro Condensed" w:hAnsi="Arial" w:cs="Arial"/>
          <w:b/>
          <w:sz w:val="20"/>
          <w:szCs w:val="20"/>
          <w:lang w:val="es-ES_tradnl"/>
        </w:rPr>
        <w:t>)</w:t>
      </w:r>
    </w:p>
    <w:p w14:paraId="0892CF9B" w14:textId="77777777" w:rsidR="00FD66A3" w:rsidRPr="000C42E6" w:rsidRDefault="00FD66A3" w:rsidP="00FD66A3">
      <w:pPr>
        <w:spacing w:after="0" w:line="240" w:lineRule="auto"/>
        <w:jc w:val="both"/>
        <w:rPr>
          <w:rFonts w:ascii="Arial" w:eastAsia="DIN Next LT Pro Condensed" w:hAnsi="Arial" w:cs="Arial"/>
          <w:b/>
          <w:bCs/>
          <w:sz w:val="20"/>
          <w:szCs w:val="20"/>
        </w:rPr>
      </w:pPr>
    </w:p>
    <w:tbl>
      <w:tblPr>
        <w:tblW w:w="13462" w:type="dxa"/>
        <w:jc w:val="center"/>
        <w:tblLayout w:type="fixed"/>
        <w:tblCellMar>
          <w:left w:w="70" w:type="dxa"/>
          <w:right w:w="70" w:type="dxa"/>
        </w:tblCellMar>
        <w:tblLook w:val="04A0" w:firstRow="1" w:lastRow="0" w:firstColumn="1" w:lastColumn="0" w:noHBand="0" w:noVBand="1"/>
      </w:tblPr>
      <w:tblGrid>
        <w:gridCol w:w="1555"/>
        <w:gridCol w:w="1701"/>
        <w:gridCol w:w="1559"/>
        <w:gridCol w:w="1701"/>
        <w:gridCol w:w="1559"/>
        <w:gridCol w:w="1550"/>
        <w:gridCol w:w="1427"/>
        <w:gridCol w:w="1276"/>
        <w:gridCol w:w="1134"/>
      </w:tblGrid>
      <w:tr w:rsidR="00FD66A3" w:rsidRPr="000C42E6" w14:paraId="18A7637E" w14:textId="77777777" w:rsidTr="00B37BEB">
        <w:trPr>
          <w:trHeight w:val="675"/>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33177F" w14:textId="77777777" w:rsidR="00FD66A3" w:rsidRPr="00B37BEB" w:rsidRDefault="00FD66A3" w:rsidP="00764DE5">
            <w:pPr>
              <w:spacing w:after="0" w:line="240" w:lineRule="auto"/>
              <w:jc w:val="both"/>
              <w:rPr>
                <w:rFonts w:ascii="Arial" w:eastAsia="DIN Next LT Pro Condensed" w:hAnsi="Arial" w:cs="Arial"/>
                <w:b/>
                <w:bCs/>
                <w:sz w:val="18"/>
                <w:szCs w:val="20"/>
              </w:rPr>
            </w:pPr>
            <w:r w:rsidRPr="00B37BEB">
              <w:rPr>
                <w:rFonts w:ascii="Arial" w:eastAsia="DIN Next LT Pro Condensed" w:hAnsi="Arial" w:cs="Arial"/>
                <w:b/>
                <w:bCs/>
                <w:sz w:val="18"/>
                <w:szCs w:val="20"/>
              </w:rPr>
              <w:t>INSTITUCION FINANCIERA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1920BA"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FUENTE DE PAGO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096541"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 xml:space="preserve">FECHA DE CONTRATACION </w:t>
            </w:r>
            <w:r w:rsidRPr="00B37BEB">
              <w:rPr>
                <w:rFonts w:ascii="Arial" w:eastAsia="DIN Next LT Pro Condensed" w:hAnsi="Arial" w:cs="Arial"/>
                <w:b/>
                <w:sz w:val="18"/>
                <w:szCs w:val="20"/>
              </w:rPr>
              <w:t>(Según Contrato)</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7E2563"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MONTO CONTRATADO (ORIGINAL)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6D1856"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MONTO DISPUESTO</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B7F1F"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MONTO ACTUAL     (31 DE DICIEMBRE DE 2025)</w:t>
            </w:r>
          </w:p>
        </w:tc>
        <w:tc>
          <w:tcPr>
            <w:tcW w:w="14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8A70D"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FECHA DE VENCIMIENTO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0D4896"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CONDICIONES (TASA DE INTERÉS)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65212" w14:textId="77777777" w:rsidR="00FD66A3" w:rsidRPr="00B37BEB" w:rsidRDefault="00FD66A3" w:rsidP="00764DE5">
            <w:pPr>
              <w:spacing w:after="0" w:line="240" w:lineRule="auto"/>
              <w:jc w:val="center"/>
              <w:rPr>
                <w:rFonts w:ascii="Arial" w:eastAsia="DIN Next LT Pro Condensed" w:hAnsi="Arial" w:cs="Arial"/>
                <w:b/>
                <w:bCs/>
                <w:sz w:val="18"/>
                <w:szCs w:val="20"/>
              </w:rPr>
            </w:pPr>
            <w:r w:rsidRPr="00B37BEB">
              <w:rPr>
                <w:rFonts w:ascii="Arial" w:eastAsia="DIN Next LT Pro Condensed" w:hAnsi="Arial" w:cs="Arial"/>
                <w:b/>
                <w:bCs/>
                <w:sz w:val="18"/>
                <w:szCs w:val="20"/>
              </w:rPr>
              <w:t>% AFECTACIÓN PARTICIPACIONES FEDERALES</w:t>
            </w:r>
          </w:p>
        </w:tc>
      </w:tr>
      <w:tr w:rsidR="00FD66A3" w:rsidRPr="000C42E6" w14:paraId="380A63DA" w14:textId="77777777" w:rsidTr="00B37BEB">
        <w:trPr>
          <w:trHeight w:val="158"/>
          <w:jc w:val="center"/>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8A0A247" w14:textId="77777777" w:rsidR="00FD66A3" w:rsidRPr="000C42E6" w:rsidRDefault="00FD66A3" w:rsidP="00764DE5">
            <w:pPr>
              <w:spacing w:after="0" w:line="240" w:lineRule="auto"/>
              <w:jc w:val="both"/>
              <w:rPr>
                <w:rFonts w:ascii="Arial" w:eastAsia="DIN Next LT Pro Condensed" w:hAnsi="Arial" w:cs="Arial"/>
                <w:b/>
                <w:bCs/>
                <w:sz w:val="20"/>
                <w:szCs w:val="20"/>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14:paraId="757E5EE6" w14:textId="77777777" w:rsidR="00FD66A3" w:rsidRPr="000C42E6" w:rsidRDefault="00FD66A3" w:rsidP="00764DE5">
            <w:pPr>
              <w:spacing w:after="0" w:line="240" w:lineRule="auto"/>
              <w:jc w:val="both"/>
              <w:rPr>
                <w:rFonts w:ascii="Arial" w:eastAsia="DIN Next LT Pro Condensed" w:hAnsi="Arial" w:cs="Arial"/>
                <w:b/>
                <w:bCs/>
                <w:sz w:val="20"/>
                <w:szCs w:val="20"/>
              </w:rPr>
            </w:pPr>
            <w:r w:rsidRPr="000C42E6">
              <w:rPr>
                <w:rFonts w:ascii="Arial" w:eastAsia="DIN Next LT Pro Condensed" w:hAnsi="Arial" w:cs="Arial"/>
                <w:b/>
                <w:bCs/>
                <w:sz w:val="20"/>
                <w:szCs w:val="20"/>
              </w:rPr>
              <w:t>TOTALES</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14:paraId="0C0B86FB" w14:textId="77777777" w:rsidR="00FD66A3" w:rsidRPr="000C42E6" w:rsidRDefault="00FD66A3" w:rsidP="00764DE5">
            <w:pPr>
              <w:spacing w:after="0" w:line="240" w:lineRule="auto"/>
              <w:jc w:val="both"/>
              <w:rPr>
                <w:rFonts w:ascii="Arial" w:eastAsia="DIN Next LT Pro Condensed"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46148A" w14:textId="77777777" w:rsidR="00FD66A3" w:rsidRPr="000C42E6" w:rsidRDefault="00FD66A3" w:rsidP="00764DE5">
            <w:pPr>
              <w:spacing w:after="0" w:line="240" w:lineRule="auto"/>
              <w:jc w:val="right"/>
              <w:rPr>
                <w:rFonts w:ascii="Arial" w:eastAsia="DIN Next LT Pro Condensed" w:hAnsi="Arial" w:cs="Arial"/>
                <w:b/>
                <w:bCs/>
                <w:sz w:val="20"/>
                <w:szCs w:val="20"/>
              </w:rPr>
            </w:pPr>
            <w:r w:rsidRPr="000C42E6">
              <w:rPr>
                <w:rFonts w:ascii="Arial" w:eastAsia="DIN Next LT Pro Condensed" w:hAnsi="Arial" w:cs="Arial"/>
                <w:b/>
                <w:bCs/>
                <w:sz w:val="20"/>
                <w:szCs w:val="20"/>
              </w:rPr>
              <w:t>6,335,837,825</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tcPr>
          <w:p w14:paraId="688EC54D" w14:textId="77777777" w:rsidR="00FD66A3" w:rsidRPr="000C42E6" w:rsidRDefault="00FD66A3" w:rsidP="00764DE5">
            <w:pPr>
              <w:spacing w:after="0" w:line="240" w:lineRule="auto"/>
              <w:jc w:val="right"/>
              <w:rPr>
                <w:rFonts w:ascii="Arial" w:eastAsia="DIN Next LT Pro Condensed" w:hAnsi="Arial" w:cs="Arial"/>
                <w:b/>
                <w:bCs/>
                <w:sz w:val="20"/>
                <w:szCs w:val="20"/>
              </w:rPr>
            </w:pPr>
            <w:r w:rsidRPr="000C42E6">
              <w:rPr>
                <w:rFonts w:ascii="Arial" w:eastAsia="DIN Next LT Pro Condensed" w:hAnsi="Arial" w:cs="Arial"/>
                <w:b/>
                <w:bCs/>
                <w:sz w:val="20"/>
                <w:szCs w:val="20"/>
              </w:rPr>
              <w:t>6,328,403,281</w:t>
            </w:r>
          </w:p>
        </w:tc>
        <w:tc>
          <w:tcPr>
            <w:tcW w:w="15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340CA4" w14:textId="4700F933" w:rsidR="00FD66A3" w:rsidRPr="000C42E6" w:rsidRDefault="00FD66A3" w:rsidP="00EF46AC">
            <w:pPr>
              <w:spacing w:after="0" w:line="240" w:lineRule="auto"/>
              <w:jc w:val="right"/>
              <w:rPr>
                <w:rFonts w:ascii="Arial" w:eastAsia="DIN Next LT Pro Condensed" w:hAnsi="Arial" w:cs="Arial"/>
                <w:b/>
                <w:bCs/>
                <w:sz w:val="20"/>
                <w:szCs w:val="20"/>
              </w:rPr>
            </w:pPr>
            <w:r w:rsidRPr="000C42E6">
              <w:rPr>
                <w:rFonts w:ascii="Arial" w:eastAsia="DIN Next LT Pro Condensed" w:hAnsi="Arial" w:cs="Arial"/>
                <w:b/>
                <w:bCs/>
                <w:sz w:val="20"/>
                <w:szCs w:val="20"/>
              </w:rPr>
              <w:t>5,084,237,67</w:t>
            </w:r>
            <w:r w:rsidR="00EF46AC">
              <w:rPr>
                <w:rFonts w:ascii="Arial" w:eastAsia="DIN Next LT Pro Condensed" w:hAnsi="Arial" w:cs="Arial"/>
                <w:b/>
                <w:bCs/>
                <w:sz w:val="20"/>
                <w:szCs w:val="20"/>
              </w:rPr>
              <w:t>3</w:t>
            </w:r>
          </w:p>
        </w:tc>
        <w:tc>
          <w:tcPr>
            <w:tcW w:w="142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D5B81D" w14:textId="77777777" w:rsidR="00FD66A3" w:rsidRPr="000C42E6" w:rsidRDefault="00FD66A3" w:rsidP="00764DE5">
            <w:pPr>
              <w:spacing w:after="0" w:line="240" w:lineRule="auto"/>
              <w:jc w:val="both"/>
              <w:rPr>
                <w:rFonts w:ascii="Arial" w:eastAsia="DIN Next LT Pro Condensed"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4DD6C" w14:textId="77777777" w:rsidR="00FD66A3" w:rsidRPr="000C42E6" w:rsidRDefault="00FD66A3" w:rsidP="00764DE5">
            <w:pPr>
              <w:spacing w:after="0" w:line="240" w:lineRule="auto"/>
              <w:jc w:val="both"/>
              <w:rPr>
                <w:rFonts w:ascii="Arial" w:eastAsia="DIN Next LT Pro Condensed" w:hAnsi="Arial" w:cs="Arial"/>
                <w:b/>
                <w:bCs/>
                <w:sz w:val="20"/>
                <w:szCs w:val="2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6AF2424" w14:textId="77777777" w:rsidR="00FD66A3" w:rsidRPr="000C42E6" w:rsidRDefault="00FD66A3" w:rsidP="00764DE5">
            <w:pPr>
              <w:spacing w:after="0" w:line="240" w:lineRule="auto"/>
              <w:jc w:val="both"/>
              <w:rPr>
                <w:rFonts w:ascii="Arial" w:eastAsia="DIN Next LT Pro Condensed" w:hAnsi="Arial" w:cs="Arial"/>
                <w:b/>
                <w:bCs/>
                <w:sz w:val="20"/>
                <w:szCs w:val="20"/>
              </w:rPr>
            </w:pPr>
          </w:p>
        </w:tc>
      </w:tr>
      <w:tr w:rsidR="00FD66A3" w:rsidRPr="000C42E6" w14:paraId="2CB675AA" w14:textId="77777777" w:rsidTr="00B37BEB">
        <w:trPr>
          <w:trHeight w:val="70"/>
          <w:jc w:val="center"/>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A575E5" w14:textId="77777777" w:rsidR="00FD66A3" w:rsidRPr="000C42E6" w:rsidRDefault="00FD66A3" w:rsidP="00764DE5">
            <w:pPr>
              <w:spacing w:after="0" w:line="240" w:lineRule="auto"/>
              <w:jc w:val="both"/>
              <w:rPr>
                <w:rFonts w:ascii="Arial" w:eastAsia="DIN Next LT Pro Condensed" w:hAnsi="Arial" w:cs="Arial"/>
                <w:b/>
                <w:bCs/>
                <w:sz w:val="20"/>
                <w:szCs w:val="20"/>
              </w:rPr>
            </w:pPr>
            <w:r w:rsidRPr="000C42E6">
              <w:rPr>
                <w:rFonts w:ascii="Arial" w:eastAsia="DIN Next LT Pro Condensed" w:hAnsi="Arial" w:cs="Arial"/>
                <w:b/>
                <w:bCs/>
                <w:sz w:val="20"/>
                <w:szCs w:val="20"/>
              </w:rPr>
              <w:t> </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43A8818C" w14:textId="77777777" w:rsidR="00FD66A3" w:rsidRPr="000C42E6" w:rsidRDefault="00FD66A3" w:rsidP="00764DE5">
            <w:pPr>
              <w:spacing w:after="0" w:line="240" w:lineRule="auto"/>
              <w:jc w:val="both"/>
              <w:rPr>
                <w:rFonts w:ascii="Arial" w:eastAsia="DIN Next LT Pro Condensed" w:hAnsi="Arial" w:cs="Arial"/>
                <w:b/>
                <w:bCs/>
                <w:sz w:val="20"/>
                <w:szCs w:val="20"/>
              </w:rPr>
            </w:pPr>
            <w:r w:rsidRPr="000C42E6">
              <w:rPr>
                <w:rFonts w:ascii="Arial" w:eastAsia="DIN Next LT Pro Condensed" w:hAnsi="Arial" w:cs="Arial"/>
                <w:b/>
                <w:bCs/>
                <w:sz w:val="20"/>
                <w:szCs w:val="20"/>
              </w:rPr>
              <w:t>LARGO PLAZO</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327EA9E8" w14:textId="77777777" w:rsidR="00FD66A3" w:rsidRPr="000C42E6" w:rsidRDefault="00FD66A3" w:rsidP="00764DE5">
            <w:pPr>
              <w:spacing w:after="0" w:line="240" w:lineRule="auto"/>
              <w:jc w:val="both"/>
              <w:rPr>
                <w:rFonts w:ascii="Arial" w:eastAsia="DIN Next LT Pro Condensed" w:hAnsi="Arial" w:cs="Arial"/>
                <w:b/>
                <w:bCs/>
                <w:sz w:val="20"/>
                <w:szCs w:val="20"/>
              </w:rPr>
            </w:pPr>
            <w:r w:rsidRPr="000C42E6">
              <w:rPr>
                <w:rFonts w:ascii="Arial" w:eastAsia="DIN Next LT Pro Condensed" w:hAnsi="Arial" w:cs="Arial"/>
                <w:b/>
                <w:bCs/>
                <w:sz w:val="20"/>
                <w:szCs w:val="20"/>
              </w:rPr>
              <w:t> SUBTOTALES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490A9D" w14:textId="77777777" w:rsidR="00FD66A3" w:rsidRPr="000C42E6" w:rsidRDefault="00FD66A3" w:rsidP="00764DE5">
            <w:pPr>
              <w:spacing w:after="0" w:line="240" w:lineRule="auto"/>
              <w:jc w:val="right"/>
              <w:rPr>
                <w:rFonts w:ascii="Arial" w:eastAsia="DIN Next LT Pro Condensed" w:hAnsi="Arial" w:cs="Arial"/>
                <w:b/>
                <w:bCs/>
                <w:sz w:val="20"/>
                <w:szCs w:val="20"/>
              </w:rPr>
            </w:pPr>
            <w:r w:rsidRPr="000C42E6">
              <w:rPr>
                <w:rFonts w:ascii="Arial" w:eastAsia="DIN Next LT Pro Condensed" w:hAnsi="Arial" w:cs="Arial"/>
                <w:b/>
                <w:bCs/>
                <w:sz w:val="20"/>
                <w:szCs w:val="20"/>
              </w:rPr>
              <w:t>5,835,837,825</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tcPr>
          <w:p w14:paraId="4D290100" w14:textId="77777777" w:rsidR="00FD66A3" w:rsidRPr="000C42E6" w:rsidRDefault="00FD66A3" w:rsidP="00764DE5">
            <w:pPr>
              <w:spacing w:after="0" w:line="240" w:lineRule="auto"/>
              <w:jc w:val="right"/>
              <w:rPr>
                <w:rFonts w:ascii="Arial" w:eastAsia="DIN Next LT Pro Condensed" w:hAnsi="Arial" w:cs="Arial"/>
                <w:b/>
                <w:bCs/>
                <w:sz w:val="20"/>
                <w:szCs w:val="20"/>
              </w:rPr>
            </w:pPr>
            <w:r w:rsidRPr="000C42E6">
              <w:rPr>
                <w:rFonts w:ascii="Arial" w:eastAsia="DIN Next LT Pro Condensed" w:hAnsi="Arial" w:cs="Arial"/>
                <w:b/>
                <w:bCs/>
                <w:sz w:val="20"/>
                <w:szCs w:val="20"/>
              </w:rPr>
              <w:t>5,828,403,281</w:t>
            </w:r>
          </w:p>
        </w:tc>
        <w:tc>
          <w:tcPr>
            <w:tcW w:w="15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184048" w14:textId="38C8DA5C" w:rsidR="00FD66A3" w:rsidRPr="000C42E6" w:rsidRDefault="004A3A85" w:rsidP="00764DE5">
            <w:pPr>
              <w:spacing w:after="0" w:line="240" w:lineRule="auto"/>
              <w:jc w:val="right"/>
              <w:rPr>
                <w:rFonts w:ascii="Arial" w:eastAsia="DIN Next LT Pro Condensed" w:hAnsi="Arial" w:cs="Arial"/>
                <w:b/>
                <w:bCs/>
                <w:sz w:val="20"/>
                <w:szCs w:val="20"/>
              </w:rPr>
            </w:pPr>
            <w:r>
              <w:rPr>
                <w:rFonts w:ascii="Arial" w:eastAsia="DIN Next LT Pro Condensed" w:hAnsi="Arial" w:cs="Arial"/>
                <w:b/>
                <w:bCs/>
                <w:sz w:val="20"/>
                <w:szCs w:val="20"/>
              </w:rPr>
              <w:t>4,751,737,673</w:t>
            </w:r>
          </w:p>
        </w:tc>
        <w:tc>
          <w:tcPr>
            <w:tcW w:w="142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66D77B" w14:textId="77777777" w:rsidR="00FD66A3" w:rsidRPr="000C42E6" w:rsidRDefault="00FD66A3" w:rsidP="00764DE5">
            <w:pPr>
              <w:spacing w:after="0" w:line="240" w:lineRule="auto"/>
              <w:jc w:val="both"/>
              <w:rPr>
                <w:rFonts w:ascii="Arial" w:eastAsia="DIN Next LT Pro Condensed" w:hAnsi="Arial" w:cs="Arial"/>
                <w:b/>
                <w:bCs/>
                <w:sz w:val="20"/>
                <w:szCs w:val="20"/>
              </w:rPr>
            </w:pPr>
            <w:r w:rsidRPr="000C42E6">
              <w:rPr>
                <w:rFonts w:ascii="Arial" w:eastAsia="DIN Next LT Pro Condensed" w:hAnsi="Arial" w:cs="Arial"/>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574E7" w14:textId="77777777" w:rsidR="00FD66A3" w:rsidRPr="000C42E6" w:rsidRDefault="00FD66A3" w:rsidP="00764DE5">
            <w:pPr>
              <w:spacing w:after="0" w:line="240" w:lineRule="auto"/>
              <w:jc w:val="both"/>
              <w:rPr>
                <w:rFonts w:ascii="Arial" w:eastAsia="DIN Next LT Pro Condensed" w:hAnsi="Arial" w:cs="Arial"/>
                <w:b/>
                <w:bCs/>
                <w:sz w:val="20"/>
                <w:szCs w:val="20"/>
              </w:rPr>
            </w:pPr>
            <w:r w:rsidRPr="000C42E6">
              <w:rPr>
                <w:rFonts w:ascii="Arial" w:eastAsia="DIN Next LT Pro Condensed" w:hAnsi="Arial" w:cs="Arial"/>
                <w:b/>
                <w:bCs/>
                <w:sz w:val="20"/>
                <w:szCs w:val="20"/>
              </w:rPr>
              <w:t> </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4542BF6C" w14:textId="77777777" w:rsidR="00FD66A3" w:rsidRPr="000C42E6" w:rsidRDefault="00FD66A3" w:rsidP="00764DE5">
            <w:pPr>
              <w:spacing w:after="0" w:line="240" w:lineRule="auto"/>
              <w:jc w:val="center"/>
              <w:rPr>
                <w:rFonts w:ascii="Arial" w:eastAsia="DIN Next LT Pro Condensed" w:hAnsi="Arial" w:cs="Arial"/>
                <w:b/>
                <w:bCs/>
                <w:sz w:val="20"/>
                <w:szCs w:val="20"/>
              </w:rPr>
            </w:pPr>
            <w:r w:rsidRPr="000C42E6">
              <w:rPr>
                <w:rFonts w:ascii="Arial" w:eastAsia="DIN Next LT Pro Condensed" w:hAnsi="Arial" w:cs="Arial"/>
                <w:b/>
                <w:bCs/>
                <w:sz w:val="20"/>
                <w:szCs w:val="20"/>
              </w:rPr>
              <w:t>13.7433%</w:t>
            </w:r>
          </w:p>
        </w:tc>
      </w:tr>
      <w:tr w:rsidR="00FD66A3" w:rsidRPr="000C42E6" w14:paraId="010FD558" w14:textId="77777777" w:rsidTr="00B37BEB">
        <w:trPr>
          <w:trHeight w:val="351"/>
          <w:jc w:val="center"/>
        </w:trPr>
        <w:tc>
          <w:tcPr>
            <w:tcW w:w="1555" w:type="dxa"/>
            <w:tcBorders>
              <w:top w:val="nil"/>
              <w:left w:val="single" w:sz="4" w:space="0" w:color="auto"/>
              <w:bottom w:val="single" w:sz="4" w:space="0" w:color="auto"/>
              <w:right w:val="single" w:sz="4" w:space="0" w:color="auto"/>
            </w:tcBorders>
            <w:vAlign w:val="center"/>
            <w:hideMark/>
          </w:tcPr>
          <w:p w14:paraId="6ECCD605" w14:textId="77777777" w:rsidR="00FD66A3" w:rsidRPr="000C42E6" w:rsidRDefault="00FD66A3" w:rsidP="00764DE5">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BANAMEX (SJPET)</w:t>
            </w:r>
          </w:p>
        </w:tc>
        <w:tc>
          <w:tcPr>
            <w:tcW w:w="1701" w:type="dxa"/>
            <w:tcBorders>
              <w:top w:val="nil"/>
              <w:left w:val="nil"/>
              <w:bottom w:val="single" w:sz="4" w:space="0" w:color="auto"/>
              <w:right w:val="single" w:sz="4" w:space="0" w:color="auto"/>
            </w:tcBorders>
            <w:vAlign w:val="center"/>
            <w:hideMark/>
          </w:tcPr>
          <w:p w14:paraId="433B60CC"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PARTICIPACIONES FEDERALES</w:t>
            </w:r>
          </w:p>
        </w:tc>
        <w:tc>
          <w:tcPr>
            <w:tcW w:w="1559" w:type="dxa"/>
            <w:tcBorders>
              <w:top w:val="nil"/>
              <w:left w:val="nil"/>
              <w:bottom w:val="single" w:sz="4" w:space="0" w:color="auto"/>
              <w:right w:val="single" w:sz="4" w:space="0" w:color="auto"/>
            </w:tcBorders>
            <w:noWrap/>
            <w:vAlign w:val="center"/>
            <w:hideMark/>
          </w:tcPr>
          <w:p w14:paraId="57FD4A00"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20-MAY-2016</w:t>
            </w:r>
          </w:p>
        </w:tc>
        <w:tc>
          <w:tcPr>
            <w:tcW w:w="1701" w:type="dxa"/>
            <w:tcBorders>
              <w:top w:val="nil"/>
              <w:left w:val="nil"/>
              <w:bottom w:val="single" w:sz="4" w:space="0" w:color="auto"/>
              <w:right w:val="single" w:sz="4" w:space="0" w:color="auto"/>
            </w:tcBorders>
            <w:vAlign w:val="center"/>
            <w:hideMark/>
          </w:tcPr>
          <w:p w14:paraId="2B0CBE50"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450,000,000</w:t>
            </w:r>
          </w:p>
        </w:tc>
        <w:tc>
          <w:tcPr>
            <w:tcW w:w="1559" w:type="dxa"/>
            <w:tcBorders>
              <w:top w:val="nil"/>
              <w:left w:val="nil"/>
              <w:bottom w:val="single" w:sz="4" w:space="0" w:color="auto"/>
              <w:right w:val="single" w:sz="4" w:space="0" w:color="auto"/>
            </w:tcBorders>
            <w:vAlign w:val="center"/>
            <w:hideMark/>
          </w:tcPr>
          <w:p w14:paraId="22EDD483"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450,000,000</w:t>
            </w:r>
          </w:p>
        </w:tc>
        <w:tc>
          <w:tcPr>
            <w:tcW w:w="1550" w:type="dxa"/>
            <w:tcBorders>
              <w:top w:val="nil"/>
              <w:left w:val="nil"/>
              <w:bottom w:val="single" w:sz="4" w:space="0" w:color="auto"/>
              <w:right w:val="single" w:sz="4" w:space="0" w:color="auto"/>
            </w:tcBorders>
            <w:vAlign w:val="center"/>
          </w:tcPr>
          <w:p w14:paraId="18FE6A14"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22,500,000</w:t>
            </w:r>
          </w:p>
        </w:tc>
        <w:tc>
          <w:tcPr>
            <w:tcW w:w="1427" w:type="dxa"/>
            <w:tcBorders>
              <w:top w:val="nil"/>
              <w:left w:val="nil"/>
              <w:bottom w:val="single" w:sz="4" w:space="0" w:color="auto"/>
              <w:right w:val="single" w:sz="4" w:space="0" w:color="auto"/>
            </w:tcBorders>
            <w:noWrap/>
            <w:vAlign w:val="center"/>
            <w:hideMark/>
          </w:tcPr>
          <w:p w14:paraId="7338357D" w14:textId="77777777" w:rsidR="00FD66A3" w:rsidRPr="000C42E6" w:rsidRDefault="00FD66A3" w:rsidP="0036018C">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15-JUN-2026</w:t>
            </w:r>
          </w:p>
        </w:tc>
        <w:tc>
          <w:tcPr>
            <w:tcW w:w="1276" w:type="dxa"/>
            <w:tcBorders>
              <w:top w:val="nil"/>
              <w:left w:val="nil"/>
              <w:bottom w:val="single" w:sz="4" w:space="0" w:color="auto"/>
              <w:right w:val="single" w:sz="4" w:space="0" w:color="auto"/>
            </w:tcBorders>
            <w:noWrap/>
            <w:vAlign w:val="center"/>
            <w:hideMark/>
          </w:tcPr>
          <w:p w14:paraId="4E68ED67"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Fija: 6.21%</w:t>
            </w:r>
          </w:p>
        </w:tc>
        <w:tc>
          <w:tcPr>
            <w:tcW w:w="1134" w:type="dxa"/>
            <w:tcBorders>
              <w:top w:val="nil"/>
              <w:left w:val="nil"/>
              <w:bottom w:val="single" w:sz="4" w:space="0" w:color="auto"/>
              <w:right w:val="single" w:sz="4" w:space="0" w:color="auto"/>
            </w:tcBorders>
            <w:vAlign w:val="center"/>
            <w:hideMark/>
          </w:tcPr>
          <w:p w14:paraId="2A685EF6"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1.43%</w:t>
            </w:r>
          </w:p>
        </w:tc>
      </w:tr>
      <w:tr w:rsidR="00FD66A3" w:rsidRPr="000C42E6" w14:paraId="5DE52C2A" w14:textId="77777777" w:rsidTr="00B37BEB">
        <w:trPr>
          <w:trHeight w:val="429"/>
          <w:jc w:val="center"/>
        </w:trPr>
        <w:tc>
          <w:tcPr>
            <w:tcW w:w="1555" w:type="dxa"/>
            <w:tcBorders>
              <w:top w:val="nil"/>
              <w:left w:val="single" w:sz="4" w:space="0" w:color="auto"/>
              <w:bottom w:val="single" w:sz="4" w:space="0" w:color="auto"/>
              <w:right w:val="single" w:sz="4" w:space="0" w:color="auto"/>
            </w:tcBorders>
            <w:vAlign w:val="center"/>
            <w:hideMark/>
          </w:tcPr>
          <w:p w14:paraId="57783981" w14:textId="77777777" w:rsidR="00FD66A3" w:rsidRPr="000C42E6" w:rsidRDefault="00FD66A3" w:rsidP="00764DE5">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SCOTIABANK-INVERLAT</w:t>
            </w:r>
          </w:p>
        </w:tc>
        <w:tc>
          <w:tcPr>
            <w:tcW w:w="1701" w:type="dxa"/>
            <w:tcBorders>
              <w:top w:val="nil"/>
              <w:left w:val="nil"/>
              <w:bottom w:val="single" w:sz="4" w:space="0" w:color="auto"/>
              <w:right w:val="single" w:sz="4" w:space="0" w:color="auto"/>
            </w:tcBorders>
            <w:vAlign w:val="center"/>
            <w:hideMark/>
          </w:tcPr>
          <w:p w14:paraId="3A42EDF8"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PARTICIPACIONES FEDERALES</w:t>
            </w:r>
          </w:p>
        </w:tc>
        <w:tc>
          <w:tcPr>
            <w:tcW w:w="1559" w:type="dxa"/>
            <w:tcBorders>
              <w:top w:val="nil"/>
              <w:left w:val="nil"/>
              <w:bottom w:val="single" w:sz="4" w:space="0" w:color="auto"/>
              <w:right w:val="single" w:sz="4" w:space="0" w:color="auto"/>
            </w:tcBorders>
            <w:noWrap/>
            <w:vAlign w:val="center"/>
            <w:hideMark/>
          </w:tcPr>
          <w:p w14:paraId="34B01BCF"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28-ABR-2017</w:t>
            </w:r>
          </w:p>
        </w:tc>
        <w:tc>
          <w:tcPr>
            <w:tcW w:w="1701" w:type="dxa"/>
            <w:tcBorders>
              <w:top w:val="nil"/>
              <w:left w:val="nil"/>
              <w:bottom w:val="single" w:sz="4" w:space="0" w:color="auto"/>
              <w:right w:val="single" w:sz="4" w:space="0" w:color="auto"/>
            </w:tcBorders>
            <w:vAlign w:val="center"/>
            <w:hideMark/>
          </w:tcPr>
          <w:p w14:paraId="6327B06F"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700,000,000</w:t>
            </w:r>
          </w:p>
        </w:tc>
        <w:tc>
          <w:tcPr>
            <w:tcW w:w="1559" w:type="dxa"/>
            <w:tcBorders>
              <w:top w:val="nil"/>
              <w:left w:val="nil"/>
              <w:bottom w:val="single" w:sz="4" w:space="0" w:color="auto"/>
              <w:right w:val="single" w:sz="4" w:space="0" w:color="auto"/>
            </w:tcBorders>
            <w:vAlign w:val="center"/>
            <w:hideMark/>
          </w:tcPr>
          <w:p w14:paraId="04A8832C"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700,000,000</w:t>
            </w:r>
          </w:p>
        </w:tc>
        <w:tc>
          <w:tcPr>
            <w:tcW w:w="1550" w:type="dxa"/>
            <w:tcBorders>
              <w:top w:val="nil"/>
              <w:left w:val="nil"/>
              <w:bottom w:val="single" w:sz="4" w:space="0" w:color="auto"/>
              <w:right w:val="single" w:sz="4" w:space="0" w:color="auto"/>
            </w:tcBorders>
            <w:vAlign w:val="center"/>
          </w:tcPr>
          <w:p w14:paraId="4FBCD13A"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94,915,254</w:t>
            </w:r>
          </w:p>
        </w:tc>
        <w:tc>
          <w:tcPr>
            <w:tcW w:w="1427" w:type="dxa"/>
            <w:tcBorders>
              <w:top w:val="nil"/>
              <w:left w:val="nil"/>
              <w:bottom w:val="single" w:sz="4" w:space="0" w:color="auto"/>
              <w:right w:val="single" w:sz="4" w:space="0" w:color="auto"/>
            </w:tcBorders>
            <w:noWrap/>
            <w:vAlign w:val="center"/>
            <w:hideMark/>
          </w:tcPr>
          <w:p w14:paraId="19B37849" w14:textId="77777777" w:rsidR="00FD66A3" w:rsidRPr="000C42E6" w:rsidRDefault="00FD66A3" w:rsidP="0036018C">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28-ABR-2027</w:t>
            </w:r>
          </w:p>
        </w:tc>
        <w:tc>
          <w:tcPr>
            <w:tcW w:w="1276" w:type="dxa"/>
            <w:tcBorders>
              <w:top w:val="nil"/>
              <w:left w:val="nil"/>
              <w:bottom w:val="single" w:sz="4" w:space="0" w:color="auto"/>
              <w:right w:val="single" w:sz="4" w:space="0" w:color="auto"/>
            </w:tcBorders>
            <w:noWrap/>
            <w:vAlign w:val="center"/>
            <w:hideMark/>
          </w:tcPr>
          <w:p w14:paraId="151A56AC"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Fija: 8.99%</w:t>
            </w:r>
          </w:p>
        </w:tc>
        <w:tc>
          <w:tcPr>
            <w:tcW w:w="1134" w:type="dxa"/>
            <w:tcBorders>
              <w:top w:val="nil"/>
              <w:left w:val="nil"/>
              <w:bottom w:val="single" w:sz="4" w:space="0" w:color="auto"/>
              <w:right w:val="single" w:sz="4" w:space="0" w:color="auto"/>
            </w:tcBorders>
            <w:vAlign w:val="center"/>
            <w:hideMark/>
          </w:tcPr>
          <w:p w14:paraId="2E7BC945"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1.50%</w:t>
            </w:r>
          </w:p>
        </w:tc>
      </w:tr>
      <w:tr w:rsidR="00FD66A3" w:rsidRPr="000C42E6" w14:paraId="400B3FFA" w14:textId="77777777" w:rsidTr="00B37BEB">
        <w:trPr>
          <w:trHeight w:val="366"/>
          <w:jc w:val="center"/>
        </w:trPr>
        <w:tc>
          <w:tcPr>
            <w:tcW w:w="1555" w:type="dxa"/>
            <w:tcBorders>
              <w:top w:val="single" w:sz="4" w:space="0" w:color="auto"/>
              <w:left w:val="single" w:sz="4" w:space="0" w:color="auto"/>
              <w:bottom w:val="single" w:sz="4" w:space="0" w:color="auto"/>
              <w:right w:val="single" w:sz="4" w:space="0" w:color="auto"/>
            </w:tcBorders>
            <w:noWrap/>
            <w:vAlign w:val="center"/>
          </w:tcPr>
          <w:p w14:paraId="3BDC27C4" w14:textId="77777777" w:rsidR="00FD66A3" w:rsidRPr="000C42E6" w:rsidRDefault="00FD66A3" w:rsidP="00764DE5">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BANAMEX</w:t>
            </w:r>
          </w:p>
        </w:tc>
        <w:tc>
          <w:tcPr>
            <w:tcW w:w="1701" w:type="dxa"/>
            <w:tcBorders>
              <w:top w:val="single" w:sz="4" w:space="0" w:color="auto"/>
              <w:left w:val="nil"/>
              <w:bottom w:val="single" w:sz="4" w:space="0" w:color="auto"/>
              <w:right w:val="single" w:sz="4" w:space="0" w:color="auto"/>
            </w:tcBorders>
            <w:vAlign w:val="center"/>
          </w:tcPr>
          <w:p w14:paraId="07EE623F"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PARTICIPACIONES FEDERALES</w:t>
            </w:r>
          </w:p>
        </w:tc>
        <w:tc>
          <w:tcPr>
            <w:tcW w:w="1559" w:type="dxa"/>
            <w:tcBorders>
              <w:top w:val="single" w:sz="4" w:space="0" w:color="auto"/>
              <w:left w:val="nil"/>
              <w:bottom w:val="single" w:sz="4" w:space="0" w:color="auto"/>
              <w:right w:val="single" w:sz="4" w:space="0" w:color="auto"/>
            </w:tcBorders>
            <w:noWrap/>
            <w:vAlign w:val="center"/>
            <w:hideMark/>
          </w:tcPr>
          <w:p w14:paraId="5F3BCEC5"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22-SEP-2025</w:t>
            </w:r>
          </w:p>
        </w:tc>
        <w:tc>
          <w:tcPr>
            <w:tcW w:w="1701" w:type="dxa"/>
            <w:tcBorders>
              <w:top w:val="nil"/>
              <w:left w:val="nil"/>
              <w:bottom w:val="single" w:sz="4" w:space="0" w:color="auto"/>
              <w:right w:val="single" w:sz="4" w:space="0" w:color="auto"/>
            </w:tcBorders>
            <w:vAlign w:val="center"/>
            <w:hideMark/>
          </w:tcPr>
          <w:p w14:paraId="14784B23"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1,870,000,000</w:t>
            </w:r>
          </w:p>
        </w:tc>
        <w:tc>
          <w:tcPr>
            <w:tcW w:w="1559" w:type="dxa"/>
            <w:tcBorders>
              <w:top w:val="nil"/>
              <w:left w:val="nil"/>
              <w:bottom w:val="single" w:sz="4" w:space="0" w:color="auto"/>
              <w:right w:val="single" w:sz="4" w:space="0" w:color="auto"/>
            </w:tcBorders>
            <w:vAlign w:val="center"/>
            <w:hideMark/>
          </w:tcPr>
          <w:p w14:paraId="65E742F2"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1,870,000,000</w:t>
            </w:r>
          </w:p>
        </w:tc>
        <w:tc>
          <w:tcPr>
            <w:tcW w:w="1550" w:type="dxa"/>
            <w:tcBorders>
              <w:top w:val="nil"/>
              <w:left w:val="nil"/>
              <w:bottom w:val="single" w:sz="4" w:space="0" w:color="auto"/>
              <w:right w:val="single" w:sz="4" w:space="0" w:color="auto"/>
            </w:tcBorders>
            <w:vAlign w:val="center"/>
          </w:tcPr>
          <w:p w14:paraId="740037D2"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1,854,416,667</w:t>
            </w:r>
          </w:p>
        </w:tc>
        <w:tc>
          <w:tcPr>
            <w:tcW w:w="1427" w:type="dxa"/>
            <w:tcBorders>
              <w:top w:val="single" w:sz="4" w:space="0" w:color="auto"/>
              <w:left w:val="nil"/>
              <w:bottom w:val="single" w:sz="4" w:space="0" w:color="auto"/>
              <w:right w:val="single" w:sz="4" w:space="0" w:color="auto"/>
            </w:tcBorders>
            <w:noWrap/>
            <w:vAlign w:val="center"/>
            <w:hideMark/>
          </w:tcPr>
          <w:p w14:paraId="476A616F" w14:textId="77777777" w:rsidR="00FD66A3" w:rsidRPr="000C42E6" w:rsidRDefault="00FD66A3" w:rsidP="0036018C">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16-FEB-2046</w:t>
            </w:r>
          </w:p>
        </w:tc>
        <w:tc>
          <w:tcPr>
            <w:tcW w:w="1276" w:type="dxa"/>
            <w:tcBorders>
              <w:top w:val="nil"/>
              <w:left w:val="nil"/>
              <w:bottom w:val="single" w:sz="4" w:space="0" w:color="auto"/>
              <w:right w:val="single" w:sz="4" w:space="0" w:color="auto"/>
            </w:tcBorders>
            <w:noWrap/>
            <w:vAlign w:val="center"/>
            <w:hideMark/>
          </w:tcPr>
          <w:p w14:paraId="5728B9C3"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TIIEF + 0.21</w:t>
            </w:r>
          </w:p>
        </w:tc>
        <w:tc>
          <w:tcPr>
            <w:tcW w:w="1134" w:type="dxa"/>
            <w:tcBorders>
              <w:top w:val="nil"/>
              <w:left w:val="nil"/>
              <w:bottom w:val="single" w:sz="4" w:space="0" w:color="auto"/>
              <w:right w:val="single" w:sz="4" w:space="0" w:color="auto"/>
            </w:tcBorders>
            <w:vAlign w:val="center"/>
            <w:hideMark/>
          </w:tcPr>
          <w:p w14:paraId="506B50E5"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4.2567%</w:t>
            </w:r>
          </w:p>
        </w:tc>
      </w:tr>
      <w:tr w:rsidR="00FD66A3" w:rsidRPr="000C42E6" w14:paraId="2A440B86" w14:textId="77777777" w:rsidTr="00B37BEB">
        <w:trPr>
          <w:trHeight w:val="429"/>
          <w:jc w:val="center"/>
        </w:trPr>
        <w:tc>
          <w:tcPr>
            <w:tcW w:w="1555" w:type="dxa"/>
            <w:tcBorders>
              <w:top w:val="nil"/>
              <w:left w:val="single" w:sz="4" w:space="0" w:color="auto"/>
              <w:bottom w:val="nil"/>
              <w:right w:val="single" w:sz="4" w:space="0" w:color="auto"/>
            </w:tcBorders>
            <w:noWrap/>
            <w:vAlign w:val="center"/>
            <w:hideMark/>
          </w:tcPr>
          <w:p w14:paraId="0AA22B0C" w14:textId="77777777" w:rsidR="00FD66A3" w:rsidRPr="000C42E6" w:rsidRDefault="00FD66A3" w:rsidP="00764DE5">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BANORTE</w:t>
            </w:r>
          </w:p>
        </w:tc>
        <w:tc>
          <w:tcPr>
            <w:tcW w:w="1701" w:type="dxa"/>
            <w:tcBorders>
              <w:top w:val="nil"/>
              <w:left w:val="nil"/>
              <w:bottom w:val="single" w:sz="4" w:space="0" w:color="auto"/>
              <w:right w:val="single" w:sz="4" w:space="0" w:color="auto"/>
            </w:tcBorders>
            <w:vAlign w:val="center"/>
            <w:hideMark/>
          </w:tcPr>
          <w:p w14:paraId="0A5A1AF1"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PARTICIPACIONES FEDERALES</w:t>
            </w:r>
          </w:p>
        </w:tc>
        <w:tc>
          <w:tcPr>
            <w:tcW w:w="1559" w:type="dxa"/>
            <w:tcBorders>
              <w:top w:val="nil"/>
              <w:left w:val="nil"/>
              <w:bottom w:val="single" w:sz="4" w:space="0" w:color="auto"/>
              <w:right w:val="single" w:sz="4" w:space="0" w:color="auto"/>
            </w:tcBorders>
            <w:noWrap/>
            <w:vAlign w:val="center"/>
            <w:hideMark/>
          </w:tcPr>
          <w:p w14:paraId="3DC85024"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22-SEP-2025</w:t>
            </w:r>
          </w:p>
        </w:tc>
        <w:tc>
          <w:tcPr>
            <w:tcW w:w="1701" w:type="dxa"/>
            <w:tcBorders>
              <w:top w:val="nil"/>
              <w:left w:val="nil"/>
              <w:bottom w:val="single" w:sz="4" w:space="0" w:color="auto"/>
              <w:right w:val="single" w:sz="4" w:space="0" w:color="auto"/>
            </w:tcBorders>
            <w:vAlign w:val="center"/>
            <w:hideMark/>
          </w:tcPr>
          <w:p w14:paraId="48B73E95"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1,400,000,000</w:t>
            </w:r>
          </w:p>
        </w:tc>
        <w:tc>
          <w:tcPr>
            <w:tcW w:w="1559" w:type="dxa"/>
            <w:tcBorders>
              <w:top w:val="nil"/>
              <w:left w:val="nil"/>
              <w:bottom w:val="single" w:sz="4" w:space="0" w:color="auto"/>
              <w:right w:val="single" w:sz="4" w:space="0" w:color="auto"/>
            </w:tcBorders>
            <w:vAlign w:val="center"/>
            <w:hideMark/>
          </w:tcPr>
          <w:p w14:paraId="38E8BB3D"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1,400,000,000</w:t>
            </w:r>
          </w:p>
        </w:tc>
        <w:tc>
          <w:tcPr>
            <w:tcW w:w="1550" w:type="dxa"/>
            <w:tcBorders>
              <w:top w:val="nil"/>
              <w:left w:val="nil"/>
              <w:bottom w:val="single" w:sz="4" w:space="0" w:color="auto"/>
              <w:right w:val="single" w:sz="4" w:space="0" w:color="auto"/>
            </w:tcBorders>
            <w:vAlign w:val="center"/>
          </w:tcPr>
          <w:p w14:paraId="5363D638"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1,383,239,165</w:t>
            </w:r>
          </w:p>
        </w:tc>
        <w:tc>
          <w:tcPr>
            <w:tcW w:w="1427" w:type="dxa"/>
            <w:tcBorders>
              <w:top w:val="nil"/>
              <w:left w:val="nil"/>
              <w:bottom w:val="single" w:sz="4" w:space="0" w:color="auto"/>
              <w:right w:val="single" w:sz="4" w:space="0" w:color="auto"/>
            </w:tcBorders>
            <w:noWrap/>
            <w:vAlign w:val="center"/>
            <w:hideMark/>
          </w:tcPr>
          <w:p w14:paraId="381E11FD" w14:textId="714E8774" w:rsidR="00FD66A3" w:rsidRPr="000C42E6" w:rsidRDefault="00FD66A3" w:rsidP="0036018C">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16-FEB-2046</w:t>
            </w:r>
          </w:p>
        </w:tc>
        <w:tc>
          <w:tcPr>
            <w:tcW w:w="1276" w:type="dxa"/>
            <w:tcBorders>
              <w:top w:val="nil"/>
              <w:left w:val="nil"/>
              <w:bottom w:val="single" w:sz="4" w:space="0" w:color="auto"/>
              <w:right w:val="single" w:sz="4" w:space="0" w:color="auto"/>
            </w:tcBorders>
            <w:vAlign w:val="center"/>
            <w:hideMark/>
          </w:tcPr>
          <w:p w14:paraId="74A4E31C"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TIIEF + 0.50</w:t>
            </w:r>
          </w:p>
        </w:tc>
        <w:tc>
          <w:tcPr>
            <w:tcW w:w="1134" w:type="dxa"/>
            <w:tcBorders>
              <w:top w:val="nil"/>
              <w:left w:val="nil"/>
              <w:bottom w:val="single" w:sz="4" w:space="0" w:color="auto"/>
              <w:right w:val="single" w:sz="4" w:space="0" w:color="auto"/>
            </w:tcBorders>
            <w:vAlign w:val="center"/>
            <w:hideMark/>
          </w:tcPr>
          <w:p w14:paraId="74A99EF5"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3.1868%</w:t>
            </w:r>
          </w:p>
        </w:tc>
      </w:tr>
      <w:tr w:rsidR="00FD66A3" w:rsidRPr="000C42E6" w14:paraId="105F13C2" w14:textId="77777777" w:rsidTr="00B37BEB">
        <w:trPr>
          <w:trHeight w:val="41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F7AEA86" w14:textId="77777777" w:rsidR="00FD66A3" w:rsidRPr="000C42E6" w:rsidRDefault="00FD66A3" w:rsidP="00764DE5">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BANOBRAS</w:t>
            </w:r>
          </w:p>
        </w:tc>
        <w:tc>
          <w:tcPr>
            <w:tcW w:w="1701" w:type="dxa"/>
            <w:tcBorders>
              <w:top w:val="single" w:sz="4" w:space="0" w:color="auto"/>
              <w:left w:val="nil"/>
              <w:bottom w:val="single" w:sz="4" w:space="0" w:color="auto"/>
              <w:right w:val="single" w:sz="4" w:space="0" w:color="auto"/>
            </w:tcBorders>
            <w:vAlign w:val="center"/>
            <w:hideMark/>
          </w:tcPr>
          <w:p w14:paraId="7983DE28"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PARTICIPACIONES FEDERALES</w:t>
            </w:r>
          </w:p>
        </w:tc>
        <w:tc>
          <w:tcPr>
            <w:tcW w:w="1559" w:type="dxa"/>
            <w:tcBorders>
              <w:top w:val="nil"/>
              <w:left w:val="nil"/>
              <w:bottom w:val="single" w:sz="4" w:space="0" w:color="auto"/>
              <w:right w:val="single" w:sz="4" w:space="0" w:color="auto"/>
            </w:tcBorders>
            <w:noWrap/>
            <w:vAlign w:val="center"/>
            <w:hideMark/>
          </w:tcPr>
          <w:p w14:paraId="52EEAFAC"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22-SEP-2025</w:t>
            </w:r>
          </w:p>
        </w:tc>
        <w:tc>
          <w:tcPr>
            <w:tcW w:w="1701" w:type="dxa"/>
            <w:tcBorders>
              <w:top w:val="nil"/>
              <w:left w:val="nil"/>
              <w:bottom w:val="single" w:sz="4" w:space="0" w:color="auto"/>
              <w:right w:val="single" w:sz="4" w:space="0" w:color="auto"/>
            </w:tcBorders>
            <w:vAlign w:val="center"/>
            <w:hideMark/>
          </w:tcPr>
          <w:p w14:paraId="29D63F2A"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1,415,837,825</w:t>
            </w:r>
          </w:p>
        </w:tc>
        <w:tc>
          <w:tcPr>
            <w:tcW w:w="1559" w:type="dxa"/>
            <w:tcBorders>
              <w:top w:val="nil"/>
              <w:left w:val="nil"/>
              <w:bottom w:val="single" w:sz="4" w:space="0" w:color="auto"/>
              <w:right w:val="single" w:sz="4" w:space="0" w:color="auto"/>
            </w:tcBorders>
            <w:vAlign w:val="center"/>
            <w:hideMark/>
          </w:tcPr>
          <w:p w14:paraId="1B41F465"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1,408,403,281</w:t>
            </w:r>
          </w:p>
        </w:tc>
        <w:tc>
          <w:tcPr>
            <w:tcW w:w="1550" w:type="dxa"/>
            <w:tcBorders>
              <w:top w:val="nil"/>
              <w:left w:val="nil"/>
              <w:bottom w:val="single" w:sz="4" w:space="0" w:color="auto"/>
              <w:right w:val="single" w:sz="4" w:space="0" w:color="auto"/>
            </w:tcBorders>
            <w:vAlign w:val="center"/>
          </w:tcPr>
          <w:p w14:paraId="4C497AC4" w14:textId="39524069" w:rsidR="00FD66A3" w:rsidRPr="000C42E6" w:rsidRDefault="00FD66A3" w:rsidP="00EF46AC">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1,396,666,58</w:t>
            </w:r>
            <w:r w:rsidR="00EF46AC">
              <w:rPr>
                <w:rFonts w:ascii="Arial" w:eastAsia="DIN Next LT Pro Condensed" w:hAnsi="Arial" w:cs="Arial"/>
                <w:sz w:val="20"/>
                <w:szCs w:val="20"/>
              </w:rPr>
              <w:t>7</w:t>
            </w:r>
          </w:p>
        </w:tc>
        <w:tc>
          <w:tcPr>
            <w:tcW w:w="1427" w:type="dxa"/>
            <w:tcBorders>
              <w:top w:val="nil"/>
              <w:left w:val="nil"/>
              <w:bottom w:val="single" w:sz="4" w:space="0" w:color="auto"/>
              <w:right w:val="single" w:sz="4" w:space="0" w:color="auto"/>
            </w:tcBorders>
            <w:noWrap/>
            <w:vAlign w:val="center"/>
            <w:hideMark/>
          </w:tcPr>
          <w:p w14:paraId="39F79442" w14:textId="77777777" w:rsidR="00FD66A3" w:rsidRPr="000C42E6" w:rsidRDefault="00FD66A3" w:rsidP="0036018C">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16-FEB-2046</w:t>
            </w:r>
          </w:p>
        </w:tc>
        <w:tc>
          <w:tcPr>
            <w:tcW w:w="1276" w:type="dxa"/>
            <w:tcBorders>
              <w:top w:val="nil"/>
              <w:left w:val="nil"/>
              <w:bottom w:val="single" w:sz="4" w:space="0" w:color="auto"/>
              <w:right w:val="single" w:sz="4" w:space="0" w:color="auto"/>
            </w:tcBorders>
            <w:noWrap/>
            <w:vAlign w:val="center"/>
            <w:hideMark/>
          </w:tcPr>
          <w:p w14:paraId="69FF86C2"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TIIEF + 0.53</w:t>
            </w:r>
          </w:p>
        </w:tc>
        <w:tc>
          <w:tcPr>
            <w:tcW w:w="1134" w:type="dxa"/>
            <w:tcBorders>
              <w:top w:val="nil"/>
              <w:left w:val="nil"/>
              <w:bottom w:val="single" w:sz="4" w:space="0" w:color="auto"/>
              <w:right w:val="single" w:sz="4" w:space="0" w:color="auto"/>
            </w:tcBorders>
            <w:vAlign w:val="center"/>
            <w:hideMark/>
          </w:tcPr>
          <w:p w14:paraId="0AE1B811"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3.3698%</w:t>
            </w:r>
          </w:p>
        </w:tc>
      </w:tr>
      <w:tr w:rsidR="00FD66A3" w:rsidRPr="000C42E6" w14:paraId="673FE7AE" w14:textId="77777777" w:rsidTr="00373F79">
        <w:trPr>
          <w:trHeight w:val="156"/>
          <w:jc w:val="center"/>
        </w:trPr>
        <w:tc>
          <w:tcPr>
            <w:tcW w:w="13462" w:type="dxa"/>
            <w:gridSpan w:val="9"/>
            <w:tcBorders>
              <w:top w:val="single" w:sz="4" w:space="0" w:color="auto"/>
              <w:left w:val="single" w:sz="4" w:space="0" w:color="auto"/>
              <w:bottom w:val="single" w:sz="4" w:space="0" w:color="auto"/>
              <w:right w:val="single" w:sz="4" w:space="0" w:color="auto"/>
            </w:tcBorders>
            <w:vAlign w:val="center"/>
          </w:tcPr>
          <w:p w14:paraId="2A85BA11" w14:textId="77777777" w:rsidR="00FD66A3" w:rsidRPr="000C42E6" w:rsidRDefault="00FD66A3" w:rsidP="00764DE5">
            <w:pPr>
              <w:spacing w:after="0" w:line="240" w:lineRule="auto"/>
              <w:jc w:val="center"/>
              <w:rPr>
                <w:rFonts w:ascii="Arial" w:eastAsia="DIN Next LT Pro Condensed" w:hAnsi="Arial" w:cs="Arial"/>
                <w:sz w:val="20"/>
                <w:szCs w:val="20"/>
              </w:rPr>
            </w:pPr>
          </w:p>
        </w:tc>
      </w:tr>
      <w:tr w:rsidR="00FD66A3" w:rsidRPr="000C42E6" w14:paraId="077ED8EC" w14:textId="77777777" w:rsidTr="00B37BEB">
        <w:trPr>
          <w:trHeight w:val="204"/>
          <w:jc w:val="center"/>
        </w:trPr>
        <w:tc>
          <w:tcPr>
            <w:tcW w:w="1555" w:type="dxa"/>
            <w:tcBorders>
              <w:top w:val="nil"/>
              <w:left w:val="single" w:sz="4" w:space="0" w:color="auto"/>
              <w:bottom w:val="single" w:sz="4" w:space="0" w:color="auto"/>
              <w:right w:val="single" w:sz="4" w:space="0" w:color="auto"/>
            </w:tcBorders>
            <w:vAlign w:val="center"/>
            <w:hideMark/>
          </w:tcPr>
          <w:p w14:paraId="19A7DF52" w14:textId="77777777" w:rsidR="00FD66A3" w:rsidRPr="000C42E6" w:rsidRDefault="00FD66A3" w:rsidP="00764DE5">
            <w:pPr>
              <w:spacing w:after="0" w:line="240" w:lineRule="auto"/>
              <w:jc w:val="both"/>
              <w:rPr>
                <w:rFonts w:ascii="Arial" w:eastAsia="DIN Next LT Pro Condensed" w:hAnsi="Arial" w:cs="Arial"/>
                <w:sz w:val="20"/>
                <w:szCs w:val="20"/>
              </w:rPr>
            </w:pPr>
          </w:p>
        </w:tc>
        <w:tc>
          <w:tcPr>
            <w:tcW w:w="1701" w:type="dxa"/>
            <w:tcBorders>
              <w:top w:val="nil"/>
              <w:left w:val="nil"/>
              <w:bottom w:val="single" w:sz="4" w:space="0" w:color="auto"/>
              <w:right w:val="single" w:sz="4" w:space="0" w:color="auto"/>
            </w:tcBorders>
            <w:vAlign w:val="center"/>
            <w:hideMark/>
          </w:tcPr>
          <w:p w14:paraId="582F0FD9" w14:textId="77777777" w:rsidR="00FD66A3" w:rsidRPr="000C42E6" w:rsidRDefault="00FD66A3" w:rsidP="00764DE5">
            <w:pPr>
              <w:spacing w:after="0" w:line="240" w:lineRule="auto"/>
              <w:jc w:val="center"/>
              <w:rPr>
                <w:rFonts w:ascii="Arial" w:eastAsia="DIN Next LT Pro Condensed" w:hAnsi="Arial" w:cs="Arial"/>
                <w:b/>
                <w:bCs/>
                <w:sz w:val="20"/>
                <w:szCs w:val="20"/>
              </w:rPr>
            </w:pPr>
            <w:r w:rsidRPr="000C42E6">
              <w:rPr>
                <w:rFonts w:ascii="Arial" w:eastAsia="DIN Next LT Pro Condensed" w:hAnsi="Arial" w:cs="Arial"/>
                <w:b/>
                <w:bCs/>
                <w:sz w:val="20"/>
                <w:szCs w:val="20"/>
              </w:rPr>
              <w:t>CORTO PLAZO</w:t>
            </w:r>
          </w:p>
        </w:tc>
        <w:tc>
          <w:tcPr>
            <w:tcW w:w="1559" w:type="dxa"/>
            <w:tcBorders>
              <w:top w:val="nil"/>
              <w:left w:val="nil"/>
              <w:bottom w:val="single" w:sz="4" w:space="0" w:color="auto"/>
              <w:right w:val="single" w:sz="4" w:space="0" w:color="auto"/>
            </w:tcBorders>
            <w:noWrap/>
            <w:vAlign w:val="center"/>
            <w:hideMark/>
          </w:tcPr>
          <w:p w14:paraId="207FE77A" w14:textId="77777777" w:rsidR="00FD66A3" w:rsidRPr="000C42E6" w:rsidRDefault="00FD66A3" w:rsidP="00764DE5">
            <w:pPr>
              <w:spacing w:after="0" w:line="240" w:lineRule="auto"/>
              <w:jc w:val="center"/>
              <w:rPr>
                <w:rFonts w:ascii="Arial" w:eastAsia="DIN Next LT Pro Condensed" w:hAnsi="Arial" w:cs="Arial"/>
                <w:b/>
                <w:bCs/>
                <w:sz w:val="20"/>
                <w:szCs w:val="20"/>
              </w:rPr>
            </w:pPr>
            <w:r w:rsidRPr="000C42E6">
              <w:rPr>
                <w:rFonts w:ascii="Arial" w:eastAsia="DIN Next LT Pro Condensed" w:hAnsi="Arial" w:cs="Arial"/>
                <w:b/>
                <w:bCs/>
                <w:sz w:val="20"/>
                <w:szCs w:val="20"/>
              </w:rPr>
              <w:t>SUBTOTALES</w:t>
            </w:r>
          </w:p>
        </w:tc>
        <w:tc>
          <w:tcPr>
            <w:tcW w:w="1701" w:type="dxa"/>
            <w:tcBorders>
              <w:top w:val="nil"/>
              <w:left w:val="nil"/>
              <w:bottom w:val="single" w:sz="4" w:space="0" w:color="auto"/>
              <w:right w:val="single" w:sz="4" w:space="0" w:color="auto"/>
            </w:tcBorders>
            <w:vAlign w:val="center"/>
            <w:hideMark/>
          </w:tcPr>
          <w:p w14:paraId="65DFFF85" w14:textId="77777777" w:rsidR="00FD66A3" w:rsidRPr="000C42E6" w:rsidRDefault="00FD66A3" w:rsidP="00764DE5">
            <w:pPr>
              <w:spacing w:after="0" w:line="240" w:lineRule="auto"/>
              <w:jc w:val="right"/>
              <w:rPr>
                <w:rFonts w:ascii="Arial" w:eastAsia="DIN Next LT Pro Condensed" w:hAnsi="Arial" w:cs="Arial"/>
                <w:b/>
                <w:bCs/>
                <w:sz w:val="20"/>
                <w:szCs w:val="20"/>
              </w:rPr>
            </w:pPr>
            <w:r w:rsidRPr="000C42E6">
              <w:rPr>
                <w:rFonts w:ascii="Arial" w:eastAsia="DIN Next LT Pro Condensed" w:hAnsi="Arial" w:cs="Arial"/>
                <w:b/>
                <w:bCs/>
                <w:sz w:val="20"/>
                <w:szCs w:val="20"/>
              </w:rPr>
              <w:t xml:space="preserve">    500,000,000</w:t>
            </w:r>
          </w:p>
        </w:tc>
        <w:tc>
          <w:tcPr>
            <w:tcW w:w="1559" w:type="dxa"/>
            <w:tcBorders>
              <w:top w:val="nil"/>
              <w:left w:val="nil"/>
              <w:bottom w:val="single" w:sz="4" w:space="0" w:color="auto"/>
              <w:right w:val="single" w:sz="4" w:space="0" w:color="auto"/>
            </w:tcBorders>
            <w:vAlign w:val="center"/>
            <w:hideMark/>
          </w:tcPr>
          <w:p w14:paraId="5D5A871A"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 xml:space="preserve">   </w:t>
            </w:r>
            <w:r w:rsidRPr="000C42E6">
              <w:rPr>
                <w:rFonts w:ascii="Arial" w:eastAsia="DIN Next LT Pro Condensed" w:hAnsi="Arial" w:cs="Arial"/>
                <w:b/>
                <w:bCs/>
                <w:sz w:val="20"/>
                <w:szCs w:val="20"/>
              </w:rPr>
              <w:t>500,000,000</w:t>
            </w:r>
            <w:r w:rsidRPr="000C42E6">
              <w:rPr>
                <w:rFonts w:ascii="Arial" w:eastAsia="DIN Next LT Pro Condensed" w:hAnsi="Arial" w:cs="Arial"/>
                <w:sz w:val="20"/>
                <w:szCs w:val="20"/>
              </w:rPr>
              <w:t xml:space="preserve">   </w:t>
            </w:r>
          </w:p>
        </w:tc>
        <w:tc>
          <w:tcPr>
            <w:tcW w:w="1550" w:type="dxa"/>
            <w:tcBorders>
              <w:top w:val="nil"/>
              <w:left w:val="nil"/>
              <w:bottom w:val="single" w:sz="4" w:space="0" w:color="auto"/>
              <w:right w:val="single" w:sz="4" w:space="0" w:color="auto"/>
            </w:tcBorders>
            <w:vAlign w:val="center"/>
          </w:tcPr>
          <w:p w14:paraId="74FDDEF6"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 xml:space="preserve">   </w:t>
            </w:r>
            <w:r w:rsidRPr="000C42E6">
              <w:rPr>
                <w:rFonts w:ascii="Arial" w:eastAsia="DIN Next LT Pro Condensed" w:hAnsi="Arial" w:cs="Arial"/>
                <w:b/>
                <w:bCs/>
                <w:sz w:val="20"/>
                <w:szCs w:val="20"/>
              </w:rPr>
              <w:t>332,500,000</w:t>
            </w:r>
            <w:r w:rsidRPr="000C42E6">
              <w:rPr>
                <w:rFonts w:ascii="Arial" w:eastAsia="DIN Next LT Pro Condensed" w:hAnsi="Arial" w:cs="Arial"/>
                <w:sz w:val="20"/>
                <w:szCs w:val="20"/>
              </w:rPr>
              <w:t xml:space="preserve">   </w:t>
            </w:r>
          </w:p>
        </w:tc>
        <w:tc>
          <w:tcPr>
            <w:tcW w:w="1427" w:type="dxa"/>
            <w:tcBorders>
              <w:top w:val="nil"/>
              <w:left w:val="nil"/>
              <w:bottom w:val="single" w:sz="4" w:space="0" w:color="auto"/>
              <w:right w:val="single" w:sz="4" w:space="0" w:color="auto"/>
            </w:tcBorders>
            <w:noWrap/>
            <w:vAlign w:val="center"/>
            <w:hideMark/>
          </w:tcPr>
          <w:p w14:paraId="4A5F807F" w14:textId="77777777" w:rsidR="00FD66A3" w:rsidRPr="000C42E6" w:rsidRDefault="00FD66A3" w:rsidP="00764DE5">
            <w:pPr>
              <w:spacing w:after="0" w:line="240" w:lineRule="auto"/>
              <w:jc w:val="both"/>
              <w:rPr>
                <w:rFonts w:ascii="Arial" w:eastAsia="DIN Next LT Pro Condensed" w:hAnsi="Arial" w:cs="Arial"/>
                <w:sz w:val="20"/>
                <w:szCs w:val="20"/>
              </w:rPr>
            </w:pPr>
          </w:p>
        </w:tc>
        <w:tc>
          <w:tcPr>
            <w:tcW w:w="1276" w:type="dxa"/>
            <w:tcBorders>
              <w:top w:val="nil"/>
              <w:left w:val="nil"/>
              <w:bottom w:val="single" w:sz="4" w:space="0" w:color="auto"/>
              <w:right w:val="single" w:sz="4" w:space="0" w:color="auto"/>
            </w:tcBorders>
            <w:noWrap/>
            <w:vAlign w:val="center"/>
            <w:hideMark/>
          </w:tcPr>
          <w:p w14:paraId="4CD16F2A" w14:textId="77777777" w:rsidR="00FD66A3" w:rsidRPr="000C42E6" w:rsidRDefault="00FD66A3" w:rsidP="00764DE5">
            <w:pPr>
              <w:spacing w:after="0" w:line="240" w:lineRule="auto"/>
              <w:jc w:val="center"/>
              <w:rPr>
                <w:rFonts w:ascii="Arial" w:eastAsia="DIN Next LT Pro Condensed" w:hAnsi="Arial" w:cs="Arial"/>
                <w:sz w:val="20"/>
                <w:szCs w:val="20"/>
              </w:rPr>
            </w:pPr>
          </w:p>
        </w:tc>
        <w:tc>
          <w:tcPr>
            <w:tcW w:w="1134" w:type="dxa"/>
            <w:tcBorders>
              <w:top w:val="nil"/>
              <w:left w:val="nil"/>
              <w:bottom w:val="single" w:sz="4" w:space="0" w:color="auto"/>
              <w:right w:val="single" w:sz="4" w:space="0" w:color="auto"/>
            </w:tcBorders>
            <w:vAlign w:val="center"/>
            <w:hideMark/>
          </w:tcPr>
          <w:p w14:paraId="19A26EBC" w14:textId="77777777" w:rsidR="00FD66A3" w:rsidRPr="000C42E6" w:rsidRDefault="00FD66A3" w:rsidP="00764DE5">
            <w:pPr>
              <w:spacing w:after="0" w:line="240" w:lineRule="auto"/>
              <w:jc w:val="center"/>
              <w:rPr>
                <w:rFonts w:ascii="Arial" w:eastAsia="DIN Next LT Pro Condensed" w:hAnsi="Arial" w:cs="Arial"/>
                <w:sz w:val="20"/>
                <w:szCs w:val="20"/>
              </w:rPr>
            </w:pPr>
          </w:p>
        </w:tc>
      </w:tr>
      <w:tr w:rsidR="00FD66A3" w:rsidRPr="000C42E6" w14:paraId="171D593D" w14:textId="77777777" w:rsidTr="00B37BEB">
        <w:trPr>
          <w:trHeight w:val="675"/>
          <w:jc w:val="center"/>
        </w:trPr>
        <w:tc>
          <w:tcPr>
            <w:tcW w:w="1555" w:type="dxa"/>
            <w:tcBorders>
              <w:top w:val="nil"/>
              <w:left w:val="single" w:sz="4" w:space="0" w:color="auto"/>
              <w:bottom w:val="single" w:sz="4" w:space="0" w:color="auto"/>
              <w:right w:val="single" w:sz="4" w:space="0" w:color="auto"/>
            </w:tcBorders>
            <w:vAlign w:val="center"/>
            <w:hideMark/>
          </w:tcPr>
          <w:p w14:paraId="2854992C" w14:textId="77777777" w:rsidR="00FD66A3" w:rsidRPr="000C42E6" w:rsidRDefault="00FD66A3" w:rsidP="00764DE5">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SANTANDER</w:t>
            </w:r>
          </w:p>
        </w:tc>
        <w:tc>
          <w:tcPr>
            <w:tcW w:w="1701" w:type="dxa"/>
            <w:tcBorders>
              <w:top w:val="nil"/>
              <w:left w:val="nil"/>
              <w:bottom w:val="single" w:sz="4" w:space="0" w:color="auto"/>
              <w:right w:val="single" w:sz="4" w:space="0" w:color="auto"/>
            </w:tcBorders>
            <w:vAlign w:val="center"/>
            <w:hideMark/>
          </w:tcPr>
          <w:p w14:paraId="5084F2BE"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RECURSOS PROPIOS</w:t>
            </w:r>
          </w:p>
        </w:tc>
        <w:tc>
          <w:tcPr>
            <w:tcW w:w="1559" w:type="dxa"/>
            <w:tcBorders>
              <w:top w:val="nil"/>
              <w:left w:val="nil"/>
              <w:bottom w:val="single" w:sz="4" w:space="0" w:color="auto"/>
              <w:right w:val="single" w:sz="4" w:space="0" w:color="auto"/>
            </w:tcBorders>
            <w:noWrap/>
            <w:vAlign w:val="center"/>
            <w:hideMark/>
          </w:tcPr>
          <w:p w14:paraId="176140FC"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03-JUL-2025</w:t>
            </w:r>
          </w:p>
        </w:tc>
        <w:tc>
          <w:tcPr>
            <w:tcW w:w="1701" w:type="dxa"/>
            <w:tcBorders>
              <w:top w:val="nil"/>
              <w:left w:val="nil"/>
              <w:bottom w:val="single" w:sz="4" w:space="0" w:color="auto"/>
              <w:right w:val="single" w:sz="4" w:space="0" w:color="auto"/>
            </w:tcBorders>
            <w:vAlign w:val="center"/>
            <w:hideMark/>
          </w:tcPr>
          <w:p w14:paraId="0906D4D9"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500,000,000</w:t>
            </w:r>
          </w:p>
        </w:tc>
        <w:tc>
          <w:tcPr>
            <w:tcW w:w="1559" w:type="dxa"/>
            <w:tcBorders>
              <w:top w:val="nil"/>
              <w:left w:val="nil"/>
              <w:bottom w:val="single" w:sz="4" w:space="0" w:color="auto"/>
              <w:right w:val="single" w:sz="4" w:space="0" w:color="auto"/>
            </w:tcBorders>
            <w:vAlign w:val="center"/>
            <w:hideMark/>
          </w:tcPr>
          <w:p w14:paraId="66203F61"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500,000,000</w:t>
            </w:r>
          </w:p>
        </w:tc>
        <w:tc>
          <w:tcPr>
            <w:tcW w:w="1550" w:type="dxa"/>
            <w:tcBorders>
              <w:top w:val="nil"/>
              <w:left w:val="nil"/>
              <w:bottom w:val="single" w:sz="4" w:space="0" w:color="auto"/>
              <w:right w:val="single" w:sz="4" w:space="0" w:color="auto"/>
            </w:tcBorders>
            <w:vAlign w:val="center"/>
          </w:tcPr>
          <w:p w14:paraId="7E2C4F11" w14:textId="77777777" w:rsidR="00FD66A3" w:rsidRPr="000C42E6" w:rsidRDefault="00FD66A3" w:rsidP="00764DE5">
            <w:pPr>
              <w:spacing w:after="0" w:line="240" w:lineRule="auto"/>
              <w:jc w:val="right"/>
              <w:rPr>
                <w:rFonts w:ascii="Arial" w:eastAsia="DIN Next LT Pro Condensed" w:hAnsi="Arial" w:cs="Arial"/>
                <w:sz w:val="20"/>
                <w:szCs w:val="20"/>
              </w:rPr>
            </w:pPr>
            <w:r w:rsidRPr="000C42E6">
              <w:rPr>
                <w:rFonts w:ascii="Arial" w:eastAsia="DIN Next LT Pro Condensed" w:hAnsi="Arial" w:cs="Arial"/>
                <w:sz w:val="20"/>
                <w:szCs w:val="20"/>
              </w:rPr>
              <w:t>332,500,000</w:t>
            </w:r>
          </w:p>
        </w:tc>
        <w:tc>
          <w:tcPr>
            <w:tcW w:w="1427" w:type="dxa"/>
            <w:tcBorders>
              <w:top w:val="nil"/>
              <w:left w:val="nil"/>
              <w:bottom w:val="single" w:sz="4" w:space="0" w:color="auto"/>
              <w:right w:val="single" w:sz="4" w:space="0" w:color="auto"/>
            </w:tcBorders>
            <w:noWrap/>
            <w:vAlign w:val="center"/>
            <w:hideMark/>
          </w:tcPr>
          <w:p w14:paraId="04E22F6C" w14:textId="1D98C208" w:rsidR="00FD66A3" w:rsidRPr="000C42E6" w:rsidRDefault="00FD66A3" w:rsidP="0036018C">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25-JUN-2026</w:t>
            </w:r>
          </w:p>
        </w:tc>
        <w:tc>
          <w:tcPr>
            <w:tcW w:w="1276" w:type="dxa"/>
            <w:tcBorders>
              <w:top w:val="nil"/>
              <w:left w:val="nil"/>
              <w:bottom w:val="single" w:sz="4" w:space="0" w:color="auto"/>
              <w:right w:val="single" w:sz="4" w:space="0" w:color="auto"/>
            </w:tcBorders>
            <w:noWrap/>
            <w:vAlign w:val="center"/>
            <w:hideMark/>
          </w:tcPr>
          <w:p w14:paraId="7441F99B" w14:textId="03D9769D" w:rsidR="00FD66A3" w:rsidRPr="000C42E6" w:rsidRDefault="00FD66A3" w:rsidP="0036018C">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 xml:space="preserve">TIIEF Compuesta por adelantado 28 días </w:t>
            </w:r>
            <w:r w:rsidR="0036018C">
              <w:rPr>
                <w:rFonts w:ascii="Arial" w:eastAsia="DIN Next LT Pro Condensed" w:hAnsi="Arial" w:cs="Arial"/>
                <w:sz w:val="20"/>
                <w:szCs w:val="20"/>
              </w:rPr>
              <w:t>+</w:t>
            </w:r>
            <w:r w:rsidRPr="000C42E6">
              <w:rPr>
                <w:rFonts w:ascii="Arial" w:eastAsia="DIN Next LT Pro Condensed" w:hAnsi="Arial" w:cs="Arial"/>
                <w:sz w:val="20"/>
                <w:szCs w:val="20"/>
              </w:rPr>
              <w:t xml:space="preserve"> 0.18</w:t>
            </w:r>
          </w:p>
        </w:tc>
        <w:tc>
          <w:tcPr>
            <w:tcW w:w="1134" w:type="dxa"/>
            <w:tcBorders>
              <w:top w:val="nil"/>
              <w:left w:val="nil"/>
              <w:bottom w:val="single" w:sz="4" w:space="0" w:color="auto"/>
              <w:right w:val="single" w:sz="4" w:space="0" w:color="auto"/>
            </w:tcBorders>
            <w:vAlign w:val="center"/>
            <w:hideMark/>
          </w:tcPr>
          <w:p w14:paraId="22119211" w14:textId="77777777" w:rsidR="00FD66A3" w:rsidRPr="000C42E6" w:rsidRDefault="00FD66A3" w:rsidP="00764DE5">
            <w:pPr>
              <w:spacing w:after="0" w:line="240" w:lineRule="auto"/>
              <w:jc w:val="center"/>
              <w:rPr>
                <w:rFonts w:ascii="Arial" w:eastAsia="DIN Next LT Pro Condensed" w:hAnsi="Arial" w:cs="Arial"/>
                <w:sz w:val="20"/>
                <w:szCs w:val="20"/>
              </w:rPr>
            </w:pPr>
            <w:r w:rsidRPr="000C42E6">
              <w:rPr>
                <w:rFonts w:ascii="Arial" w:eastAsia="DIN Next LT Pro Condensed" w:hAnsi="Arial" w:cs="Arial"/>
                <w:sz w:val="20"/>
                <w:szCs w:val="20"/>
              </w:rPr>
              <w:t>NINGUNO</w:t>
            </w:r>
          </w:p>
        </w:tc>
      </w:tr>
    </w:tbl>
    <w:p w14:paraId="5BF54270" w14:textId="77777777" w:rsidR="00FD66A3" w:rsidRPr="000C42E6" w:rsidRDefault="00FD66A3" w:rsidP="00FD66A3">
      <w:pPr>
        <w:spacing w:after="0" w:line="240" w:lineRule="auto"/>
        <w:jc w:val="both"/>
        <w:rPr>
          <w:rFonts w:ascii="Arial" w:eastAsia="DIN Next LT Pro Condensed" w:hAnsi="Arial" w:cs="Arial"/>
          <w:b/>
          <w:bCs/>
          <w:sz w:val="20"/>
          <w:szCs w:val="20"/>
        </w:rPr>
      </w:pPr>
    </w:p>
    <w:p w14:paraId="6B02B540" w14:textId="77777777" w:rsidR="00FD66A3" w:rsidRPr="000C42E6" w:rsidRDefault="00FD66A3" w:rsidP="00FD66A3">
      <w:pPr>
        <w:spacing w:after="0" w:line="240" w:lineRule="auto"/>
        <w:jc w:val="both"/>
        <w:rPr>
          <w:rFonts w:ascii="Arial" w:eastAsia="DIN Next LT Pro Condensed" w:hAnsi="Arial" w:cs="Arial"/>
          <w:sz w:val="20"/>
          <w:szCs w:val="20"/>
          <w:lang w:val="es-ES_tradnl"/>
        </w:rPr>
      </w:pPr>
      <w:r w:rsidRPr="000C42E6">
        <w:rPr>
          <w:rFonts w:ascii="Arial" w:eastAsia="DIN Next LT Pro Condensed" w:hAnsi="Arial" w:cs="Arial"/>
          <w:sz w:val="20"/>
          <w:szCs w:val="20"/>
          <w:lang w:val="es-ES_tradnl"/>
        </w:rPr>
        <w:t>Fuente: Dirección de Tesorería de la Secretaría de Administración y Finanzas, así como los contratos de apertura de crédito simple firmados el 22-SEP.2025 con Banamex, Banorte y Banobras.</w:t>
      </w:r>
    </w:p>
    <w:p w14:paraId="0F282527" w14:textId="0F822CE4" w:rsidR="00FD66A3" w:rsidRPr="000C42E6" w:rsidRDefault="000B63A4" w:rsidP="00FD66A3">
      <w:pPr>
        <w:spacing w:after="0" w:line="240" w:lineRule="auto"/>
        <w:jc w:val="both"/>
        <w:rPr>
          <w:rFonts w:ascii="Arial" w:eastAsia="DIN Next LT Pro Condensed" w:hAnsi="Arial" w:cs="Arial"/>
          <w:b/>
          <w:sz w:val="20"/>
          <w:szCs w:val="20"/>
        </w:rPr>
      </w:pPr>
      <w:r w:rsidRPr="000C42E6">
        <w:rPr>
          <w:rFonts w:ascii="Arial" w:eastAsia="Times New Roman" w:hAnsi="Arial" w:cs="Arial"/>
          <w:color w:val="000000"/>
          <w:sz w:val="20"/>
          <w:szCs w:val="20"/>
          <w:lang w:eastAsia="es-MX"/>
        </w:rPr>
        <w:lastRenderedPageBreak/>
        <w:t xml:space="preserve"> </w:t>
      </w:r>
      <w:r w:rsidR="00FD66A3" w:rsidRPr="000C42E6">
        <w:rPr>
          <w:rFonts w:ascii="Arial" w:eastAsia="DIN Next LT Pro Condensed" w:hAnsi="Arial" w:cs="Arial"/>
          <w:b/>
          <w:sz w:val="20"/>
          <w:szCs w:val="20"/>
        </w:rPr>
        <w:t>11. Calificaciones Otorgadas</w:t>
      </w:r>
      <w:r w:rsidR="00FD66A3" w:rsidRPr="000C42E6">
        <w:rPr>
          <w:rFonts w:ascii="Arial" w:eastAsia="DIN Next LT Pro Condensed" w:hAnsi="Arial" w:cs="Arial"/>
          <w:b/>
          <w:sz w:val="20"/>
          <w:szCs w:val="20"/>
        </w:rPr>
        <w:tab/>
      </w:r>
    </w:p>
    <w:p w14:paraId="122609AF" w14:textId="77777777" w:rsidR="00FD66A3" w:rsidRPr="000C42E6" w:rsidRDefault="00FD66A3" w:rsidP="00FD66A3">
      <w:pPr>
        <w:spacing w:after="0" w:line="240" w:lineRule="auto"/>
        <w:jc w:val="both"/>
        <w:rPr>
          <w:rFonts w:ascii="Arial" w:eastAsia="DIN Next LT Pro Condensed" w:hAnsi="Arial" w:cs="Arial"/>
          <w:sz w:val="20"/>
          <w:szCs w:val="20"/>
        </w:rPr>
      </w:pPr>
    </w:p>
    <w:p w14:paraId="1486A471" w14:textId="77777777" w:rsidR="00F1637D" w:rsidRPr="00F1637D" w:rsidRDefault="00F1637D" w:rsidP="00F1637D">
      <w:pPr>
        <w:spacing w:after="0" w:line="240" w:lineRule="auto"/>
        <w:jc w:val="both"/>
        <w:rPr>
          <w:rFonts w:ascii="Arial" w:eastAsia="DIN Next LT Pro Condensed" w:hAnsi="Arial" w:cs="Arial"/>
          <w:sz w:val="20"/>
          <w:szCs w:val="20"/>
        </w:rPr>
      </w:pPr>
      <w:r w:rsidRPr="00F1637D">
        <w:rPr>
          <w:rFonts w:ascii="Arial" w:eastAsia="DIN Next LT Pro Condensed" w:hAnsi="Arial" w:cs="Arial"/>
          <w:sz w:val="20"/>
          <w:szCs w:val="20"/>
        </w:rPr>
        <w:t xml:space="preserve">El perfil crediticio del Estado de Tabasco es evaluado periódica y minuciosamente. Las calificaciones más recientes, visibles en Internet, son:   </w:t>
      </w:r>
    </w:p>
    <w:p w14:paraId="3D879606" w14:textId="77777777" w:rsidR="00F1637D" w:rsidRPr="00F1637D" w:rsidRDefault="00F1637D" w:rsidP="00F1637D">
      <w:pPr>
        <w:spacing w:after="0" w:line="240" w:lineRule="auto"/>
        <w:jc w:val="both"/>
        <w:rPr>
          <w:rFonts w:ascii="Arial" w:eastAsia="DIN Next LT Pro Condensed" w:hAnsi="Arial" w:cs="Arial"/>
          <w:sz w:val="20"/>
          <w:szCs w:val="20"/>
        </w:rPr>
      </w:pPr>
    </w:p>
    <w:p w14:paraId="15933661" w14:textId="77777777" w:rsidR="00F1637D" w:rsidRPr="00F1637D" w:rsidRDefault="00F1637D" w:rsidP="00F1637D">
      <w:pPr>
        <w:autoSpaceDE w:val="0"/>
        <w:autoSpaceDN w:val="0"/>
        <w:adjustRightInd w:val="0"/>
        <w:spacing w:after="0" w:line="240" w:lineRule="auto"/>
        <w:jc w:val="both"/>
        <w:rPr>
          <w:rFonts w:ascii="Arial" w:hAnsi="Arial" w:cs="Arial"/>
          <w:b/>
          <w:bCs/>
          <w:color w:val="0D1E3C"/>
          <w:sz w:val="20"/>
          <w:szCs w:val="20"/>
        </w:rPr>
      </w:pPr>
      <w:r w:rsidRPr="00F1637D">
        <w:rPr>
          <w:rFonts w:ascii="Arial" w:hAnsi="Arial" w:cs="Arial"/>
          <w:sz w:val="20"/>
          <w:szCs w:val="20"/>
        </w:rPr>
        <w:t xml:space="preserve">El 28/04/2025 </w:t>
      </w:r>
      <w:r w:rsidRPr="00F1637D">
        <w:rPr>
          <w:rFonts w:ascii="Arial" w:hAnsi="Arial" w:cs="Arial"/>
          <w:b/>
          <w:i/>
          <w:sz w:val="20"/>
          <w:szCs w:val="20"/>
        </w:rPr>
        <w:t xml:space="preserve"> </w:t>
      </w:r>
      <w:r w:rsidRPr="00F1637D">
        <w:rPr>
          <w:rFonts w:ascii="Arial" w:hAnsi="Arial" w:cs="Arial"/>
          <w:b/>
          <w:bCs/>
          <w:color w:val="0D1E3C"/>
          <w:sz w:val="20"/>
          <w:szCs w:val="20"/>
        </w:rPr>
        <w:t>HR Ratings revisó al alza la calificación de HR A+ a HR AA- y modificó la Perspectiva de Positiva a Estable para el Estado de Tabasco.</w:t>
      </w:r>
    </w:p>
    <w:p w14:paraId="4B99E4AE" w14:textId="77777777" w:rsidR="00F1637D" w:rsidRPr="00F1637D" w:rsidRDefault="00F1637D" w:rsidP="00F1637D">
      <w:pPr>
        <w:autoSpaceDE w:val="0"/>
        <w:autoSpaceDN w:val="0"/>
        <w:adjustRightInd w:val="0"/>
        <w:spacing w:after="0" w:line="240" w:lineRule="auto"/>
        <w:jc w:val="both"/>
        <w:rPr>
          <w:rFonts w:ascii="Arial" w:hAnsi="Arial" w:cs="Arial"/>
          <w:b/>
          <w:bCs/>
          <w:color w:val="0D1E3C"/>
          <w:sz w:val="20"/>
          <w:szCs w:val="20"/>
        </w:rPr>
      </w:pPr>
      <w:r w:rsidRPr="00F1637D">
        <w:rPr>
          <w:rFonts w:ascii="Arial" w:hAnsi="Arial" w:cs="Arial"/>
          <w:sz w:val="20"/>
          <w:szCs w:val="20"/>
        </w:rPr>
        <w:t xml:space="preserve">El 15 de diciembre de 2025 </w:t>
      </w:r>
      <w:r w:rsidRPr="00F1637D">
        <w:rPr>
          <w:rFonts w:ascii="Arial" w:hAnsi="Arial" w:cs="Arial"/>
          <w:b/>
          <w:bCs/>
          <w:color w:val="0D1E3C"/>
          <w:sz w:val="20"/>
          <w:szCs w:val="20"/>
        </w:rPr>
        <w:t>HR Ratings asignó la calificación de HR AAA (E) con Perspectiva Estable para tres créditos bancarios estructurados, contratados por el Estado de Tabasco con Banobras, Banamex y Banorte</w:t>
      </w:r>
    </w:p>
    <w:p w14:paraId="69E6BEF3" w14:textId="77777777" w:rsidR="00F1637D" w:rsidRPr="00F1637D" w:rsidRDefault="00F1637D" w:rsidP="00F1637D">
      <w:pPr>
        <w:autoSpaceDE w:val="0"/>
        <w:autoSpaceDN w:val="0"/>
        <w:adjustRightInd w:val="0"/>
        <w:spacing w:after="0" w:line="240" w:lineRule="auto"/>
        <w:jc w:val="both"/>
        <w:rPr>
          <w:rFonts w:ascii="Arial" w:hAnsi="Arial" w:cs="Arial"/>
          <w:color w:val="000000"/>
          <w:sz w:val="20"/>
          <w:szCs w:val="20"/>
        </w:rPr>
      </w:pPr>
      <w:r w:rsidRPr="00F1637D">
        <w:rPr>
          <w:rFonts w:ascii="Arial" w:hAnsi="Arial" w:cs="Arial"/>
          <w:color w:val="000000"/>
          <w:sz w:val="20"/>
          <w:szCs w:val="20"/>
        </w:rPr>
        <w:t>La asignación de la calificación para los tres Créditos Bancarios Estructurados (</w:t>
      </w:r>
      <w:proofErr w:type="spellStart"/>
      <w:r w:rsidRPr="00F1637D">
        <w:rPr>
          <w:rFonts w:ascii="Arial" w:hAnsi="Arial" w:cs="Arial"/>
          <w:color w:val="000000"/>
          <w:sz w:val="20"/>
          <w:szCs w:val="20"/>
        </w:rPr>
        <w:t>CBEs</w:t>
      </w:r>
      <w:proofErr w:type="spellEnd"/>
      <w:r w:rsidRPr="00F1637D">
        <w:rPr>
          <w:rFonts w:ascii="Arial" w:hAnsi="Arial" w:cs="Arial"/>
          <w:color w:val="000000"/>
          <w:sz w:val="20"/>
          <w:szCs w:val="20"/>
        </w:rPr>
        <w:t>) contratados en 2025 por el Estado de Tabasco (Tabasco y/o el Estado) es resultado del nivel de la Tasa Objetivo de Estrés (TOE) que obtuvo cada financiamiento:</w:t>
      </w:r>
    </w:p>
    <w:p w14:paraId="54386504" w14:textId="77777777" w:rsidR="00F1637D" w:rsidRPr="00F1637D" w:rsidRDefault="00F1637D" w:rsidP="00F1637D">
      <w:pPr>
        <w:autoSpaceDE w:val="0"/>
        <w:autoSpaceDN w:val="0"/>
        <w:adjustRightInd w:val="0"/>
        <w:spacing w:after="0" w:line="240" w:lineRule="auto"/>
        <w:jc w:val="both"/>
        <w:rPr>
          <w:rFonts w:ascii="Arial" w:hAnsi="Arial" w:cs="Arial"/>
          <w:color w:val="000000"/>
          <w:sz w:val="20"/>
          <w:szCs w:val="20"/>
        </w:rPr>
      </w:pPr>
      <w:r w:rsidRPr="00F1637D">
        <w:rPr>
          <w:rFonts w:ascii="Arial" w:hAnsi="Arial" w:cs="Arial"/>
          <w:color w:val="000000"/>
          <w:sz w:val="20"/>
          <w:szCs w:val="20"/>
        </w:rPr>
        <w:t>1. Banobras por P$1,415.8millones (m), contratado en 2025, con una TOE de 84.2%, equivalente a una calificación de HR AAA (E) con Perspectiva Estable.</w:t>
      </w:r>
    </w:p>
    <w:p w14:paraId="12882425" w14:textId="77777777" w:rsidR="00F1637D" w:rsidRPr="00F1637D" w:rsidRDefault="00F1637D" w:rsidP="00F1637D">
      <w:pPr>
        <w:autoSpaceDE w:val="0"/>
        <w:autoSpaceDN w:val="0"/>
        <w:adjustRightInd w:val="0"/>
        <w:spacing w:after="0" w:line="240" w:lineRule="auto"/>
        <w:jc w:val="both"/>
        <w:rPr>
          <w:rFonts w:ascii="Arial" w:hAnsi="Arial" w:cs="Arial"/>
          <w:color w:val="000000"/>
          <w:sz w:val="20"/>
          <w:szCs w:val="20"/>
        </w:rPr>
      </w:pPr>
      <w:r w:rsidRPr="00F1637D">
        <w:rPr>
          <w:rFonts w:ascii="Arial" w:hAnsi="Arial" w:cs="Arial"/>
          <w:color w:val="000000"/>
          <w:sz w:val="20"/>
          <w:szCs w:val="20"/>
        </w:rPr>
        <w:t>2. Banamex por P$1,870.0m, contratado en 2025, con una TOE de 83.6%, equivalente a una calificación de HR AAA (E) con Perspectiva Estable.</w:t>
      </w:r>
    </w:p>
    <w:p w14:paraId="0BDF632E" w14:textId="77777777" w:rsidR="00F1637D" w:rsidRPr="00F1637D" w:rsidRDefault="00F1637D" w:rsidP="00F1637D">
      <w:pPr>
        <w:jc w:val="both"/>
        <w:rPr>
          <w:rFonts w:ascii="Arial" w:hAnsi="Arial" w:cs="Arial"/>
          <w:sz w:val="20"/>
          <w:szCs w:val="20"/>
        </w:rPr>
      </w:pPr>
      <w:r w:rsidRPr="00F1637D">
        <w:rPr>
          <w:rFonts w:ascii="Arial" w:hAnsi="Arial" w:cs="Arial"/>
          <w:color w:val="000000"/>
          <w:sz w:val="20"/>
          <w:szCs w:val="20"/>
        </w:rPr>
        <w:t>3. Banorte P$1,400.0m, contratado en 2025, con una TOE de 83.3%, equivalente a una calificación de HR AAA (E) con Perspectiva Estable.</w:t>
      </w:r>
      <w:r w:rsidRPr="00F1637D">
        <w:rPr>
          <w:rFonts w:ascii="Arial" w:hAnsi="Arial" w:cs="Arial"/>
          <w:b/>
          <w:bCs/>
          <w:color w:val="FFFFFF"/>
          <w:sz w:val="20"/>
          <w:szCs w:val="20"/>
        </w:rPr>
        <w:t>HR</w:t>
      </w:r>
    </w:p>
    <w:p w14:paraId="7668E8A8" w14:textId="77777777" w:rsidR="00F1637D" w:rsidRPr="00F1637D" w:rsidRDefault="00F1637D" w:rsidP="00F1637D">
      <w:pPr>
        <w:jc w:val="both"/>
        <w:rPr>
          <w:rFonts w:ascii="Arial" w:hAnsi="Arial" w:cs="Arial"/>
          <w:sz w:val="20"/>
          <w:szCs w:val="20"/>
        </w:rPr>
      </w:pPr>
      <w:r w:rsidRPr="00F1637D">
        <w:rPr>
          <w:rFonts w:ascii="Arial" w:hAnsi="Arial" w:cs="Arial"/>
          <w:sz w:val="20"/>
          <w:szCs w:val="20"/>
        </w:rPr>
        <w:t xml:space="preserve">El 17 de diciembre de 2025 </w:t>
      </w:r>
      <w:proofErr w:type="spellStart"/>
      <w:r w:rsidRPr="00F1637D">
        <w:rPr>
          <w:rFonts w:ascii="Arial" w:hAnsi="Arial" w:cs="Arial"/>
          <w:b/>
          <w:sz w:val="20"/>
          <w:szCs w:val="20"/>
        </w:rPr>
        <w:t>Moody’s</w:t>
      </w:r>
      <w:proofErr w:type="spellEnd"/>
      <w:r w:rsidRPr="00F1637D">
        <w:rPr>
          <w:rFonts w:ascii="Arial" w:hAnsi="Arial" w:cs="Arial"/>
          <w:b/>
          <w:sz w:val="20"/>
          <w:szCs w:val="20"/>
        </w:rPr>
        <w:t xml:space="preserve"> Local MX S.A. de C.V., I.C.V. ("</w:t>
      </w:r>
      <w:proofErr w:type="spellStart"/>
      <w:r w:rsidRPr="00F1637D">
        <w:rPr>
          <w:rFonts w:ascii="Arial" w:hAnsi="Arial" w:cs="Arial"/>
          <w:b/>
          <w:sz w:val="20"/>
          <w:szCs w:val="20"/>
        </w:rPr>
        <w:t>Moody´s</w:t>
      </w:r>
      <w:proofErr w:type="spellEnd"/>
      <w:r w:rsidRPr="00F1637D">
        <w:rPr>
          <w:rFonts w:ascii="Arial" w:hAnsi="Arial" w:cs="Arial"/>
          <w:b/>
          <w:sz w:val="20"/>
          <w:szCs w:val="20"/>
        </w:rPr>
        <w:t xml:space="preserve"> Local México”) </w:t>
      </w:r>
      <w:r w:rsidRPr="00F1637D">
        <w:rPr>
          <w:rFonts w:ascii="Arial" w:hAnsi="Arial" w:cs="Arial"/>
          <w:sz w:val="20"/>
          <w:szCs w:val="20"/>
        </w:rPr>
        <w:t xml:space="preserve">actualizó la calificación pública del Estado de Tabasco, de cuyo resumen se transcribe parcialmente el primer párrafo: “El </w:t>
      </w:r>
      <w:r w:rsidRPr="00F1637D">
        <w:rPr>
          <w:rFonts w:ascii="Arial" w:hAnsi="Arial" w:cs="Arial"/>
          <w:color w:val="002E80"/>
          <w:sz w:val="20"/>
          <w:szCs w:val="20"/>
        </w:rPr>
        <w:t xml:space="preserve">14 de julio </w:t>
      </w:r>
      <w:r w:rsidRPr="00F1637D">
        <w:rPr>
          <w:rFonts w:ascii="Arial" w:hAnsi="Arial" w:cs="Arial"/>
          <w:sz w:val="20"/>
          <w:szCs w:val="20"/>
        </w:rPr>
        <w:t xml:space="preserve">afirmamos la calificación de emisor de largo plazo en moneda local del Estado de Tabasco en A-.mx y mantuvimos la perspectiva estable, y el </w:t>
      </w:r>
      <w:r w:rsidRPr="00F1637D">
        <w:rPr>
          <w:rFonts w:ascii="Arial" w:hAnsi="Arial" w:cs="Arial"/>
          <w:color w:val="002E80"/>
          <w:sz w:val="20"/>
          <w:szCs w:val="20"/>
        </w:rPr>
        <w:t xml:space="preserve">11 de diciembre le asignamos nuevas calificaciones de deuda de AAA.mx. </w:t>
      </w:r>
      <w:r w:rsidRPr="00F1637D">
        <w:rPr>
          <w:rFonts w:ascii="Arial" w:hAnsi="Arial" w:cs="Arial"/>
          <w:sz w:val="20"/>
          <w:szCs w:val="20"/>
        </w:rPr>
        <w:t xml:space="preserve">El perfil crediticio del estado refleja balances operativos positivos y financieros equilibrados, así como bajos niveles de endeudamiento. Su perfil también incorpora el fortalecimiento en la recaudación de ingresos propios que respaldan los balances financieros y la posición de liquidez.” De la misma actualización, se transcribe </w:t>
      </w:r>
      <w:r w:rsidRPr="00F1637D">
        <w:rPr>
          <w:rFonts w:ascii="Arial" w:hAnsi="Arial" w:cs="Arial"/>
          <w:b/>
          <w:bCs/>
          <w:color w:val="002E80"/>
          <w:sz w:val="20"/>
          <w:szCs w:val="20"/>
        </w:rPr>
        <w:t>Información Complementaria:</w:t>
      </w:r>
    </w:p>
    <w:p w14:paraId="31B26E31" w14:textId="77777777" w:rsidR="00F1637D" w:rsidRPr="00F1637D" w:rsidRDefault="00F1637D" w:rsidP="00F1637D">
      <w:pPr>
        <w:pStyle w:val="Default"/>
        <w:jc w:val="left"/>
        <w:rPr>
          <w:sz w:val="20"/>
          <w:szCs w:val="20"/>
        </w:rPr>
      </w:pPr>
      <w:r w:rsidRPr="00F1637D">
        <w:rPr>
          <w:sz w:val="20"/>
          <w:szCs w:val="20"/>
        </w:rPr>
        <w:t>Calificación de crédito bancario en moneda local a largo plazo – Banamex MXN 1,870 millones AAA.mx</w:t>
      </w:r>
    </w:p>
    <w:p w14:paraId="253A1CB4" w14:textId="77777777" w:rsidR="00F1637D" w:rsidRPr="00F1637D" w:rsidRDefault="00F1637D" w:rsidP="00F1637D">
      <w:pPr>
        <w:pStyle w:val="Default"/>
        <w:jc w:val="left"/>
        <w:rPr>
          <w:sz w:val="20"/>
          <w:szCs w:val="20"/>
        </w:rPr>
      </w:pPr>
      <w:r w:rsidRPr="00F1637D">
        <w:rPr>
          <w:sz w:val="20"/>
          <w:szCs w:val="20"/>
        </w:rPr>
        <w:t>Calificación de crédito bancario en moneda local a largo plazo – Banobras MXN 1,415.8 millones AAA.mx</w:t>
      </w:r>
    </w:p>
    <w:p w14:paraId="416BE322" w14:textId="77777777" w:rsidR="00F1637D" w:rsidRPr="00F1637D" w:rsidRDefault="00F1637D" w:rsidP="00F1637D">
      <w:pPr>
        <w:pStyle w:val="Default"/>
        <w:jc w:val="left"/>
        <w:rPr>
          <w:sz w:val="20"/>
          <w:szCs w:val="20"/>
        </w:rPr>
      </w:pPr>
      <w:r w:rsidRPr="00F1637D">
        <w:rPr>
          <w:sz w:val="20"/>
          <w:szCs w:val="20"/>
        </w:rPr>
        <w:t>Calificación de crédito bancario en moneda local a largo plazo – Banorte MXN 1,400 millones AAA.mx</w:t>
      </w:r>
    </w:p>
    <w:p w14:paraId="62F55C9A" w14:textId="77777777" w:rsidR="00F1637D" w:rsidRPr="00F1637D" w:rsidRDefault="00F1637D" w:rsidP="00F1637D">
      <w:pPr>
        <w:pStyle w:val="Default"/>
        <w:jc w:val="left"/>
        <w:rPr>
          <w:sz w:val="20"/>
          <w:szCs w:val="20"/>
        </w:rPr>
      </w:pPr>
      <w:r w:rsidRPr="00F1637D">
        <w:rPr>
          <w:sz w:val="20"/>
          <w:szCs w:val="20"/>
        </w:rPr>
        <w:t xml:space="preserve">Calificación de crédito bancario en moneda local a largo plazo – Banamex MXN 450 millones AAA.mx </w:t>
      </w:r>
    </w:p>
    <w:p w14:paraId="3141207A" w14:textId="77777777" w:rsidR="00FD66A3" w:rsidRPr="00B37BEB" w:rsidRDefault="00FD66A3" w:rsidP="00FD66A3">
      <w:pPr>
        <w:spacing w:after="0" w:line="240" w:lineRule="auto"/>
        <w:jc w:val="both"/>
        <w:rPr>
          <w:rFonts w:ascii="Arial" w:eastAsia="DIN Next LT Pro Condensed" w:hAnsi="Arial" w:cs="Arial"/>
          <w:sz w:val="20"/>
          <w:szCs w:val="20"/>
        </w:rPr>
      </w:pPr>
    </w:p>
    <w:p w14:paraId="2A87A756" w14:textId="77777777" w:rsidR="00FD66A3" w:rsidRPr="000C42E6" w:rsidRDefault="00FD66A3" w:rsidP="00FD66A3">
      <w:pPr>
        <w:spacing w:after="0" w:line="240" w:lineRule="auto"/>
        <w:jc w:val="both"/>
        <w:rPr>
          <w:rFonts w:ascii="Arial" w:eastAsia="DIN Next LT Pro Condensed" w:hAnsi="Arial" w:cs="Arial"/>
          <w:b/>
          <w:sz w:val="20"/>
          <w:szCs w:val="20"/>
        </w:rPr>
      </w:pPr>
      <w:r w:rsidRPr="000C42E6">
        <w:rPr>
          <w:rFonts w:ascii="Arial" w:eastAsia="DIN Next LT Pro Condensed" w:hAnsi="Arial" w:cs="Arial"/>
          <w:b/>
          <w:sz w:val="20"/>
          <w:szCs w:val="20"/>
        </w:rPr>
        <w:t>12. Proceso de Mejora</w:t>
      </w:r>
    </w:p>
    <w:p w14:paraId="312B5EDE" w14:textId="77777777" w:rsidR="00FD66A3" w:rsidRPr="000C42E6" w:rsidRDefault="00FD66A3" w:rsidP="00FD66A3">
      <w:pPr>
        <w:spacing w:after="0" w:line="240" w:lineRule="auto"/>
        <w:jc w:val="both"/>
        <w:rPr>
          <w:rFonts w:ascii="Arial" w:eastAsia="DIN Next LT Pro Condensed" w:hAnsi="Arial" w:cs="Arial"/>
          <w:sz w:val="20"/>
          <w:szCs w:val="20"/>
        </w:rPr>
      </w:pPr>
    </w:p>
    <w:p w14:paraId="67E32F35" w14:textId="77777777" w:rsidR="00FD66A3" w:rsidRPr="000C42E6"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Las principales Políticas de control Interno se encuentran presentes en los procesos administrativos y operativos de la administración pública del estado, se considera como un elemento estratégico para asegurar la consecución de sus objetivos y está diseñado para proporcionar seguridad razonable acerca del logro de los objetivos en los aspectos siguientes:</w:t>
      </w:r>
    </w:p>
    <w:p w14:paraId="1196E5D0" w14:textId="77777777" w:rsidR="00FD66A3" w:rsidRPr="000C42E6" w:rsidRDefault="00FD66A3" w:rsidP="00FD66A3">
      <w:pPr>
        <w:spacing w:after="0" w:line="240" w:lineRule="auto"/>
        <w:jc w:val="both"/>
        <w:rPr>
          <w:rFonts w:ascii="Arial" w:eastAsia="DIN Next LT Pro Condensed" w:hAnsi="Arial" w:cs="Arial"/>
          <w:sz w:val="20"/>
          <w:szCs w:val="20"/>
        </w:rPr>
      </w:pPr>
    </w:p>
    <w:p w14:paraId="64FB2311" w14:textId="77777777" w:rsidR="00FD66A3" w:rsidRPr="000C42E6" w:rsidRDefault="00FD66A3" w:rsidP="00FD66A3">
      <w:pPr>
        <w:numPr>
          <w:ilvl w:val="0"/>
          <w:numId w:val="12"/>
        </w:num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Efectividad y eficiencia en las operaciones Confiabilidad y en los reportes financieros</w:t>
      </w:r>
    </w:p>
    <w:p w14:paraId="117D4076" w14:textId="77777777" w:rsidR="00FD66A3" w:rsidRPr="000C42E6" w:rsidRDefault="00FD66A3" w:rsidP="00FD66A3">
      <w:pPr>
        <w:spacing w:after="0" w:line="240" w:lineRule="auto"/>
        <w:jc w:val="both"/>
        <w:rPr>
          <w:rFonts w:ascii="Arial" w:eastAsia="DIN Next LT Pro Condensed" w:hAnsi="Arial" w:cs="Arial"/>
          <w:sz w:val="20"/>
          <w:szCs w:val="20"/>
        </w:rPr>
      </w:pPr>
    </w:p>
    <w:p w14:paraId="0D1E96F5" w14:textId="77777777" w:rsidR="00FD66A3" w:rsidRPr="000C42E6" w:rsidRDefault="00FD66A3" w:rsidP="00FD66A3">
      <w:pPr>
        <w:numPr>
          <w:ilvl w:val="0"/>
          <w:numId w:val="12"/>
        </w:num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Protección de activos</w:t>
      </w:r>
    </w:p>
    <w:p w14:paraId="6991EF4C" w14:textId="77777777" w:rsidR="00FD66A3" w:rsidRPr="000C42E6" w:rsidRDefault="00FD66A3" w:rsidP="00FD66A3">
      <w:pPr>
        <w:spacing w:after="0" w:line="240" w:lineRule="auto"/>
        <w:jc w:val="both"/>
        <w:rPr>
          <w:rFonts w:ascii="Arial" w:eastAsia="DIN Next LT Pro Condensed" w:hAnsi="Arial" w:cs="Arial"/>
          <w:sz w:val="20"/>
          <w:szCs w:val="20"/>
        </w:rPr>
      </w:pPr>
    </w:p>
    <w:p w14:paraId="1E961C97" w14:textId="77777777" w:rsidR="00FD66A3" w:rsidRDefault="00FD66A3" w:rsidP="00FD66A3">
      <w:pPr>
        <w:numPr>
          <w:ilvl w:val="0"/>
          <w:numId w:val="12"/>
        </w:num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Cumplimiento de las leyes aplicables y las normas correspondientes. Los Entes Públicos han adoptado criterios para la aplicación de esta política, a través del autocontrol, el cual consiste en que los trabajadores deben ejecutar en forma efectiva y eficiente las actividades y procesos que cada uno administra en su gestión diaria, así mismo, a través de la efectividad se realizan las actividades de manera planificada de resultados, haciendo un uso racional y óptimo de los recursos.</w:t>
      </w:r>
    </w:p>
    <w:p w14:paraId="1000D882" w14:textId="77777777" w:rsidR="00313968" w:rsidRDefault="00313968" w:rsidP="00313968">
      <w:pPr>
        <w:spacing w:after="0" w:line="240" w:lineRule="auto"/>
        <w:ind w:left="833"/>
        <w:jc w:val="both"/>
        <w:rPr>
          <w:rFonts w:ascii="Arial" w:eastAsia="DIN Next LT Pro Condensed" w:hAnsi="Arial" w:cs="Arial"/>
          <w:sz w:val="20"/>
          <w:szCs w:val="20"/>
        </w:rPr>
      </w:pPr>
    </w:p>
    <w:p w14:paraId="0B7EB71D" w14:textId="77777777" w:rsidR="00313968" w:rsidRPr="000C42E6" w:rsidRDefault="00313968" w:rsidP="00313968">
      <w:pPr>
        <w:spacing w:after="0" w:line="240" w:lineRule="auto"/>
        <w:ind w:left="833"/>
        <w:jc w:val="both"/>
        <w:rPr>
          <w:rFonts w:ascii="Arial" w:eastAsia="DIN Next LT Pro Condensed" w:hAnsi="Arial" w:cs="Arial"/>
          <w:sz w:val="20"/>
          <w:szCs w:val="20"/>
        </w:rPr>
      </w:pPr>
    </w:p>
    <w:p w14:paraId="7FD3887F" w14:textId="77777777" w:rsidR="00FD66A3" w:rsidRPr="000C42E6" w:rsidRDefault="00FD66A3" w:rsidP="00FD66A3">
      <w:pPr>
        <w:spacing w:after="0" w:line="240" w:lineRule="auto"/>
        <w:jc w:val="both"/>
        <w:rPr>
          <w:rFonts w:ascii="Arial" w:eastAsia="DIN Next LT Pro Condensed" w:hAnsi="Arial" w:cs="Arial"/>
          <w:sz w:val="20"/>
          <w:szCs w:val="20"/>
        </w:rPr>
      </w:pPr>
    </w:p>
    <w:p w14:paraId="71286074" w14:textId="77777777" w:rsidR="00FD66A3" w:rsidRPr="000C42E6" w:rsidRDefault="00FD66A3" w:rsidP="00FD66A3">
      <w:pPr>
        <w:spacing w:after="0" w:line="240" w:lineRule="auto"/>
        <w:jc w:val="both"/>
        <w:rPr>
          <w:rFonts w:ascii="Arial" w:eastAsia="DIN Next LT Pro Condensed" w:hAnsi="Arial" w:cs="Arial"/>
          <w:b/>
          <w:sz w:val="20"/>
          <w:szCs w:val="20"/>
        </w:rPr>
      </w:pPr>
      <w:r w:rsidRPr="000C42E6">
        <w:rPr>
          <w:rFonts w:ascii="Arial" w:eastAsia="DIN Next LT Pro Condensed" w:hAnsi="Arial" w:cs="Arial"/>
          <w:b/>
          <w:sz w:val="20"/>
          <w:szCs w:val="20"/>
        </w:rPr>
        <w:lastRenderedPageBreak/>
        <w:t>13. Información por Segmentos</w:t>
      </w:r>
    </w:p>
    <w:p w14:paraId="350926C5" w14:textId="77777777" w:rsidR="00FD66A3" w:rsidRPr="000C42E6" w:rsidRDefault="00FD66A3" w:rsidP="00FD66A3">
      <w:pPr>
        <w:spacing w:after="0" w:line="240" w:lineRule="auto"/>
        <w:jc w:val="both"/>
        <w:rPr>
          <w:rFonts w:ascii="Arial" w:eastAsia="DIN Next LT Pro Condensed" w:hAnsi="Arial" w:cs="Arial"/>
          <w:sz w:val="20"/>
          <w:szCs w:val="20"/>
        </w:rPr>
      </w:pPr>
    </w:p>
    <w:p w14:paraId="3B212B4F" w14:textId="77777777" w:rsidR="00FD66A3"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No se tiene información segmentada.</w:t>
      </w:r>
    </w:p>
    <w:p w14:paraId="0F46D4FB" w14:textId="77777777" w:rsidR="00F1637D" w:rsidRDefault="00F1637D" w:rsidP="00FD66A3">
      <w:pPr>
        <w:spacing w:after="0" w:line="240" w:lineRule="auto"/>
        <w:jc w:val="both"/>
        <w:rPr>
          <w:rFonts w:ascii="Arial" w:eastAsia="DIN Next LT Pro Condensed" w:hAnsi="Arial" w:cs="Arial"/>
          <w:sz w:val="20"/>
          <w:szCs w:val="20"/>
        </w:rPr>
      </w:pPr>
    </w:p>
    <w:p w14:paraId="1A4B6698" w14:textId="77777777" w:rsidR="00FD66A3" w:rsidRPr="000C42E6" w:rsidRDefault="00FD66A3" w:rsidP="00FD66A3">
      <w:pPr>
        <w:spacing w:after="0" w:line="240" w:lineRule="auto"/>
        <w:jc w:val="both"/>
        <w:rPr>
          <w:rFonts w:ascii="Arial" w:eastAsia="DIN Next LT Pro Condensed" w:hAnsi="Arial" w:cs="Arial"/>
          <w:b/>
          <w:sz w:val="20"/>
          <w:szCs w:val="20"/>
        </w:rPr>
      </w:pPr>
      <w:r w:rsidRPr="000C42E6">
        <w:rPr>
          <w:rFonts w:ascii="Arial" w:eastAsia="DIN Next LT Pro Condensed" w:hAnsi="Arial" w:cs="Arial"/>
          <w:b/>
          <w:sz w:val="20"/>
          <w:szCs w:val="20"/>
        </w:rPr>
        <w:t>14. Eventos Posteriores al Cierre</w:t>
      </w:r>
    </w:p>
    <w:p w14:paraId="59AB98F4" w14:textId="77777777" w:rsidR="00FD66A3" w:rsidRPr="000C42E6" w:rsidRDefault="00FD66A3" w:rsidP="00FD66A3">
      <w:pPr>
        <w:spacing w:after="0" w:line="240" w:lineRule="auto"/>
        <w:jc w:val="both"/>
        <w:rPr>
          <w:rFonts w:ascii="Arial" w:eastAsia="DIN Next LT Pro Condensed" w:hAnsi="Arial" w:cs="Arial"/>
          <w:sz w:val="20"/>
          <w:szCs w:val="20"/>
        </w:rPr>
      </w:pPr>
    </w:p>
    <w:p w14:paraId="555E8534" w14:textId="75BCE97D" w:rsidR="00FD66A3"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Se declara que no se tiene registro de hechos posteriores a la fecha de corte de los estados financieros a los que se refieren estas Notas que los afecten económicamente.</w:t>
      </w:r>
    </w:p>
    <w:p w14:paraId="2628EF83" w14:textId="77777777" w:rsidR="00FD66A3" w:rsidRPr="000C42E6" w:rsidRDefault="00FD66A3" w:rsidP="00FD66A3">
      <w:pPr>
        <w:spacing w:after="0" w:line="240" w:lineRule="auto"/>
        <w:jc w:val="both"/>
        <w:rPr>
          <w:rFonts w:ascii="Arial" w:eastAsia="DIN Next LT Pro Condensed" w:hAnsi="Arial" w:cs="Arial"/>
          <w:b/>
          <w:sz w:val="20"/>
          <w:szCs w:val="20"/>
        </w:rPr>
      </w:pPr>
      <w:r w:rsidRPr="000C42E6">
        <w:rPr>
          <w:rFonts w:ascii="Arial" w:eastAsia="DIN Next LT Pro Condensed" w:hAnsi="Arial" w:cs="Arial"/>
          <w:b/>
          <w:sz w:val="20"/>
          <w:szCs w:val="20"/>
        </w:rPr>
        <w:t>15. Partes Relacionadas</w:t>
      </w:r>
    </w:p>
    <w:p w14:paraId="0B794358" w14:textId="77777777" w:rsidR="00FD66A3" w:rsidRPr="000C42E6" w:rsidRDefault="00FD66A3" w:rsidP="00FD66A3">
      <w:pPr>
        <w:spacing w:after="0" w:line="240" w:lineRule="auto"/>
        <w:jc w:val="both"/>
        <w:rPr>
          <w:rFonts w:ascii="Arial" w:eastAsia="DIN Next LT Pro Condensed" w:hAnsi="Arial" w:cs="Arial"/>
          <w:b/>
          <w:sz w:val="20"/>
          <w:szCs w:val="20"/>
        </w:rPr>
      </w:pPr>
    </w:p>
    <w:p w14:paraId="461936C6" w14:textId="77777777" w:rsidR="00FD66A3" w:rsidRPr="000C42E6"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Se declara que no existen partes relacionadas que pudieran ejercer influencia significativa sobre la toma de decisiones financieras y operativas del Gobierno del Estado de Tabasco.</w:t>
      </w:r>
    </w:p>
    <w:p w14:paraId="50571F6C" w14:textId="77777777" w:rsidR="00FD66A3" w:rsidRPr="000C42E6" w:rsidRDefault="00FD66A3" w:rsidP="00FD66A3">
      <w:pPr>
        <w:spacing w:after="0" w:line="240" w:lineRule="auto"/>
        <w:jc w:val="both"/>
        <w:rPr>
          <w:rFonts w:ascii="Arial" w:eastAsia="DIN Next LT Pro Condensed" w:hAnsi="Arial" w:cs="Arial"/>
          <w:sz w:val="20"/>
          <w:szCs w:val="20"/>
        </w:rPr>
      </w:pPr>
    </w:p>
    <w:p w14:paraId="395D55BD" w14:textId="77777777" w:rsidR="00FD66A3" w:rsidRPr="000C42E6" w:rsidRDefault="00FD66A3" w:rsidP="00FD66A3">
      <w:pPr>
        <w:spacing w:after="0" w:line="240" w:lineRule="auto"/>
        <w:jc w:val="both"/>
        <w:rPr>
          <w:rFonts w:ascii="Arial" w:eastAsia="DIN Next LT Pro Condensed" w:hAnsi="Arial" w:cs="Arial"/>
          <w:b/>
          <w:sz w:val="20"/>
          <w:szCs w:val="20"/>
        </w:rPr>
      </w:pPr>
      <w:r w:rsidRPr="000C42E6">
        <w:rPr>
          <w:rFonts w:ascii="Arial" w:eastAsia="DIN Next LT Pro Condensed" w:hAnsi="Arial" w:cs="Arial"/>
          <w:b/>
          <w:sz w:val="20"/>
          <w:szCs w:val="20"/>
        </w:rPr>
        <w:t>16. Responsabilidad Sobre la Presentación Razonable de la Información Contable</w:t>
      </w:r>
    </w:p>
    <w:p w14:paraId="17439CBE" w14:textId="2A87B986" w:rsidR="00313968" w:rsidRDefault="00FD66A3" w:rsidP="00FD66A3">
      <w:pPr>
        <w:spacing w:after="0" w:line="240" w:lineRule="auto"/>
        <w:jc w:val="both"/>
        <w:rPr>
          <w:rFonts w:ascii="Arial" w:eastAsia="DIN Next LT Pro Condensed" w:hAnsi="Arial" w:cs="Arial"/>
          <w:sz w:val="20"/>
          <w:szCs w:val="20"/>
        </w:rPr>
      </w:pPr>
      <w:r w:rsidRPr="000C42E6">
        <w:rPr>
          <w:rFonts w:ascii="Arial" w:eastAsia="DIN Next LT Pro Condensed" w:hAnsi="Arial" w:cs="Arial"/>
          <w:sz w:val="20"/>
          <w:szCs w:val="20"/>
        </w:rPr>
        <w:t>La Información Contable se presenta firmada en cada página, e incluye al final la leyenda: Bajo protesta de decir verdad, declaramos que los Estados Financieros y sus notas, son razonablemente correctos y son responsabilidad del emisor.</w:t>
      </w:r>
    </w:p>
    <w:p w14:paraId="33E51176" w14:textId="77777777" w:rsidR="00313968" w:rsidRDefault="00313968" w:rsidP="00FD66A3">
      <w:pPr>
        <w:spacing w:after="0" w:line="240" w:lineRule="auto"/>
        <w:jc w:val="both"/>
        <w:rPr>
          <w:rFonts w:ascii="Arial" w:eastAsia="DIN Next LT Pro Condensed" w:hAnsi="Arial" w:cs="Arial"/>
          <w:sz w:val="20"/>
          <w:szCs w:val="20"/>
        </w:rPr>
      </w:pPr>
    </w:p>
    <w:p w14:paraId="75DBB627" w14:textId="77777777" w:rsidR="00313968" w:rsidRDefault="00313968" w:rsidP="00FD66A3">
      <w:pPr>
        <w:spacing w:after="0" w:line="240" w:lineRule="auto"/>
        <w:jc w:val="both"/>
        <w:rPr>
          <w:rFonts w:ascii="Arial" w:eastAsia="DIN Next LT Pro Condensed" w:hAnsi="Arial" w:cs="Arial"/>
          <w:sz w:val="20"/>
          <w:szCs w:val="20"/>
        </w:rPr>
      </w:pPr>
    </w:p>
    <w:p w14:paraId="08E7F1A7" w14:textId="77777777" w:rsidR="00313968" w:rsidRDefault="00313968" w:rsidP="00FD66A3">
      <w:pPr>
        <w:spacing w:after="0" w:line="240" w:lineRule="auto"/>
        <w:jc w:val="both"/>
        <w:rPr>
          <w:rFonts w:ascii="Arial" w:eastAsia="DIN Next LT Pro Condensed" w:hAnsi="Arial" w:cs="Arial"/>
          <w:sz w:val="20"/>
          <w:szCs w:val="20"/>
        </w:rPr>
      </w:pPr>
    </w:p>
    <w:p w14:paraId="452E5455" w14:textId="77777777" w:rsidR="00313968" w:rsidRDefault="00313968" w:rsidP="00FD66A3">
      <w:pPr>
        <w:spacing w:after="0" w:line="240" w:lineRule="auto"/>
        <w:jc w:val="both"/>
        <w:rPr>
          <w:rFonts w:ascii="Arial" w:eastAsia="DIN Next LT Pro Condensed" w:hAnsi="Arial" w:cs="Arial"/>
          <w:sz w:val="20"/>
          <w:szCs w:val="20"/>
        </w:rPr>
      </w:pPr>
    </w:p>
    <w:p w14:paraId="1D66115B" w14:textId="77777777" w:rsidR="00313968" w:rsidRDefault="00313968" w:rsidP="00FD66A3">
      <w:pPr>
        <w:spacing w:after="0" w:line="240" w:lineRule="auto"/>
        <w:jc w:val="both"/>
        <w:rPr>
          <w:rFonts w:ascii="Arial" w:eastAsia="DIN Next LT Pro Condensed" w:hAnsi="Arial" w:cs="Arial"/>
          <w:sz w:val="20"/>
          <w:szCs w:val="20"/>
        </w:rPr>
      </w:pPr>
    </w:p>
    <w:p w14:paraId="6FB486AE" w14:textId="77777777" w:rsidR="00313968" w:rsidRDefault="00313968" w:rsidP="00FD66A3">
      <w:pPr>
        <w:spacing w:after="0" w:line="240" w:lineRule="auto"/>
        <w:jc w:val="both"/>
        <w:rPr>
          <w:rFonts w:ascii="Arial" w:eastAsia="DIN Next LT Pro Condensed" w:hAnsi="Arial" w:cs="Arial"/>
          <w:sz w:val="20"/>
          <w:szCs w:val="20"/>
        </w:rPr>
      </w:pPr>
    </w:p>
    <w:p w14:paraId="7B9FAB02" w14:textId="77777777" w:rsidR="00313968" w:rsidRDefault="00313968" w:rsidP="00FD66A3">
      <w:pPr>
        <w:spacing w:after="0" w:line="240" w:lineRule="auto"/>
        <w:jc w:val="both"/>
        <w:rPr>
          <w:rFonts w:ascii="Arial" w:eastAsia="DIN Next LT Pro Condensed" w:hAnsi="Arial" w:cs="Arial"/>
          <w:sz w:val="20"/>
          <w:szCs w:val="20"/>
        </w:rPr>
      </w:pPr>
    </w:p>
    <w:p w14:paraId="377057D9" w14:textId="77777777" w:rsidR="00313968" w:rsidRDefault="00313968" w:rsidP="00FD66A3">
      <w:pPr>
        <w:spacing w:after="0" w:line="240" w:lineRule="auto"/>
        <w:jc w:val="both"/>
        <w:rPr>
          <w:rFonts w:ascii="Arial" w:eastAsia="DIN Next LT Pro Condensed" w:hAnsi="Arial" w:cs="Arial"/>
          <w:sz w:val="20"/>
          <w:szCs w:val="20"/>
        </w:rPr>
      </w:pPr>
    </w:p>
    <w:p w14:paraId="6BE6FDDD" w14:textId="77777777" w:rsidR="00313968" w:rsidRDefault="00313968" w:rsidP="00FD66A3">
      <w:pPr>
        <w:spacing w:after="0" w:line="240" w:lineRule="auto"/>
        <w:jc w:val="both"/>
        <w:rPr>
          <w:rFonts w:ascii="Arial" w:eastAsia="DIN Next LT Pro Condensed" w:hAnsi="Arial" w:cs="Arial"/>
          <w:sz w:val="20"/>
          <w:szCs w:val="20"/>
        </w:rPr>
      </w:pPr>
    </w:p>
    <w:p w14:paraId="17A605EB" w14:textId="77777777" w:rsidR="00313968" w:rsidRDefault="00313968" w:rsidP="00FD66A3">
      <w:pPr>
        <w:spacing w:after="0" w:line="240" w:lineRule="auto"/>
        <w:jc w:val="both"/>
        <w:rPr>
          <w:rFonts w:ascii="Arial" w:eastAsia="DIN Next LT Pro Condensed" w:hAnsi="Arial" w:cs="Arial"/>
          <w:sz w:val="20"/>
          <w:szCs w:val="20"/>
        </w:rPr>
      </w:pPr>
    </w:p>
    <w:p w14:paraId="573DBAF2" w14:textId="77777777" w:rsidR="00313968" w:rsidRDefault="00313968" w:rsidP="00FD66A3">
      <w:pPr>
        <w:spacing w:after="0" w:line="240" w:lineRule="auto"/>
        <w:jc w:val="both"/>
        <w:rPr>
          <w:rFonts w:ascii="Arial" w:eastAsia="DIN Next LT Pro Condensed" w:hAnsi="Arial" w:cs="Arial"/>
          <w:sz w:val="20"/>
          <w:szCs w:val="20"/>
        </w:rPr>
      </w:pPr>
    </w:p>
    <w:p w14:paraId="7639C70E" w14:textId="77777777" w:rsidR="00313968" w:rsidRDefault="00313968" w:rsidP="00FD66A3">
      <w:pPr>
        <w:spacing w:after="0" w:line="240" w:lineRule="auto"/>
        <w:jc w:val="both"/>
        <w:rPr>
          <w:rFonts w:ascii="Arial" w:eastAsia="DIN Next LT Pro Condensed" w:hAnsi="Arial" w:cs="Arial"/>
          <w:sz w:val="20"/>
          <w:szCs w:val="20"/>
        </w:rPr>
      </w:pPr>
    </w:p>
    <w:p w14:paraId="21964891" w14:textId="77777777" w:rsidR="00313968" w:rsidRDefault="00313968" w:rsidP="00FD66A3">
      <w:pPr>
        <w:spacing w:after="0" w:line="240" w:lineRule="auto"/>
        <w:jc w:val="both"/>
        <w:rPr>
          <w:rFonts w:ascii="Arial" w:eastAsia="DIN Next LT Pro Condensed" w:hAnsi="Arial" w:cs="Arial"/>
          <w:sz w:val="20"/>
          <w:szCs w:val="20"/>
        </w:rPr>
      </w:pPr>
    </w:p>
    <w:p w14:paraId="1D6AAC7C" w14:textId="77777777" w:rsidR="00313968" w:rsidRDefault="00313968" w:rsidP="00FD66A3">
      <w:pPr>
        <w:spacing w:after="0" w:line="240" w:lineRule="auto"/>
        <w:jc w:val="both"/>
        <w:rPr>
          <w:rFonts w:ascii="Arial" w:eastAsia="DIN Next LT Pro Condensed" w:hAnsi="Arial" w:cs="Arial"/>
          <w:sz w:val="20"/>
          <w:szCs w:val="20"/>
        </w:rPr>
      </w:pPr>
    </w:p>
    <w:p w14:paraId="2067C14E" w14:textId="77777777" w:rsidR="00313968" w:rsidRDefault="00313968" w:rsidP="00FD66A3">
      <w:pPr>
        <w:spacing w:after="0" w:line="240" w:lineRule="auto"/>
        <w:jc w:val="both"/>
        <w:rPr>
          <w:rFonts w:ascii="Arial" w:eastAsia="DIN Next LT Pro Condensed" w:hAnsi="Arial" w:cs="Arial"/>
          <w:sz w:val="20"/>
          <w:szCs w:val="20"/>
        </w:rPr>
      </w:pPr>
    </w:p>
    <w:p w14:paraId="476F7FEA" w14:textId="77777777" w:rsidR="00313968" w:rsidRDefault="00313968" w:rsidP="00FD66A3">
      <w:pPr>
        <w:spacing w:after="0" w:line="240" w:lineRule="auto"/>
        <w:jc w:val="both"/>
        <w:rPr>
          <w:rFonts w:ascii="Arial" w:eastAsia="DIN Next LT Pro Condensed" w:hAnsi="Arial" w:cs="Arial"/>
          <w:sz w:val="20"/>
          <w:szCs w:val="20"/>
        </w:rPr>
      </w:pPr>
    </w:p>
    <w:p w14:paraId="1B8AFECA" w14:textId="77777777" w:rsidR="00313968" w:rsidRDefault="00313968" w:rsidP="00FD66A3">
      <w:pPr>
        <w:spacing w:after="0" w:line="240" w:lineRule="auto"/>
        <w:jc w:val="both"/>
        <w:rPr>
          <w:rFonts w:ascii="Arial" w:eastAsia="DIN Next LT Pro Condensed" w:hAnsi="Arial" w:cs="Arial"/>
          <w:sz w:val="20"/>
          <w:szCs w:val="20"/>
        </w:rPr>
      </w:pPr>
    </w:p>
    <w:p w14:paraId="3E5D4980" w14:textId="77777777" w:rsidR="00313968" w:rsidRDefault="00313968" w:rsidP="00FD66A3">
      <w:pPr>
        <w:spacing w:after="0" w:line="240" w:lineRule="auto"/>
        <w:jc w:val="both"/>
        <w:rPr>
          <w:rFonts w:ascii="Arial" w:eastAsia="DIN Next LT Pro Condensed" w:hAnsi="Arial" w:cs="Arial"/>
          <w:sz w:val="20"/>
          <w:szCs w:val="20"/>
        </w:rPr>
      </w:pPr>
    </w:p>
    <w:p w14:paraId="1BD97D3B" w14:textId="77777777" w:rsidR="00313968" w:rsidRDefault="00313968" w:rsidP="00FD66A3">
      <w:pPr>
        <w:spacing w:after="0" w:line="240" w:lineRule="auto"/>
        <w:jc w:val="both"/>
        <w:rPr>
          <w:rFonts w:ascii="Arial" w:eastAsia="DIN Next LT Pro Condensed" w:hAnsi="Arial" w:cs="Arial"/>
          <w:sz w:val="20"/>
          <w:szCs w:val="20"/>
        </w:rPr>
      </w:pPr>
    </w:p>
    <w:p w14:paraId="01A61016" w14:textId="77777777" w:rsidR="00313968" w:rsidRDefault="00313968" w:rsidP="00FD66A3">
      <w:pPr>
        <w:spacing w:after="0" w:line="240" w:lineRule="auto"/>
        <w:jc w:val="both"/>
        <w:rPr>
          <w:rFonts w:ascii="Arial" w:eastAsia="DIN Next LT Pro Condensed" w:hAnsi="Arial" w:cs="Arial"/>
          <w:sz w:val="20"/>
          <w:szCs w:val="20"/>
        </w:rPr>
      </w:pPr>
    </w:p>
    <w:p w14:paraId="5AC3D2B0" w14:textId="77777777" w:rsidR="00313968" w:rsidRDefault="00313968" w:rsidP="00FD66A3">
      <w:pPr>
        <w:spacing w:after="0" w:line="240" w:lineRule="auto"/>
        <w:jc w:val="both"/>
        <w:rPr>
          <w:rFonts w:ascii="Arial" w:eastAsia="DIN Next LT Pro Condensed" w:hAnsi="Arial" w:cs="Arial"/>
          <w:sz w:val="20"/>
          <w:szCs w:val="20"/>
        </w:rPr>
      </w:pPr>
    </w:p>
    <w:p w14:paraId="25769AB5" w14:textId="77777777" w:rsidR="00313968" w:rsidRDefault="00313968" w:rsidP="00FD66A3">
      <w:pPr>
        <w:spacing w:after="0" w:line="240" w:lineRule="auto"/>
        <w:jc w:val="both"/>
        <w:rPr>
          <w:rFonts w:ascii="Arial" w:eastAsia="DIN Next LT Pro Condensed" w:hAnsi="Arial" w:cs="Arial"/>
          <w:sz w:val="20"/>
          <w:szCs w:val="20"/>
        </w:rPr>
      </w:pPr>
    </w:p>
    <w:p w14:paraId="5219DEDB" w14:textId="77777777" w:rsidR="00313968" w:rsidRDefault="00313968" w:rsidP="00FD66A3">
      <w:pPr>
        <w:spacing w:after="0" w:line="240" w:lineRule="auto"/>
        <w:jc w:val="both"/>
        <w:rPr>
          <w:rFonts w:ascii="Arial" w:eastAsia="DIN Next LT Pro Condensed" w:hAnsi="Arial" w:cs="Arial"/>
          <w:sz w:val="20"/>
          <w:szCs w:val="20"/>
        </w:rPr>
      </w:pPr>
    </w:p>
    <w:p w14:paraId="45874DE0" w14:textId="77777777" w:rsidR="00313968" w:rsidRDefault="00313968" w:rsidP="00FD66A3">
      <w:pPr>
        <w:spacing w:after="0" w:line="240" w:lineRule="auto"/>
        <w:jc w:val="both"/>
        <w:rPr>
          <w:rFonts w:ascii="Arial" w:eastAsia="DIN Next LT Pro Condensed" w:hAnsi="Arial" w:cs="Arial"/>
          <w:sz w:val="20"/>
          <w:szCs w:val="20"/>
        </w:rPr>
      </w:pPr>
    </w:p>
    <w:p w14:paraId="72C36DCD" w14:textId="77777777" w:rsidR="00313968" w:rsidRDefault="00313968" w:rsidP="00FD66A3">
      <w:pPr>
        <w:spacing w:after="0" w:line="240" w:lineRule="auto"/>
        <w:jc w:val="both"/>
        <w:rPr>
          <w:rFonts w:ascii="Arial" w:eastAsia="DIN Next LT Pro Condensed" w:hAnsi="Arial" w:cs="Arial"/>
          <w:sz w:val="20"/>
          <w:szCs w:val="20"/>
        </w:rPr>
      </w:pPr>
    </w:p>
    <w:p w14:paraId="4E585319" w14:textId="77777777" w:rsidR="00313968" w:rsidRDefault="00313968" w:rsidP="00FD66A3">
      <w:pPr>
        <w:spacing w:after="0" w:line="240" w:lineRule="auto"/>
        <w:jc w:val="both"/>
        <w:rPr>
          <w:rFonts w:ascii="Arial" w:eastAsia="DIN Next LT Pro Condensed" w:hAnsi="Arial" w:cs="Arial"/>
          <w:sz w:val="20"/>
          <w:szCs w:val="20"/>
        </w:rPr>
      </w:pPr>
    </w:p>
    <w:p w14:paraId="2D78C937" w14:textId="77777777" w:rsidR="00313968" w:rsidRDefault="00313968" w:rsidP="00FD66A3">
      <w:pPr>
        <w:spacing w:after="0" w:line="240" w:lineRule="auto"/>
        <w:jc w:val="both"/>
        <w:rPr>
          <w:rFonts w:ascii="Arial" w:eastAsia="DIN Next LT Pro Condensed" w:hAnsi="Arial" w:cs="Arial"/>
          <w:sz w:val="20"/>
          <w:szCs w:val="20"/>
        </w:rPr>
      </w:pPr>
    </w:p>
    <w:p w14:paraId="5BCE0AA4" w14:textId="77777777" w:rsidR="006611D1" w:rsidRPr="000C42E6" w:rsidRDefault="006611D1" w:rsidP="00FD66A3">
      <w:pPr>
        <w:spacing w:after="0" w:line="240" w:lineRule="auto"/>
        <w:jc w:val="both"/>
        <w:rPr>
          <w:rFonts w:ascii="Arial" w:eastAsia="DIN Next LT Pro Condensed" w:hAnsi="Arial" w:cs="Arial"/>
          <w:sz w:val="20"/>
          <w:szCs w:val="20"/>
        </w:rPr>
      </w:pPr>
    </w:p>
    <w:p w14:paraId="6A50AFCA" w14:textId="77777777" w:rsidR="00CB7883" w:rsidRPr="000C42E6" w:rsidRDefault="00CB7883" w:rsidP="00CB788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lastRenderedPageBreak/>
        <w:t>Gobierno del Estado de Tabasco</w:t>
      </w:r>
    </w:p>
    <w:p w14:paraId="3474C541" w14:textId="77777777" w:rsidR="00CB7883" w:rsidRPr="000C42E6" w:rsidRDefault="00CB7883" w:rsidP="00CB788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Poder Ejecutivo</w:t>
      </w:r>
    </w:p>
    <w:p w14:paraId="7EC02587" w14:textId="77777777" w:rsidR="00CB7883" w:rsidRPr="000C42E6" w:rsidRDefault="00CB7883" w:rsidP="00CB7883">
      <w:pPr>
        <w:keepNext/>
        <w:keepLines/>
        <w:spacing w:after="0" w:line="240" w:lineRule="auto"/>
        <w:jc w:val="center"/>
        <w:outlineLvl w:val="0"/>
        <w:rPr>
          <w:rFonts w:ascii="Arial" w:eastAsia="Times New Roman" w:hAnsi="Arial" w:cs="Arial"/>
          <w:b/>
          <w:color w:val="000000"/>
          <w:sz w:val="20"/>
          <w:szCs w:val="20"/>
          <w:lang w:eastAsia="es-MX"/>
        </w:rPr>
      </w:pPr>
      <w:r w:rsidRPr="000C42E6">
        <w:rPr>
          <w:rFonts w:ascii="Arial" w:eastAsia="Times New Roman" w:hAnsi="Arial" w:cs="Arial"/>
          <w:b/>
          <w:bCs/>
          <w:sz w:val="20"/>
          <w:szCs w:val="20"/>
        </w:rPr>
        <w:t xml:space="preserve">Notas a los Estados Financieros </w:t>
      </w:r>
      <w:r w:rsidR="001E5755" w:rsidRPr="000C42E6">
        <w:rPr>
          <w:rFonts w:ascii="Arial" w:eastAsia="Times New Roman" w:hAnsi="Arial" w:cs="Arial"/>
          <w:b/>
          <w:color w:val="000000"/>
          <w:sz w:val="20"/>
          <w:szCs w:val="20"/>
          <w:lang w:eastAsia="es-MX"/>
        </w:rPr>
        <w:t>al 31 de diciembre del</w:t>
      </w:r>
      <w:r w:rsidR="009930CA" w:rsidRPr="000C42E6">
        <w:rPr>
          <w:rFonts w:ascii="Arial" w:eastAsia="Times New Roman" w:hAnsi="Arial" w:cs="Arial"/>
          <w:b/>
          <w:color w:val="000000"/>
          <w:sz w:val="20"/>
          <w:szCs w:val="20"/>
          <w:lang w:eastAsia="es-MX"/>
        </w:rPr>
        <w:t xml:space="preserve"> 2025</w:t>
      </w:r>
    </w:p>
    <w:p w14:paraId="2C6CA0DC" w14:textId="77777777" w:rsidR="00CB7883" w:rsidRPr="000C42E6" w:rsidRDefault="00CB7883" w:rsidP="00CB7883">
      <w:pPr>
        <w:spacing w:after="0" w:line="240" w:lineRule="auto"/>
        <w:jc w:val="center"/>
        <w:rPr>
          <w:rFonts w:ascii="Arial" w:eastAsia="Calibri" w:hAnsi="Arial" w:cs="Arial"/>
          <w:b/>
          <w:sz w:val="20"/>
          <w:szCs w:val="20"/>
        </w:rPr>
      </w:pPr>
      <w:r w:rsidRPr="000C42E6">
        <w:rPr>
          <w:rFonts w:ascii="Arial" w:eastAsia="Calibri" w:hAnsi="Arial" w:cs="Arial"/>
          <w:b/>
          <w:sz w:val="20"/>
          <w:szCs w:val="20"/>
        </w:rPr>
        <w:t>Cifras en pesos</w:t>
      </w:r>
    </w:p>
    <w:p w14:paraId="5E63D24A" w14:textId="77777777" w:rsidR="00CB7883" w:rsidRPr="000C42E6" w:rsidRDefault="00CB7883" w:rsidP="00CB7883">
      <w:pPr>
        <w:spacing w:after="0" w:line="240" w:lineRule="auto"/>
        <w:jc w:val="center"/>
        <w:rPr>
          <w:rFonts w:ascii="Arial" w:eastAsia="Calibri" w:hAnsi="Arial" w:cs="Arial"/>
          <w:b/>
          <w:sz w:val="20"/>
          <w:szCs w:val="20"/>
        </w:rPr>
      </w:pPr>
    </w:p>
    <w:p w14:paraId="36874DD4" w14:textId="77777777" w:rsidR="00CB7883" w:rsidRPr="000C42E6" w:rsidRDefault="00CB7883" w:rsidP="00CB7883">
      <w:pPr>
        <w:spacing w:after="0" w:line="240" w:lineRule="auto"/>
        <w:jc w:val="center"/>
        <w:rPr>
          <w:rFonts w:ascii="Arial" w:eastAsia="Calibri" w:hAnsi="Arial" w:cs="Arial"/>
          <w:b/>
          <w:sz w:val="20"/>
          <w:szCs w:val="20"/>
        </w:rPr>
      </w:pPr>
      <w:r w:rsidRPr="000C42E6">
        <w:rPr>
          <w:rFonts w:ascii="Arial" w:eastAsia="Calibri" w:hAnsi="Arial" w:cs="Arial"/>
          <w:b/>
          <w:sz w:val="20"/>
          <w:szCs w:val="20"/>
        </w:rPr>
        <w:t>b) NOTAS DE DESGLOSE</w:t>
      </w:r>
    </w:p>
    <w:p w14:paraId="7FC19BE6" w14:textId="77777777" w:rsidR="00CB7883" w:rsidRPr="000C42E6" w:rsidRDefault="00CB7883" w:rsidP="00CB7883">
      <w:pPr>
        <w:spacing w:after="0" w:line="240" w:lineRule="auto"/>
        <w:jc w:val="center"/>
        <w:rPr>
          <w:rFonts w:ascii="Arial" w:eastAsia="Calibri" w:hAnsi="Arial" w:cs="Arial"/>
          <w:sz w:val="20"/>
          <w:szCs w:val="20"/>
        </w:rPr>
      </w:pPr>
    </w:p>
    <w:p w14:paraId="6830CCEB" w14:textId="77777777" w:rsidR="00CB7883" w:rsidRPr="000C42E6" w:rsidRDefault="00CB7883" w:rsidP="00CB7883">
      <w:pPr>
        <w:spacing w:after="0" w:line="240" w:lineRule="auto"/>
        <w:rPr>
          <w:rFonts w:ascii="Arial" w:eastAsia="Calibri" w:hAnsi="Arial" w:cs="Arial"/>
          <w:b/>
          <w:bCs/>
          <w:sz w:val="20"/>
          <w:szCs w:val="20"/>
          <w:lang w:eastAsia="es-MX"/>
        </w:rPr>
      </w:pPr>
      <w:r w:rsidRPr="000C42E6">
        <w:rPr>
          <w:rFonts w:ascii="Arial" w:eastAsia="DIN Next LT Pro" w:hAnsi="Arial" w:cs="Arial"/>
          <w:b/>
          <w:sz w:val="20"/>
          <w:szCs w:val="20"/>
        </w:rPr>
        <w:t>I</w:t>
      </w:r>
      <w:r w:rsidRPr="000C42E6">
        <w:rPr>
          <w:rFonts w:ascii="Arial" w:eastAsia="Calibri" w:hAnsi="Arial" w:cs="Arial"/>
          <w:b/>
          <w:sz w:val="20"/>
          <w:szCs w:val="20"/>
        </w:rPr>
        <w:t xml:space="preserve">) </w:t>
      </w:r>
      <w:r w:rsidRPr="000C42E6">
        <w:rPr>
          <w:rFonts w:ascii="Arial" w:eastAsia="Calibri" w:hAnsi="Arial" w:cs="Arial"/>
          <w:b/>
          <w:bCs/>
          <w:sz w:val="20"/>
          <w:szCs w:val="20"/>
          <w:lang w:eastAsia="es-MX"/>
        </w:rPr>
        <w:t>NOTAS AL ESTADO DE ACTIVIDADES</w:t>
      </w:r>
    </w:p>
    <w:p w14:paraId="333235D4" w14:textId="77777777" w:rsidR="00CB7883" w:rsidRPr="000C42E6" w:rsidRDefault="00CB7883" w:rsidP="00CB7883">
      <w:pPr>
        <w:spacing w:after="0" w:line="240" w:lineRule="auto"/>
        <w:rPr>
          <w:rFonts w:ascii="Arial" w:eastAsia="Calibri" w:hAnsi="Arial" w:cs="Arial"/>
          <w:b/>
          <w:bCs/>
          <w:sz w:val="20"/>
          <w:szCs w:val="20"/>
          <w:lang w:eastAsia="es-MX"/>
        </w:rPr>
      </w:pPr>
    </w:p>
    <w:p w14:paraId="2847D36B" w14:textId="7A22886E" w:rsidR="00CB7883" w:rsidRPr="000C42E6" w:rsidRDefault="00CB7883" w:rsidP="00CB7883">
      <w:pPr>
        <w:spacing w:after="200" w:line="276" w:lineRule="auto"/>
        <w:rPr>
          <w:rFonts w:ascii="Arial" w:eastAsia="Times New Roman" w:hAnsi="Arial" w:cs="Arial"/>
          <w:b/>
          <w:bCs/>
          <w:color w:val="000000"/>
          <w:sz w:val="20"/>
          <w:szCs w:val="20"/>
          <w:lang w:eastAsia="es-MX"/>
        </w:rPr>
      </w:pPr>
      <w:r w:rsidRPr="000C42E6">
        <w:rPr>
          <w:rFonts w:ascii="Arial" w:eastAsia="Calibri" w:hAnsi="Arial" w:cs="Arial"/>
          <w:b/>
          <w:bCs/>
          <w:sz w:val="20"/>
          <w:szCs w:val="20"/>
          <w:u w:val="single"/>
          <w:lang w:eastAsia="es-MX"/>
        </w:rPr>
        <w:t>Ingresos y</w:t>
      </w:r>
      <w:r w:rsidR="00AB701F" w:rsidRPr="000C42E6">
        <w:rPr>
          <w:rFonts w:ascii="Arial" w:eastAsia="Calibri" w:hAnsi="Arial" w:cs="Arial"/>
          <w:b/>
          <w:bCs/>
          <w:sz w:val="20"/>
          <w:szCs w:val="20"/>
          <w:u w:val="single"/>
          <w:lang w:eastAsia="es-MX"/>
        </w:rPr>
        <w:t xml:space="preserve"> Otros Beneficios</w:t>
      </w:r>
      <w:r w:rsidR="00566BF1">
        <w:rPr>
          <w:rFonts w:ascii="Arial" w:eastAsia="Calibri" w:hAnsi="Arial" w:cs="Arial"/>
          <w:b/>
          <w:bCs/>
          <w:sz w:val="20"/>
          <w:szCs w:val="20"/>
          <w:u w:val="single"/>
          <w:lang w:eastAsia="es-MX"/>
        </w:rPr>
        <w:t>: $70</w:t>
      </w:r>
      <w:proofErr w:type="gramStart"/>
      <w:r w:rsidR="00566BF1">
        <w:rPr>
          <w:rFonts w:ascii="Arial" w:eastAsia="Calibri" w:hAnsi="Arial" w:cs="Arial"/>
          <w:b/>
          <w:bCs/>
          <w:sz w:val="20"/>
          <w:szCs w:val="20"/>
          <w:u w:val="single"/>
          <w:lang w:eastAsia="es-MX"/>
        </w:rPr>
        <w:t>,869,439,171</w:t>
      </w:r>
      <w:proofErr w:type="gramEnd"/>
    </w:p>
    <w:p w14:paraId="66867BB2" w14:textId="77777777" w:rsidR="00CB7883" w:rsidRPr="000C42E6" w:rsidRDefault="00CB7883" w:rsidP="00CB7883">
      <w:pPr>
        <w:spacing w:after="200" w:line="276"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Ingresos de Gestión</w:t>
      </w:r>
    </w:p>
    <w:p w14:paraId="504454F9" w14:textId="77777777" w:rsidR="00CB7883" w:rsidRPr="000C42E6" w:rsidRDefault="00CB7883" w:rsidP="00E059F3">
      <w:pPr>
        <w:spacing w:after="200" w:line="276" w:lineRule="auto"/>
        <w:rPr>
          <w:rFonts w:ascii="Arial" w:eastAsia="Times New Roman" w:hAnsi="Arial" w:cs="Arial"/>
          <w:b/>
          <w:color w:val="000000"/>
          <w:sz w:val="20"/>
          <w:szCs w:val="20"/>
          <w:lang w:eastAsia="es-MX"/>
        </w:rPr>
      </w:pPr>
      <w:r w:rsidRPr="000C42E6">
        <w:rPr>
          <w:rFonts w:ascii="Arial" w:eastAsia="Times New Roman" w:hAnsi="Arial" w:cs="Arial"/>
          <w:bCs/>
          <w:color w:val="000000"/>
          <w:sz w:val="20"/>
          <w:szCs w:val="20"/>
          <w:lang w:eastAsia="es-MX"/>
        </w:rPr>
        <w:t>Provienen de la recaudación propia del Estado, cuyo objetivo principal es financiar los servicios y obras públicas que requiere la población y los gastos de operación y administrativos generados por las dependencias y órganos estatales.</w:t>
      </w:r>
      <w:r w:rsidRPr="000C42E6">
        <w:rPr>
          <w:rFonts w:ascii="Arial" w:eastAsia="Times New Roman" w:hAnsi="Arial" w:cs="Arial"/>
          <w:b/>
          <w:color w:val="000000"/>
          <w:sz w:val="20"/>
          <w:szCs w:val="20"/>
          <w:lang w:eastAsia="es-MX"/>
        </w:rPr>
        <w:t xml:space="preserve">  </w:t>
      </w:r>
    </w:p>
    <w:tbl>
      <w:tblPr>
        <w:tblW w:w="10073" w:type="dxa"/>
        <w:jc w:val="center"/>
        <w:tblCellMar>
          <w:left w:w="70" w:type="dxa"/>
          <w:right w:w="70" w:type="dxa"/>
        </w:tblCellMar>
        <w:tblLook w:val="04A0" w:firstRow="1" w:lastRow="0" w:firstColumn="1" w:lastColumn="0" w:noHBand="0" w:noVBand="1"/>
      </w:tblPr>
      <w:tblGrid>
        <w:gridCol w:w="7762"/>
        <w:gridCol w:w="1531"/>
        <w:gridCol w:w="780"/>
      </w:tblGrid>
      <w:tr w:rsidR="00045BC1" w:rsidRPr="000C42E6" w14:paraId="4E7466F5" w14:textId="77777777" w:rsidTr="00D8734A">
        <w:trPr>
          <w:trHeight w:val="555"/>
          <w:jc w:val="center"/>
        </w:trPr>
        <w:tc>
          <w:tcPr>
            <w:tcW w:w="7762"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48E108F" w14:textId="77777777" w:rsidR="00045BC1" w:rsidRPr="000C42E6" w:rsidRDefault="00045BC1" w:rsidP="00045BC1">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de Impuestos</w:t>
            </w:r>
          </w:p>
        </w:tc>
        <w:tc>
          <w:tcPr>
            <w:tcW w:w="1531" w:type="dxa"/>
            <w:tcBorders>
              <w:top w:val="single" w:sz="4" w:space="0" w:color="auto"/>
              <w:left w:val="nil"/>
              <w:bottom w:val="single" w:sz="4" w:space="0" w:color="auto"/>
              <w:right w:val="single" w:sz="4" w:space="0" w:color="auto"/>
            </w:tcBorders>
            <w:shd w:val="clear" w:color="000000" w:fill="A6A6A6"/>
            <w:vAlign w:val="center"/>
            <w:hideMark/>
          </w:tcPr>
          <w:p w14:paraId="796908C2" w14:textId="77777777" w:rsidR="00C7577E"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Saldos al 31de diciembre </w:t>
            </w:r>
          </w:p>
          <w:p w14:paraId="191E14B8" w14:textId="4D81E673" w:rsidR="00045BC1"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780" w:type="dxa"/>
            <w:tcBorders>
              <w:top w:val="single" w:sz="4" w:space="0" w:color="auto"/>
              <w:left w:val="nil"/>
              <w:bottom w:val="single" w:sz="4" w:space="0" w:color="auto"/>
              <w:right w:val="single" w:sz="4" w:space="0" w:color="auto"/>
            </w:tcBorders>
            <w:shd w:val="clear" w:color="000000" w:fill="A6A6A6"/>
            <w:vAlign w:val="center"/>
            <w:hideMark/>
          </w:tcPr>
          <w:p w14:paraId="320D975C"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045BC1" w:rsidRPr="000C42E6" w14:paraId="30B6B4B7"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629EAA3B"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Impuestos Sobre Ingresos</w:t>
            </w:r>
          </w:p>
        </w:tc>
        <w:tc>
          <w:tcPr>
            <w:tcW w:w="1531" w:type="dxa"/>
            <w:tcBorders>
              <w:top w:val="nil"/>
              <w:left w:val="nil"/>
              <w:bottom w:val="single" w:sz="4" w:space="0" w:color="auto"/>
              <w:right w:val="single" w:sz="4" w:space="0" w:color="auto"/>
            </w:tcBorders>
            <w:shd w:val="clear" w:color="000000" w:fill="FFFFFF"/>
            <w:vAlign w:val="center"/>
            <w:hideMark/>
          </w:tcPr>
          <w:p w14:paraId="7BF5827B"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67,263,022</w:t>
            </w:r>
          </w:p>
        </w:tc>
        <w:tc>
          <w:tcPr>
            <w:tcW w:w="780" w:type="dxa"/>
            <w:tcBorders>
              <w:top w:val="nil"/>
              <w:left w:val="nil"/>
              <w:bottom w:val="single" w:sz="4" w:space="0" w:color="auto"/>
              <w:right w:val="single" w:sz="4" w:space="0" w:color="auto"/>
            </w:tcBorders>
            <w:shd w:val="clear" w:color="auto" w:fill="auto"/>
            <w:noWrap/>
            <w:vAlign w:val="center"/>
            <w:hideMark/>
          </w:tcPr>
          <w:p w14:paraId="149B9BDA"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1.94</w:t>
            </w:r>
          </w:p>
        </w:tc>
      </w:tr>
      <w:tr w:rsidR="00045BC1" w:rsidRPr="000C42E6" w14:paraId="7FEA40AC"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6C3FA4FF"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Impuestos Sobre el Patrimonio</w:t>
            </w:r>
          </w:p>
        </w:tc>
        <w:tc>
          <w:tcPr>
            <w:tcW w:w="1531" w:type="dxa"/>
            <w:tcBorders>
              <w:top w:val="nil"/>
              <w:left w:val="nil"/>
              <w:bottom w:val="single" w:sz="4" w:space="0" w:color="auto"/>
              <w:right w:val="single" w:sz="4" w:space="0" w:color="auto"/>
            </w:tcBorders>
            <w:shd w:val="clear" w:color="000000" w:fill="FFFFFF"/>
            <w:vAlign w:val="center"/>
            <w:hideMark/>
          </w:tcPr>
          <w:p w14:paraId="60A9C6A4"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3,939,090</w:t>
            </w:r>
          </w:p>
        </w:tc>
        <w:tc>
          <w:tcPr>
            <w:tcW w:w="780" w:type="dxa"/>
            <w:tcBorders>
              <w:top w:val="nil"/>
              <w:left w:val="nil"/>
              <w:bottom w:val="single" w:sz="4" w:space="0" w:color="auto"/>
              <w:right w:val="single" w:sz="4" w:space="0" w:color="auto"/>
            </w:tcBorders>
            <w:shd w:val="clear" w:color="auto" w:fill="auto"/>
            <w:noWrap/>
            <w:vAlign w:val="center"/>
            <w:hideMark/>
          </w:tcPr>
          <w:p w14:paraId="6C367318"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0.11</w:t>
            </w:r>
          </w:p>
        </w:tc>
      </w:tr>
      <w:tr w:rsidR="00045BC1" w:rsidRPr="000C42E6" w14:paraId="17A4CBCC" w14:textId="77777777" w:rsidTr="00D8734A">
        <w:trPr>
          <w:trHeight w:val="296"/>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58C0087C"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Impuestos Sobre la Producción, el Consumo y las Transacciones</w:t>
            </w:r>
          </w:p>
        </w:tc>
        <w:tc>
          <w:tcPr>
            <w:tcW w:w="1531" w:type="dxa"/>
            <w:tcBorders>
              <w:top w:val="nil"/>
              <w:left w:val="nil"/>
              <w:bottom w:val="single" w:sz="4" w:space="0" w:color="auto"/>
              <w:right w:val="single" w:sz="4" w:space="0" w:color="auto"/>
            </w:tcBorders>
            <w:shd w:val="clear" w:color="000000" w:fill="FFFFFF"/>
            <w:vAlign w:val="center"/>
            <w:hideMark/>
          </w:tcPr>
          <w:p w14:paraId="5A125C94"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114,871,142</w:t>
            </w:r>
          </w:p>
        </w:tc>
        <w:tc>
          <w:tcPr>
            <w:tcW w:w="780" w:type="dxa"/>
            <w:tcBorders>
              <w:top w:val="nil"/>
              <w:left w:val="nil"/>
              <w:bottom w:val="single" w:sz="4" w:space="0" w:color="auto"/>
              <w:right w:val="single" w:sz="4" w:space="0" w:color="auto"/>
            </w:tcBorders>
            <w:shd w:val="clear" w:color="auto" w:fill="auto"/>
            <w:noWrap/>
            <w:vAlign w:val="center"/>
            <w:hideMark/>
          </w:tcPr>
          <w:p w14:paraId="0D768A50"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3.31</w:t>
            </w:r>
          </w:p>
        </w:tc>
      </w:tr>
      <w:tr w:rsidR="00045BC1" w:rsidRPr="000C42E6" w14:paraId="704E0026"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282B1572"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Impuestos Sobre Nóminas y Asimilables</w:t>
            </w:r>
          </w:p>
        </w:tc>
        <w:tc>
          <w:tcPr>
            <w:tcW w:w="1531" w:type="dxa"/>
            <w:tcBorders>
              <w:top w:val="nil"/>
              <w:left w:val="nil"/>
              <w:bottom w:val="single" w:sz="4" w:space="0" w:color="auto"/>
              <w:right w:val="single" w:sz="4" w:space="0" w:color="auto"/>
            </w:tcBorders>
            <w:shd w:val="clear" w:color="000000" w:fill="FFFFFF"/>
            <w:vAlign w:val="center"/>
            <w:hideMark/>
          </w:tcPr>
          <w:p w14:paraId="17E28312"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3,257,678,987</w:t>
            </w:r>
          </w:p>
        </w:tc>
        <w:tc>
          <w:tcPr>
            <w:tcW w:w="780" w:type="dxa"/>
            <w:tcBorders>
              <w:top w:val="nil"/>
              <w:left w:val="nil"/>
              <w:bottom w:val="single" w:sz="4" w:space="0" w:color="auto"/>
              <w:right w:val="single" w:sz="4" w:space="0" w:color="auto"/>
            </w:tcBorders>
            <w:shd w:val="clear" w:color="auto" w:fill="auto"/>
            <w:noWrap/>
            <w:vAlign w:val="center"/>
            <w:hideMark/>
          </w:tcPr>
          <w:p w14:paraId="67CAF60B"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93.73</w:t>
            </w:r>
          </w:p>
        </w:tc>
      </w:tr>
      <w:tr w:rsidR="00045BC1" w:rsidRPr="000C42E6" w14:paraId="35ABB35B"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7B68B12E"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Accesorios de Impuestos</w:t>
            </w:r>
          </w:p>
        </w:tc>
        <w:tc>
          <w:tcPr>
            <w:tcW w:w="1531" w:type="dxa"/>
            <w:tcBorders>
              <w:top w:val="nil"/>
              <w:left w:val="nil"/>
              <w:bottom w:val="single" w:sz="4" w:space="0" w:color="auto"/>
              <w:right w:val="single" w:sz="4" w:space="0" w:color="auto"/>
            </w:tcBorders>
            <w:shd w:val="clear" w:color="000000" w:fill="FFFFFF"/>
            <w:vAlign w:val="center"/>
            <w:hideMark/>
          </w:tcPr>
          <w:p w14:paraId="7A6229D1"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22,143,274</w:t>
            </w:r>
          </w:p>
        </w:tc>
        <w:tc>
          <w:tcPr>
            <w:tcW w:w="780" w:type="dxa"/>
            <w:tcBorders>
              <w:top w:val="nil"/>
              <w:left w:val="nil"/>
              <w:bottom w:val="single" w:sz="4" w:space="0" w:color="auto"/>
              <w:right w:val="single" w:sz="4" w:space="0" w:color="auto"/>
            </w:tcBorders>
            <w:shd w:val="clear" w:color="auto" w:fill="auto"/>
            <w:noWrap/>
            <w:vAlign w:val="center"/>
            <w:hideMark/>
          </w:tcPr>
          <w:p w14:paraId="22EB3DB9"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0.64</w:t>
            </w:r>
          </w:p>
        </w:tc>
      </w:tr>
      <w:tr w:rsidR="00045BC1" w:rsidRPr="000C42E6" w14:paraId="30D011B1" w14:textId="77777777" w:rsidTr="00D8734A">
        <w:trPr>
          <w:trHeight w:val="381"/>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170C7909"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Impuestos no Comprendidos en la Ley de Ingresos Vigente, Causados en Ejercicios Fiscales Anteriores pendientes de Liquidación o Pago.</w:t>
            </w:r>
          </w:p>
        </w:tc>
        <w:tc>
          <w:tcPr>
            <w:tcW w:w="1531" w:type="dxa"/>
            <w:tcBorders>
              <w:top w:val="nil"/>
              <w:left w:val="nil"/>
              <w:bottom w:val="single" w:sz="4" w:space="0" w:color="auto"/>
              <w:right w:val="single" w:sz="4" w:space="0" w:color="auto"/>
            </w:tcBorders>
            <w:shd w:val="clear" w:color="000000" w:fill="FFFFFF"/>
            <w:vAlign w:val="center"/>
            <w:hideMark/>
          </w:tcPr>
          <w:p w14:paraId="548C12FA"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9,645,760</w:t>
            </w:r>
          </w:p>
        </w:tc>
        <w:tc>
          <w:tcPr>
            <w:tcW w:w="780" w:type="dxa"/>
            <w:tcBorders>
              <w:top w:val="nil"/>
              <w:left w:val="nil"/>
              <w:bottom w:val="single" w:sz="4" w:space="0" w:color="auto"/>
              <w:right w:val="single" w:sz="4" w:space="0" w:color="auto"/>
            </w:tcBorders>
            <w:shd w:val="clear" w:color="auto" w:fill="auto"/>
            <w:noWrap/>
            <w:vAlign w:val="center"/>
            <w:hideMark/>
          </w:tcPr>
          <w:p w14:paraId="1CC0F051"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0.28</w:t>
            </w:r>
          </w:p>
        </w:tc>
      </w:tr>
      <w:tr w:rsidR="00045BC1" w:rsidRPr="000C42E6" w14:paraId="5FCA076C" w14:textId="77777777" w:rsidTr="00D8734A">
        <w:trPr>
          <w:trHeight w:val="285"/>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39438AF8"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31" w:type="dxa"/>
            <w:tcBorders>
              <w:top w:val="nil"/>
              <w:left w:val="nil"/>
              <w:bottom w:val="single" w:sz="4" w:space="0" w:color="auto"/>
              <w:right w:val="single" w:sz="4" w:space="0" w:color="auto"/>
            </w:tcBorders>
            <w:shd w:val="clear" w:color="auto" w:fill="auto"/>
            <w:vAlign w:val="center"/>
            <w:hideMark/>
          </w:tcPr>
          <w:p w14:paraId="6F37137F"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3,475,541,275</w:t>
            </w:r>
          </w:p>
        </w:tc>
        <w:tc>
          <w:tcPr>
            <w:tcW w:w="780" w:type="dxa"/>
            <w:tcBorders>
              <w:top w:val="nil"/>
              <w:left w:val="nil"/>
              <w:bottom w:val="single" w:sz="4" w:space="0" w:color="auto"/>
              <w:right w:val="single" w:sz="4" w:space="0" w:color="auto"/>
            </w:tcBorders>
            <w:shd w:val="clear" w:color="auto" w:fill="auto"/>
            <w:noWrap/>
            <w:vAlign w:val="center"/>
            <w:hideMark/>
          </w:tcPr>
          <w:p w14:paraId="2EF3F350"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r w:rsidR="00045BC1" w:rsidRPr="000C42E6" w14:paraId="3A424697" w14:textId="77777777" w:rsidTr="00D8734A">
        <w:trPr>
          <w:trHeight w:val="300"/>
          <w:jc w:val="center"/>
        </w:trPr>
        <w:tc>
          <w:tcPr>
            <w:tcW w:w="7762"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48B9F63" w14:textId="77777777" w:rsidR="00045BC1" w:rsidRPr="000C42E6" w:rsidRDefault="00045BC1" w:rsidP="00045BC1">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de Derechos</w:t>
            </w:r>
          </w:p>
        </w:tc>
        <w:tc>
          <w:tcPr>
            <w:tcW w:w="1531" w:type="dxa"/>
            <w:tcBorders>
              <w:top w:val="single" w:sz="4" w:space="0" w:color="auto"/>
              <w:left w:val="nil"/>
              <w:bottom w:val="single" w:sz="4" w:space="0" w:color="auto"/>
              <w:right w:val="single" w:sz="4" w:space="0" w:color="auto"/>
            </w:tcBorders>
            <w:shd w:val="clear" w:color="000000" w:fill="A6A6A6"/>
            <w:vAlign w:val="center"/>
            <w:hideMark/>
          </w:tcPr>
          <w:p w14:paraId="4A0FD860" w14:textId="77777777" w:rsidR="00C7577E"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Saldos al 31de diciembre </w:t>
            </w:r>
          </w:p>
          <w:p w14:paraId="5B6E7B0B" w14:textId="5CECC832" w:rsidR="00045BC1"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780" w:type="dxa"/>
            <w:tcBorders>
              <w:top w:val="single" w:sz="4" w:space="0" w:color="auto"/>
              <w:left w:val="nil"/>
              <w:bottom w:val="single" w:sz="4" w:space="0" w:color="auto"/>
              <w:right w:val="single" w:sz="4" w:space="0" w:color="auto"/>
            </w:tcBorders>
            <w:shd w:val="clear" w:color="000000" w:fill="A6A6A6"/>
            <w:vAlign w:val="center"/>
            <w:hideMark/>
          </w:tcPr>
          <w:p w14:paraId="38734C48"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045BC1" w:rsidRPr="000C42E6" w14:paraId="06D42F5B"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1B9ADFEE"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Derechos por Prestación de Servicios</w:t>
            </w:r>
          </w:p>
        </w:tc>
        <w:tc>
          <w:tcPr>
            <w:tcW w:w="1531" w:type="dxa"/>
            <w:tcBorders>
              <w:top w:val="nil"/>
              <w:left w:val="nil"/>
              <w:bottom w:val="single" w:sz="4" w:space="0" w:color="auto"/>
              <w:right w:val="single" w:sz="4" w:space="0" w:color="auto"/>
            </w:tcBorders>
            <w:shd w:val="clear" w:color="000000" w:fill="FFFFFF"/>
            <w:vAlign w:val="center"/>
            <w:hideMark/>
          </w:tcPr>
          <w:p w14:paraId="1F8D7578"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1,777,848,779</w:t>
            </w:r>
          </w:p>
        </w:tc>
        <w:tc>
          <w:tcPr>
            <w:tcW w:w="780" w:type="dxa"/>
            <w:tcBorders>
              <w:top w:val="nil"/>
              <w:left w:val="nil"/>
              <w:bottom w:val="single" w:sz="4" w:space="0" w:color="auto"/>
              <w:right w:val="single" w:sz="4" w:space="0" w:color="auto"/>
            </w:tcBorders>
            <w:shd w:val="clear" w:color="auto" w:fill="auto"/>
            <w:noWrap/>
            <w:vAlign w:val="center"/>
            <w:hideMark/>
          </w:tcPr>
          <w:p w14:paraId="10E0456D"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98.7</w:t>
            </w:r>
          </w:p>
        </w:tc>
      </w:tr>
      <w:tr w:rsidR="00045BC1" w:rsidRPr="000C42E6" w14:paraId="784A2A00"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152977D9"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Accesorios de Derechos</w:t>
            </w:r>
          </w:p>
        </w:tc>
        <w:tc>
          <w:tcPr>
            <w:tcW w:w="1531" w:type="dxa"/>
            <w:tcBorders>
              <w:top w:val="nil"/>
              <w:left w:val="nil"/>
              <w:bottom w:val="single" w:sz="4" w:space="0" w:color="auto"/>
              <w:right w:val="single" w:sz="4" w:space="0" w:color="auto"/>
            </w:tcBorders>
            <w:shd w:val="clear" w:color="000000" w:fill="FFFFFF"/>
            <w:vAlign w:val="center"/>
            <w:hideMark/>
          </w:tcPr>
          <w:p w14:paraId="72E785BD"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8,964,739</w:t>
            </w:r>
          </w:p>
        </w:tc>
        <w:tc>
          <w:tcPr>
            <w:tcW w:w="780" w:type="dxa"/>
            <w:tcBorders>
              <w:top w:val="nil"/>
              <w:left w:val="nil"/>
              <w:bottom w:val="single" w:sz="4" w:space="0" w:color="auto"/>
              <w:right w:val="single" w:sz="4" w:space="0" w:color="auto"/>
            </w:tcBorders>
            <w:shd w:val="clear" w:color="auto" w:fill="auto"/>
            <w:noWrap/>
            <w:vAlign w:val="center"/>
            <w:hideMark/>
          </w:tcPr>
          <w:p w14:paraId="37028F8F"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0.50</w:t>
            </w:r>
          </w:p>
        </w:tc>
      </w:tr>
      <w:tr w:rsidR="00045BC1" w:rsidRPr="000C42E6" w14:paraId="70A5F4BC"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503A4606"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Otros Derechos</w:t>
            </w:r>
          </w:p>
        </w:tc>
        <w:tc>
          <w:tcPr>
            <w:tcW w:w="1531" w:type="dxa"/>
            <w:tcBorders>
              <w:top w:val="nil"/>
              <w:left w:val="nil"/>
              <w:bottom w:val="single" w:sz="4" w:space="0" w:color="auto"/>
              <w:right w:val="single" w:sz="4" w:space="0" w:color="auto"/>
            </w:tcBorders>
            <w:shd w:val="clear" w:color="000000" w:fill="FFFFFF"/>
            <w:vAlign w:val="center"/>
            <w:hideMark/>
          </w:tcPr>
          <w:p w14:paraId="669D301D"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14,437,807</w:t>
            </w:r>
          </w:p>
        </w:tc>
        <w:tc>
          <w:tcPr>
            <w:tcW w:w="780" w:type="dxa"/>
            <w:tcBorders>
              <w:top w:val="nil"/>
              <w:left w:val="nil"/>
              <w:bottom w:val="single" w:sz="4" w:space="0" w:color="auto"/>
              <w:right w:val="single" w:sz="4" w:space="0" w:color="auto"/>
            </w:tcBorders>
            <w:shd w:val="clear" w:color="auto" w:fill="auto"/>
            <w:noWrap/>
            <w:vAlign w:val="center"/>
            <w:hideMark/>
          </w:tcPr>
          <w:p w14:paraId="374BC3DE"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0.80</w:t>
            </w:r>
          </w:p>
        </w:tc>
      </w:tr>
      <w:tr w:rsidR="00045BC1" w:rsidRPr="000C42E6" w14:paraId="416E9B0F"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29AACF60"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31" w:type="dxa"/>
            <w:tcBorders>
              <w:top w:val="nil"/>
              <w:left w:val="nil"/>
              <w:bottom w:val="single" w:sz="4" w:space="0" w:color="auto"/>
              <w:right w:val="single" w:sz="4" w:space="0" w:color="auto"/>
            </w:tcBorders>
            <w:shd w:val="clear" w:color="000000" w:fill="FFFFFF"/>
            <w:vAlign w:val="center"/>
            <w:hideMark/>
          </w:tcPr>
          <w:p w14:paraId="18E2721D"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1,801,251,325</w:t>
            </w:r>
          </w:p>
        </w:tc>
        <w:tc>
          <w:tcPr>
            <w:tcW w:w="780" w:type="dxa"/>
            <w:tcBorders>
              <w:top w:val="nil"/>
              <w:left w:val="nil"/>
              <w:bottom w:val="single" w:sz="4" w:space="0" w:color="auto"/>
              <w:right w:val="single" w:sz="4" w:space="0" w:color="auto"/>
            </w:tcBorders>
            <w:shd w:val="clear" w:color="auto" w:fill="auto"/>
            <w:noWrap/>
            <w:vAlign w:val="center"/>
            <w:hideMark/>
          </w:tcPr>
          <w:p w14:paraId="42408D04"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r w:rsidR="00045BC1" w:rsidRPr="000C42E6" w14:paraId="555FA60F" w14:textId="77777777" w:rsidTr="00D8734A">
        <w:trPr>
          <w:trHeight w:val="300"/>
          <w:jc w:val="center"/>
        </w:trPr>
        <w:tc>
          <w:tcPr>
            <w:tcW w:w="7762" w:type="dxa"/>
            <w:tcBorders>
              <w:top w:val="nil"/>
              <w:left w:val="single" w:sz="4" w:space="0" w:color="auto"/>
              <w:bottom w:val="single" w:sz="4" w:space="0" w:color="auto"/>
              <w:right w:val="single" w:sz="4" w:space="0" w:color="auto"/>
            </w:tcBorders>
            <w:shd w:val="clear" w:color="000000" w:fill="A6A6A6"/>
            <w:vAlign w:val="center"/>
            <w:hideMark/>
          </w:tcPr>
          <w:p w14:paraId="4B3F68AA" w14:textId="77777777" w:rsidR="00045BC1" w:rsidRPr="000C42E6" w:rsidRDefault="00045BC1" w:rsidP="00045BC1">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de Productos</w:t>
            </w:r>
          </w:p>
        </w:tc>
        <w:tc>
          <w:tcPr>
            <w:tcW w:w="1531" w:type="dxa"/>
            <w:tcBorders>
              <w:top w:val="nil"/>
              <w:left w:val="nil"/>
              <w:bottom w:val="single" w:sz="4" w:space="0" w:color="auto"/>
              <w:right w:val="single" w:sz="4" w:space="0" w:color="auto"/>
            </w:tcBorders>
            <w:shd w:val="clear" w:color="000000" w:fill="A6A6A6"/>
            <w:vAlign w:val="center"/>
            <w:hideMark/>
          </w:tcPr>
          <w:p w14:paraId="5A9F0FE8"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Importes</w:t>
            </w:r>
          </w:p>
        </w:tc>
        <w:tc>
          <w:tcPr>
            <w:tcW w:w="780" w:type="dxa"/>
            <w:tcBorders>
              <w:top w:val="nil"/>
              <w:left w:val="nil"/>
              <w:bottom w:val="single" w:sz="4" w:space="0" w:color="auto"/>
              <w:right w:val="single" w:sz="4" w:space="0" w:color="auto"/>
            </w:tcBorders>
            <w:shd w:val="clear" w:color="000000" w:fill="A6A6A6"/>
            <w:vAlign w:val="center"/>
            <w:hideMark/>
          </w:tcPr>
          <w:p w14:paraId="2332226E"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045BC1" w:rsidRPr="000C42E6" w14:paraId="0DA0F218"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51726DF5" w14:textId="011BFD1C" w:rsidR="00045BC1" w:rsidRPr="000C42E6" w:rsidRDefault="00045BC1" w:rsidP="00045BC1">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Productos</w:t>
            </w:r>
          </w:p>
        </w:tc>
        <w:tc>
          <w:tcPr>
            <w:tcW w:w="1531" w:type="dxa"/>
            <w:tcBorders>
              <w:top w:val="nil"/>
              <w:left w:val="nil"/>
              <w:bottom w:val="single" w:sz="4" w:space="0" w:color="auto"/>
              <w:right w:val="single" w:sz="4" w:space="0" w:color="auto"/>
            </w:tcBorders>
            <w:shd w:val="clear" w:color="000000" w:fill="FFFFFF"/>
            <w:vAlign w:val="center"/>
            <w:hideMark/>
          </w:tcPr>
          <w:p w14:paraId="2DF1280C" w14:textId="77777777" w:rsidR="00045BC1" w:rsidRPr="000C42E6" w:rsidRDefault="00045BC1" w:rsidP="00F76370">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315,933,894</w:t>
            </w:r>
          </w:p>
        </w:tc>
        <w:tc>
          <w:tcPr>
            <w:tcW w:w="780" w:type="dxa"/>
            <w:tcBorders>
              <w:top w:val="nil"/>
              <w:left w:val="nil"/>
              <w:bottom w:val="single" w:sz="4" w:space="0" w:color="auto"/>
              <w:right w:val="single" w:sz="4" w:space="0" w:color="auto"/>
            </w:tcBorders>
            <w:shd w:val="clear" w:color="auto" w:fill="auto"/>
            <w:noWrap/>
            <w:vAlign w:val="center"/>
            <w:hideMark/>
          </w:tcPr>
          <w:p w14:paraId="179A183F"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r w:rsidR="00045BC1" w:rsidRPr="000C42E6" w14:paraId="6DA87A93" w14:textId="77777777" w:rsidTr="00D8734A">
        <w:trPr>
          <w:trHeight w:val="480"/>
          <w:jc w:val="center"/>
        </w:trPr>
        <w:tc>
          <w:tcPr>
            <w:tcW w:w="7762" w:type="dxa"/>
            <w:tcBorders>
              <w:top w:val="nil"/>
              <w:left w:val="single" w:sz="4" w:space="0" w:color="auto"/>
              <w:bottom w:val="single" w:sz="4" w:space="0" w:color="auto"/>
              <w:right w:val="single" w:sz="4" w:space="0" w:color="auto"/>
            </w:tcBorders>
            <w:shd w:val="clear" w:color="000000" w:fill="A6A6A6"/>
            <w:vAlign w:val="center"/>
            <w:hideMark/>
          </w:tcPr>
          <w:p w14:paraId="727447F3" w14:textId="77777777" w:rsidR="00045BC1" w:rsidRPr="000C42E6" w:rsidRDefault="00045BC1" w:rsidP="00045BC1">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de Aprovechamientos</w:t>
            </w:r>
          </w:p>
        </w:tc>
        <w:tc>
          <w:tcPr>
            <w:tcW w:w="1531" w:type="dxa"/>
            <w:tcBorders>
              <w:top w:val="nil"/>
              <w:left w:val="nil"/>
              <w:bottom w:val="single" w:sz="4" w:space="0" w:color="auto"/>
              <w:right w:val="single" w:sz="4" w:space="0" w:color="auto"/>
            </w:tcBorders>
            <w:shd w:val="clear" w:color="000000" w:fill="A6A6A6"/>
            <w:vAlign w:val="center"/>
            <w:hideMark/>
          </w:tcPr>
          <w:p w14:paraId="474D52AD" w14:textId="77777777" w:rsidR="00C7577E"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Saldos al 31de diciembre </w:t>
            </w:r>
          </w:p>
          <w:p w14:paraId="71F92F2F" w14:textId="7C698957" w:rsidR="00045BC1"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780" w:type="dxa"/>
            <w:tcBorders>
              <w:top w:val="nil"/>
              <w:left w:val="nil"/>
              <w:bottom w:val="single" w:sz="4" w:space="0" w:color="auto"/>
              <w:right w:val="single" w:sz="4" w:space="0" w:color="auto"/>
            </w:tcBorders>
            <w:shd w:val="clear" w:color="000000" w:fill="A6A6A6"/>
            <w:vAlign w:val="center"/>
            <w:hideMark/>
          </w:tcPr>
          <w:p w14:paraId="7F940C4A"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045BC1" w:rsidRPr="000C42E6" w14:paraId="7351D885"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737357CE"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Multas</w:t>
            </w:r>
          </w:p>
        </w:tc>
        <w:tc>
          <w:tcPr>
            <w:tcW w:w="1531" w:type="dxa"/>
            <w:tcBorders>
              <w:top w:val="nil"/>
              <w:left w:val="nil"/>
              <w:bottom w:val="single" w:sz="4" w:space="0" w:color="auto"/>
              <w:right w:val="single" w:sz="4" w:space="0" w:color="auto"/>
            </w:tcBorders>
            <w:shd w:val="clear" w:color="000000" w:fill="FFFFFF"/>
            <w:vAlign w:val="center"/>
            <w:hideMark/>
          </w:tcPr>
          <w:p w14:paraId="2AFC6429"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74,675,214</w:t>
            </w:r>
          </w:p>
        </w:tc>
        <w:tc>
          <w:tcPr>
            <w:tcW w:w="780" w:type="dxa"/>
            <w:tcBorders>
              <w:top w:val="nil"/>
              <w:left w:val="nil"/>
              <w:bottom w:val="single" w:sz="4" w:space="0" w:color="auto"/>
              <w:right w:val="single" w:sz="4" w:space="0" w:color="auto"/>
            </w:tcBorders>
            <w:shd w:val="clear" w:color="auto" w:fill="auto"/>
            <w:noWrap/>
            <w:vAlign w:val="center"/>
            <w:hideMark/>
          </w:tcPr>
          <w:p w14:paraId="2F9B4925"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7.25</w:t>
            </w:r>
          </w:p>
        </w:tc>
      </w:tr>
      <w:tr w:rsidR="00045BC1" w:rsidRPr="000C42E6" w14:paraId="33D692EB"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25EC5C7B"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lastRenderedPageBreak/>
              <w:t>Indemnizaciones</w:t>
            </w:r>
          </w:p>
        </w:tc>
        <w:tc>
          <w:tcPr>
            <w:tcW w:w="1531" w:type="dxa"/>
            <w:tcBorders>
              <w:top w:val="nil"/>
              <w:left w:val="nil"/>
              <w:bottom w:val="single" w:sz="4" w:space="0" w:color="auto"/>
              <w:right w:val="single" w:sz="4" w:space="0" w:color="auto"/>
            </w:tcBorders>
            <w:shd w:val="clear" w:color="000000" w:fill="FFFFFF"/>
            <w:vAlign w:val="center"/>
            <w:hideMark/>
          </w:tcPr>
          <w:p w14:paraId="77A49F64"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w:t>
            </w:r>
          </w:p>
        </w:tc>
        <w:tc>
          <w:tcPr>
            <w:tcW w:w="780" w:type="dxa"/>
            <w:tcBorders>
              <w:top w:val="nil"/>
              <w:left w:val="nil"/>
              <w:bottom w:val="single" w:sz="4" w:space="0" w:color="auto"/>
              <w:right w:val="single" w:sz="4" w:space="0" w:color="auto"/>
            </w:tcBorders>
            <w:shd w:val="clear" w:color="auto" w:fill="auto"/>
            <w:noWrap/>
            <w:vAlign w:val="center"/>
            <w:hideMark/>
          </w:tcPr>
          <w:p w14:paraId="0183AED3"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0.00</w:t>
            </w:r>
          </w:p>
        </w:tc>
      </w:tr>
      <w:tr w:rsidR="00045BC1" w:rsidRPr="000C42E6" w14:paraId="4991CBED"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49CF190A"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Reintegros</w:t>
            </w:r>
          </w:p>
        </w:tc>
        <w:tc>
          <w:tcPr>
            <w:tcW w:w="1531" w:type="dxa"/>
            <w:tcBorders>
              <w:top w:val="nil"/>
              <w:left w:val="nil"/>
              <w:bottom w:val="single" w:sz="4" w:space="0" w:color="auto"/>
              <w:right w:val="single" w:sz="4" w:space="0" w:color="auto"/>
            </w:tcBorders>
            <w:shd w:val="clear" w:color="auto" w:fill="auto"/>
            <w:vAlign w:val="center"/>
            <w:hideMark/>
          </w:tcPr>
          <w:p w14:paraId="2900678B"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44,151,465</w:t>
            </w:r>
          </w:p>
        </w:tc>
        <w:tc>
          <w:tcPr>
            <w:tcW w:w="780" w:type="dxa"/>
            <w:tcBorders>
              <w:top w:val="nil"/>
              <w:left w:val="nil"/>
              <w:bottom w:val="single" w:sz="4" w:space="0" w:color="auto"/>
              <w:right w:val="single" w:sz="4" w:space="0" w:color="auto"/>
            </w:tcBorders>
            <w:shd w:val="clear" w:color="auto" w:fill="auto"/>
            <w:noWrap/>
            <w:vAlign w:val="center"/>
            <w:hideMark/>
          </w:tcPr>
          <w:p w14:paraId="0F9105A2"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4.29</w:t>
            </w:r>
          </w:p>
        </w:tc>
      </w:tr>
      <w:tr w:rsidR="00045BC1" w:rsidRPr="000C42E6" w14:paraId="02B3B51A"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79492626"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Accesorios de Aprovechamientos</w:t>
            </w:r>
          </w:p>
        </w:tc>
        <w:tc>
          <w:tcPr>
            <w:tcW w:w="1531" w:type="dxa"/>
            <w:tcBorders>
              <w:top w:val="nil"/>
              <w:left w:val="nil"/>
              <w:bottom w:val="single" w:sz="4" w:space="0" w:color="auto"/>
              <w:right w:val="single" w:sz="4" w:space="0" w:color="auto"/>
            </w:tcBorders>
            <w:shd w:val="clear" w:color="000000" w:fill="FFFFFF"/>
            <w:vAlign w:val="center"/>
            <w:hideMark/>
          </w:tcPr>
          <w:p w14:paraId="064984F5"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1,741,610</w:t>
            </w:r>
          </w:p>
        </w:tc>
        <w:tc>
          <w:tcPr>
            <w:tcW w:w="780" w:type="dxa"/>
            <w:tcBorders>
              <w:top w:val="nil"/>
              <w:left w:val="nil"/>
              <w:bottom w:val="single" w:sz="4" w:space="0" w:color="auto"/>
              <w:right w:val="single" w:sz="4" w:space="0" w:color="auto"/>
            </w:tcBorders>
            <w:shd w:val="clear" w:color="auto" w:fill="auto"/>
            <w:noWrap/>
            <w:vAlign w:val="center"/>
            <w:hideMark/>
          </w:tcPr>
          <w:p w14:paraId="4D7E55F0"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0.17</w:t>
            </w:r>
          </w:p>
        </w:tc>
      </w:tr>
      <w:tr w:rsidR="00045BC1" w:rsidRPr="000C42E6" w14:paraId="213E6DD7"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433762EA"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Otros Aprovechamientos</w:t>
            </w:r>
          </w:p>
        </w:tc>
        <w:tc>
          <w:tcPr>
            <w:tcW w:w="1531" w:type="dxa"/>
            <w:tcBorders>
              <w:top w:val="nil"/>
              <w:left w:val="nil"/>
              <w:bottom w:val="single" w:sz="4" w:space="0" w:color="auto"/>
              <w:right w:val="single" w:sz="4" w:space="0" w:color="auto"/>
            </w:tcBorders>
            <w:shd w:val="clear" w:color="000000" w:fill="FFFFFF"/>
            <w:vAlign w:val="center"/>
            <w:hideMark/>
          </w:tcPr>
          <w:p w14:paraId="3EDA74E4"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909,633,291</w:t>
            </w:r>
          </w:p>
        </w:tc>
        <w:tc>
          <w:tcPr>
            <w:tcW w:w="780" w:type="dxa"/>
            <w:tcBorders>
              <w:top w:val="nil"/>
              <w:left w:val="nil"/>
              <w:bottom w:val="single" w:sz="4" w:space="0" w:color="auto"/>
              <w:right w:val="single" w:sz="4" w:space="0" w:color="auto"/>
            </w:tcBorders>
            <w:shd w:val="clear" w:color="auto" w:fill="auto"/>
            <w:noWrap/>
            <w:vAlign w:val="center"/>
            <w:hideMark/>
          </w:tcPr>
          <w:p w14:paraId="5DC31D0D"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88.30</w:t>
            </w:r>
          </w:p>
        </w:tc>
      </w:tr>
      <w:tr w:rsidR="00045BC1" w:rsidRPr="000C42E6" w14:paraId="36388CB0" w14:textId="77777777" w:rsidTr="00D8734A">
        <w:trPr>
          <w:trHeight w:val="270"/>
          <w:jc w:val="center"/>
        </w:trPr>
        <w:tc>
          <w:tcPr>
            <w:tcW w:w="7762" w:type="dxa"/>
            <w:tcBorders>
              <w:top w:val="nil"/>
              <w:left w:val="single" w:sz="4" w:space="0" w:color="auto"/>
              <w:bottom w:val="nil"/>
              <w:right w:val="single" w:sz="4" w:space="0" w:color="auto"/>
            </w:tcBorders>
            <w:shd w:val="clear" w:color="auto" w:fill="auto"/>
            <w:vAlign w:val="center"/>
            <w:hideMark/>
          </w:tcPr>
          <w:p w14:paraId="73089D14"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31" w:type="dxa"/>
            <w:tcBorders>
              <w:top w:val="nil"/>
              <w:left w:val="nil"/>
              <w:bottom w:val="nil"/>
              <w:right w:val="single" w:sz="4" w:space="0" w:color="auto"/>
            </w:tcBorders>
            <w:shd w:val="clear" w:color="000000" w:fill="FFFFFF"/>
            <w:vAlign w:val="center"/>
            <w:hideMark/>
          </w:tcPr>
          <w:p w14:paraId="2C7F0F83"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1,030,201,581</w:t>
            </w:r>
          </w:p>
        </w:tc>
        <w:tc>
          <w:tcPr>
            <w:tcW w:w="780" w:type="dxa"/>
            <w:tcBorders>
              <w:top w:val="nil"/>
              <w:left w:val="nil"/>
              <w:bottom w:val="single" w:sz="4" w:space="0" w:color="auto"/>
              <w:right w:val="single" w:sz="4" w:space="0" w:color="auto"/>
            </w:tcBorders>
            <w:shd w:val="clear" w:color="auto" w:fill="auto"/>
            <w:noWrap/>
            <w:vAlign w:val="center"/>
            <w:hideMark/>
          </w:tcPr>
          <w:p w14:paraId="2182E930"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r w:rsidR="00045BC1" w:rsidRPr="000C42E6" w14:paraId="2EEC54AD" w14:textId="77777777" w:rsidTr="009C4E1D">
        <w:trPr>
          <w:trHeight w:val="179"/>
          <w:jc w:val="center"/>
        </w:trPr>
        <w:tc>
          <w:tcPr>
            <w:tcW w:w="7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A02E5"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 de Ingresos de Gestión</w:t>
            </w:r>
          </w:p>
        </w:tc>
        <w:tc>
          <w:tcPr>
            <w:tcW w:w="2311" w:type="dxa"/>
            <w:gridSpan w:val="2"/>
            <w:tcBorders>
              <w:top w:val="single" w:sz="4" w:space="0" w:color="auto"/>
              <w:left w:val="nil"/>
              <w:bottom w:val="single" w:sz="4" w:space="0" w:color="auto"/>
              <w:right w:val="single" w:sz="4" w:space="0" w:color="000000"/>
            </w:tcBorders>
            <w:shd w:val="clear" w:color="000000" w:fill="FFFFFF"/>
            <w:vAlign w:val="center"/>
            <w:hideMark/>
          </w:tcPr>
          <w:p w14:paraId="0DCDE58F" w14:textId="77777777" w:rsidR="00045BC1" w:rsidRPr="000C42E6" w:rsidRDefault="00045BC1" w:rsidP="0004006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6,622,928,074</w:t>
            </w:r>
          </w:p>
        </w:tc>
      </w:tr>
      <w:tr w:rsidR="00045BC1" w:rsidRPr="000C42E6" w14:paraId="0766B1C2" w14:textId="77777777" w:rsidTr="00D8734A">
        <w:trPr>
          <w:trHeight w:val="786"/>
          <w:jc w:val="center"/>
        </w:trPr>
        <w:tc>
          <w:tcPr>
            <w:tcW w:w="7762" w:type="dxa"/>
            <w:tcBorders>
              <w:top w:val="nil"/>
              <w:left w:val="single" w:sz="4" w:space="0" w:color="auto"/>
              <w:bottom w:val="single" w:sz="4" w:space="0" w:color="auto"/>
              <w:right w:val="single" w:sz="4" w:space="0" w:color="auto"/>
            </w:tcBorders>
            <w:shd w:val="clear" w:color="000000" w:fill="A6A6A6"/>
            <w:vAlign w:val="center"/>
            <w:hideMark/>
          </w:tcPr>
          <w:p w14:paraId="3B792D64" w14:textId="77777777" w:rsidR="00045BC1" w:rsidRPr="000C42E6" w:rsidRDefault="00045BC1" w:rsidP="00946B18">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Participaciones, Aportaciones, Convenios, Incentivos Derivados de la Colaboración Fiscal y Fondos Distintos de Aportaciones</w:t>
            </w:r>
          </w:p>
        </w:tc>
        <w:tc>
          <w:tcPr>
            <w:tcW w:w="1531" w:type="dxa"/>
            <w:tcBorders>
              <w:top w:val="nil"/>
              <w:left w:val="nil"/>
              <w:bottom w:val="single" w:sz="4" w:space="0" w:color="auto"/>
              <w:right w:val="single" w:sz="4" w:space="0" w:color="auto"/>
            </w:tcBorders>
            <w:shd w:val="clear" w:color="000000" w:fill="A6A6A6"/>
            <w:vAlign w:val="center"/>
            <w:hideMark/>
          </w:tcPr>
          <w:p w14:paraId="15AE48F2" w14:textId="77777777" w:rsidR="00C7577E"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Saldos al 31de diciembre </w:t>
            </w:r>
          </w:p>
          <w:p w14:paraId="32CF262D" w14:textId="5A312622" w:rsidR="00045BC1" w:rsidRPr="000C42E6" w:rsidRDefault="00C7577E" w:rsidP="00C7577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780" w:type="dxa"/>
            <w:tcBorders>
              <w:top w:val="nil"/>
              <w:left w:val="nil"/>
              <w:bottom w:val="single" w:sz="4" w:space="0" w:color="auto"/>
              <w:right w:val="single" w:sz="4" w:space="0" w:color="auto"/>
            </w:tcBorders>
            <w:shd w:val="clear" w:color="000000" w:fill="A6A6A6"/>
            <w:vAlign w:val="center"/>
            <w:hideMark/>
          </w:tcPr>
          <w:p w14:paraId="4FF865D0"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045BC1" w:rsidRPr="000C42E6" w14:paraId="0BFE80EA"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09BE271D"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Participaciones</w:t>
            </w:r>
          </w:p>
        </w:tc>
        <w:tc>
          <w:tcPr>
            <w:tcW w:w="1531" w:type="dxa"/>
            <w:tcBorders>
              <w:top w:val="nil"/>
              <w:left w:val="nil"/>
              <w:bottom w:val="single" w:sz="4" w:space="0" w:color="auto"/>
              <w:right w:val="nil"/>
            </w:tcBorders>
            <w:shd w:val="clear" w:color="000000" w:fill="FFFFFF"/>
            <w:hideMark/>
          </w:tcPr>
          <w:p w14:paraId="5EEF2986" w14:textId="37C1BFFE" w:rsidR="00045BC1" w:rsidRPr="000C42E6" w:rsidRDefault="0080602D" w:rsidP="00045BC1">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31,538,151,521</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818D70B" w14:textId="06845320" w:rsidR="00045BC1" w:rsidRPr="000C42E6" w:rsidRDefault="0080602D" w:rsidP="003F031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49.0</w:t>
            </w:r>
            <w:r w:rsidR="003F0312">
              <w:rPr>
                <w:rFonts w:ascii="Arial" w:eastAsia="Times New Roman" w:hAnsi="Arial" w:cs="Arial"/>
                <w:color w:val="000000"/>
                <w:sz w:val="20"/>
                <w:szCs w:val="20"/>
                <w:lang w:eastAsia="es-MX"/>
              </w:rPr>
              <w:t>9</w:t>
            </w:r>
          </w:p>
        </w:tc>
      </w:tr>
      <w:tr w:rsidR="00045BC1" w:rsidRPr="000C42E6" w14:paraId="3BD9BBBD"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3DA44229"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Aportaciones</w:t>
            </w:r>
          </w:p>
        </w:tc>
        <w:tc>
          <w:tcPr>
            <w:tcW w:w="1531" w:type="dxa"/>
            <w:tcBorders>
              <w:top w:val="nil"/>
              <w:left w:val="nil"/>
              <w:bottom w:val="single" w:sz="4" w:space="0" w:color="auto"/>
              <w:right w:val="nil"/>
            </w:tcBorders>
            <w:shd w:val="clear" w:color="000000" w:fill="FFFFFF"/>
            <w:hideMark/>
          </w:tcPr>
          <w:p w14:paraId="618AFEBA"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20,575,029,202</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C5B0BA0"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32.52</w:t>
            </w:r>
          </w:p>
        </w:tc>
      </w:tr>
      <w:tr w:rsidR="00045BC1" w:rsidRPr="000C42E6" w14:paraId="1CA61EF7"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2B04077F"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Convenios</w:t>
            </w:r>
          </w:p>
        </w:tc>
        <w:tc>
          <w:tcPr>
            <w:tcW w:w="1531" w:type="dxa"/>
            <w:tcBorders>
              <w:top w:val="nil"/>
              <w:left w:val="nil"/>
              <w:bottom w:val="single" w:sz="4" w:space="0" w:color="auto"/>
              <w:right w:val="nil"/>
            </w:tcBorders>
            <w:shd w:val="clear" w:color="000000" w:fill="FFFFFF"/>
            <w:hideMark/>
          </w:tcPr>
          <w:p w14:paraId="54A051B3"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9,067,193,580</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56B3392"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14.33</w:t>
            </w:r>
          </w:p>
        </w:tc>
      </w:tr>
      <w:tr w:rsidR="00045BC1" w:rsidRPr="000C42E6" w14:paraId="1C699471"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2BFEA2AD"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Incentivos Derivados de la Colaboración Fiscal</w:t>
            </w:r>
          </w:p>
        </w:tc>
        <w:tc>
          <w:tcPr>
            <w:tcW w:w="1531" w:type="dxa"/>
            <w:tcBorders>
              <w:top w:val="nil"/>
              <w:left w:val="nil"/>
              <w:bottom w:val="single" w:sz="4" w:space="0" w:color="auto"/>
              <w:right w:val="nil"/>
            </w:tcBorders>
            <w:shd w:val="clear" w:color="000000" w:fill="FFFFFF"/>
            <w:hideMark/>
          </w:tcPr>
          <w:p w14:paraId="62B3A27C"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1,213,735,618</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06D4E82"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1.92</w:t>
            </w:r>
          </w:p>
        </w:tc>
      </w:tr>
      <w:tr w:rsidR="00045BC1" w:rsidRPr="000C42E6" w14:paraId="074EBD25"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197063E8"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Fondos Distintos de Aportaciones</w:t>
            </w:r>
          </w:p>
        </w:tc>
        <w:tc>
          <w:tcPr>
            <w:tcW w:w="1531" w:type="dxa"/>
            <w:tcBorders>
              <w:top w:val="nil"/>
              <w:left w:val="nil"/>
              <w:bottom w:val="single" w:sz="4" w:space="0" w:color="auto"/>
              <w:right w:val="nil"/>
            </w:tcBorders>
            <w:shd w:val="clear" w:color="000000" w:fill="FFFFFF"/>
            <w:hideMark/>
          </w:tcPr>
          <w:p w14:paraId="07B57F3F" w14:textId="77777777" w:rsidR="00045BC1" w:rsidRPr="000C42E6" w:rsidRDefault="00045BC1" w:rsidP="00045BC1">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1,850,628,677</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8DF3DB2" w14:textId="77777777" w:rsidR="00045BC1" w:rsidRPr="000C42E6" w:rsidRDefault="00045BC1" w:rsidP="00045BC1">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2.93</w:t>
            </w:r>
          </w:p>
        </w:tc>
      </w:tr>
      <w:tr w:rsidR="00045BC1" w:rsidRPr="000C42E6" w14:paraId="3F2A7B0B"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72BAE1FF" w14:textId="77777777" w:rsidR="00045BC1" w:rsidRPr="000C42E6" w:rsidRDefault="00045BC1" w:rsidP="00045BC1">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31" w:type="dxa"/>
            <w:tcBorders>
              <w:top w:val="nil"/>
              <w:left w:val="nil"/>
              <w:bottom w:val="single" w:sz="4" w:space="0" w:color="auto"/>
              <w:right w:val="single" w:sz="4" w:space="0" w:color="auto"/>
            </w:tcBorders>
            <w:shd w:val="clear" w:color="000000" w:fill="FFFFFF"/>
            <w:hideMark/>
          </w:tcPr>
          <w:p w14:paraId="067CDE43" w14:textId="160E3171" w:rsidR="00045BC1" w:rsidRPr="000C42E6" w:rsidRDefault="0080602D" w:rsidP="00045BC1">
            <w:pPr>
              <w:spacing w:after="0" w:line="240" w:lineRule="auto"/>
              <w:jc w:val="right"/>
              <w:rPr>
                <w:rFonts w:ascii="Arial" w:eastAsia="Times New Roman" w:hAnsi="Arial" w:cs="Arial"/>
                <w:b/>
                <w:bCs/>
                <w:color w:val="000000"/>
                <w:sz w:val="20"/>
                <w:szCs w:val="20"/>
                <w:lang w:eastAsia="es-MX"/>
              </w:rPr>
            </w:pPr>
            <w:r w:rsidRPr="0080602D">
              <w:rPr>
                <w:rFonts w:ascii="Arial" w:eastAsia="Times New Roman" w:hAnsi="Arial" w:cs="Arial"/>
                <w:b/>
                <w:bCs/>
                <w:color w:val="000000"/>
                <w:sz w:val="20"/>
                <w:szCs w:val="20"/>
                <w:lang w:eastAsia="es-MX"/>
              </w:rPr>
              <w:t>64,244,738,597</w:t>
            </w:r>
          </w:p>
        </w:tc>
        <w:tc>
          <w:tcPr>
            <w:tcW w:w="780" w:type="dxa"/>
            <w:tcBorders>
              <w:top w:val="nil"/>
              <w:left w:val="nil"/>
              <w:bottom w:val="single" w:sz="4" w:space="0" w:color="auto"/>
              <w:right w:val="single" w:sz="4" w:space="0" w:color="auto"/>
            </w:tcBorders>
            <w:shd w:val="clear" w:color="auto" w:fill="auto"/>
            <w:noWrap/>
            <w:vAlign w:val="bottom"/>
            <w:hideMark/>
          </w:tcPr>
          <w:p w14:paraId="7F677618"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r w:rsidR="00045BC1" w:rsidRPr="000C42E6" w14:paraId="2E7F3F12" w14:textId="77777777" w:rsidTr="00D8734A">
        <w:trPr>
          <w:trHeight w:val="385"/>
          <w:jc w:val="center"/>
        </w:trPr>
        <w:tc>
          <w:tcPr>
            <w:tcW w:w="7762" w:type="dxa"/>
            <w:tcBorders>
              <w:top w:val="nil"/>
              <w:left w:val="single" w:sz="4" w:space="0" w:color="auto"/>
              <w:bottom w:val="single" w:sz="4" w:space="0" w:color="auto"/>
              <w:right w:val="single" w:sz="4" w:space="0" w:color="auto"/>
            </w:tcBorders>
            <w:shd w:val="clear" w:color="000000" w:fill="A6A6A6"/>
            <w:hideMark/>
          </w:tcPr>
          <w:p w14:paraId="5BBF2671" w14:textId="77777777" w:rsidR="00045BC1" w:rsidRPr="000C42E6" w:rsidRDefault="00045BC1" w:rsidP="00946B18">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Transferencias, Asignaciones, Subsidios y Subvenciones, y Pensiones y Jubilaciones</w:t>
            </w:r>
          </w:p>
        </w:tc>
        <w:tc>
          <w:tcPr>
            <w:tcW w:w="1531" w:type="dxa"/>
            <w:tcBorders>
              <w:top w:val="nil"/>
              <w:left w:val="nil"/>
              <w:bottom w:val="single" w:sz="4" w:space="0" w:color="auto"/>
              <w:right w:val="single" w:sz="4" w:space="0" w:color="auto"/>
            </w:tcBorders>
            <w:shd w:val="clear" w:color="000000" w:fill="A6A6A6"/>
            <w:vAlign w:val="center"/>
            <w:hideMark/>
          </w:tcPr>
          <w:p w14:paraId="4F32A7E6" w14:textId="68FD8575" w:rsidR="00045BC1" w:rsidRPr="000C42E6" w:rsidRDefault="00C7577E" w:rsidP="00D8734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Saldos al 31de diciembre 2025</w:t>
            </w:r>
          </w:p>
        </w:tc>
        <w:tc>
          <w:tcPr>
            <w:tcW w:w="780" w:type="dxa"/>
            <w:tcBorders>
              <w:top w:val="nil"/>
              <w:left w:val="nil"/>
              <w:bottom w:val="single" w:sz="4" w:space="0" w:color="auto"/>
              <w:right w:val="single" w:sz="4" w:space="0" w:color="auto"/>
            </w:tcBorders>
            <w:shd w:val="clear" w:color="000000" w:fill="A6A6A6"/>
            <w:vAlign w:val="center"/>
            <w:hideMark/>
          </w:tcPr>
          <w:p w14:paraId="655FFD24"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045BC1" w:rsidRPr="000C42E6" w14:paraId="3A376793" w14:textId="77777777" w:rsidTr="00D8734A">
        <w:trPr>
          <w:trHeight w:val="270"/>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62A36C14" w14:textId="77777777" w:rsidR="00045BC1" w:rsidRPr="000C42E6" w:rsidRDefault="00045BC1" w:rsidP="00045BC1">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Subsidios y Subvenciones</w:t>
            </w:r>
          </w:p>
        </w:tc>
        <w:tc>
          <w:tcPr>
            <w:tcW w:w="1531" w:type="dxa"/>
            <w:tcBorders>
              <w:top w:val="nil"/>
              <w:left w:val="nil"/>
              <w:bottom w:val="single" w:sz="4" w:space="0" w:color="auto"/>
              <w:right w:val="single" w:sz="4" w:space="0" w:color="auto"/>
            </w:tcBorders>
            <w:shd w:val="clear" w:color="000000" w:fill="FFFFFF"/>
            <w:hideMark/>
          </w:tcPr>
          <w:p w14:paraId="3276339A" w14:textId="77777777" w:rsidR="00045BC1" w:rsidRPr="000C42E6" w:rsidRDefault="00045BC1" w:rsidP="00F76370">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1,772,500</w:t>
            </w:r>
          </w:p>
        </w:tc>
        <w:tc>
          <w:tcPr>
            <w:tcW w:w="780" w:type="dxa"/>
            <w:tcBorders>
              <w:top w:val="nil"/>
              <w:left w:val="nil"/>
              <w:bottom w:val="single" w:sz="4" w:space="0" w:color="auto"/>
              <w:right w:val="single" w:sz="4" w:space="0" w:color="auto"/>
            </w:tcBorders>
            <w:shd w:val="clear" w:color="auto" w:fill="auto"/>
            <w:noWrap/>
            <w:vAlign w:val="bottom"/>
            <w:hideMark/>
          </w:tcPr>
          <w:p w14:paraId="7BA669D7" w14:textId="77777777" w:rsidR="00045BC1" w:rsidRPr="000C42E6" w:rsidRDefault="00045BC1" w:rsidP="00045BC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r w:rsidR="00045BC1" w:rsidRPr="000C42E6" w14:paraId="1A1BB213" w14:textId="77777777" w:rsidTr="00D8734A">
        <w:trPr>
          <w:trHeight w:val="825"/>
          <w:jc w:val="center"/>
        </w:trPr>
        <w:tc>
          <w:tcPr>
            <w:tcW w:w="7762" w:type="dxa"/>
            <w:tcBorders>
              <w:top w:val="nil"/>
              <w:left w:val="single" w:sz="4" w:space="0" w:color="auto"/>
              <w:bottom w:val="single" w:sz="4" w:space="0" w:color="auto"/>
              <w:right w:val="single" w:sz="4" w:space="0" w:color="auto"/>
            </w:tcBorders>
            <w:shd w:val="clear" w:color="auto" w:fill="auto"/>
            <w:vAlign w:val="center"/>
            <w:hideMark/>
          </w:tcPr>
          <w:p w14:paraId="7A8D3FA6" w14:textId="2E868991" w:rsidR="00045BC1" w:rsidRPr="000C42E6" w:rsidRDefault="00045BC1" w:rsidP="00946B18">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Total Participaciones, Aportaciones, Convenios, Incentivos Derivados de la Colaboración Fiscal y Fondos Distintos de Aportaciones, </w:t>
            </w:r>
            <w:r w:rsidR="001A1F04" w:rsidRPr="000C42E6">
              <w:rPr>
                <w:rFonts w:ascii="Arial" w:eastAsia="Times New Roman" w:hAnsi="Arial" w:cs="Arial"/>
                <w:b/>
                <w:bCs/>
                <w:color w:val="000000"/>
                <w:sz w:val="20"/>
                <w:szCs w:val="20"/>
                <w:lang w:eastAsia="es-MX"/>
              </w:rPr>
              <w:t>Transferencias, Asignaciones</w:t>
            </w:r>
            <w:r w:rsidRPr="000C42E6">
              <w:rPr>
                <w:rFonts w:ascii="Arial" w:eastAsia="Times New Roman" w:hAnsi="Arial" w:cs="Arial"/>
                <w:b/>
                <w:bCs/>
                <w:color w:val="000000"/>
                <w:sz w:val="20"/>
                <w:szCs w:val="20"/>
                <w:lang w:eastAsia="es-MX"/>
              </w:rPr>
              <w:t>, Subsidios y Subvenciones, y Pensiones y Jubilaciones.</w:t>
            </w:r>
          </w:p>
        </w:tc>
        <w:tc>
          <w:tcPr>
            <w:tcW w:w="2311" w:type="dxa"/>
            <w:gridSpan w:val="2"/>
            <w:tcBorders>
              <w:top w:val="single" w:sz="4" w:space="0" w:color="auto"/>
              <w:left w:val="nil"/>
              <w:bottom w:val="single" w:sz="4" w:space="0" w:color="auto"/>
              <w:right w:val="single" w:sz="4" w:space="0" w:color="000000"/>
            </w:tcBorders>
            <w:shd w:val="clear" w:color="auto" w:fill="auto"/>
            <w:vAlign w:val="center"/>
            <w:hideMark/>
          </w:tcPr>
          <w:p w14:paraId="17CFCDED" w14:textId="34A0441A" w:rsidR="00045BC1" w:rsidRPr="000C42E6" w:rsidRDefault="0080602D" w:rsidP="00040063">
            <w:pPr>
              <w:spacing w:after="0" w:line="240" w:lineRule="auto"/>
              <w:jc w:val="center"/>
              <w:rPr>
                <w:rFonts w:ascii="Arial" w:eastAsia="Times New Roman" w:hAnsi="Arial" w:cs="Arial"/>
                <w:b/>
                <w:bCs/>
                <w:color w:val="000000"/>
                <w:sz w:val="20"/>
                <w:szCs w:val="20"/>
                <w:lang w:eastAsia="es-MX"/>
              </w:rPr>
            </w:pPr>
            <w:r w:rsidRPr="0080602D">
              <w:rPr>
                <w:rFonts w:ascii="Arial" w:eastAsia="Times New Roman" w:hAnsi="Arial" w:cs="Arial"/>
                <w:b/>
                <w:bCs/>
                <w:color w:val="000000"/>
                <w:sz w:val="20"/>
                <w:szCs w:val="20"/>
                <w:lang w:eastAsia="es-MX"/>
              </w:rPr>
              <w:t>64,246,511,097</w:t>
            </w:r>
          </w:p>
        </w:tc>
      </w:tr>
    </w:tbl>
    <w:p w14:paraId="4E264345" w14:textId="77777777" w:rsidR="005740EA" w:rsidRDefault="005740EA">
      <w:pPr>
        <w:rPr>
          <w:rFonts w:ascii="Arial" w:hAnsi="Arial" w:cs="Arial"/>
          <w:sz w:val="20"/>
          <w:szCs w:val="20"/>
        </w:rPr>
      </w:pPr>
    </w:p>
    <w:p w14:paraId="64B9B4C8" w14:textId="77777777" w:rsidR="003B581E" w:rsidRPr="000C42E6" w:rsidRDefault="00F647EB" w:rsidP="003B581E">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Otros Ingresos y Beneficios</w:t>
      </w:r>
    </w:p>
    <w:p w14:paraId="53DF5187" w14:textId="77777777" w:rsidR="003B581E" w:rsidRPr="000C42E6" w:rsidRDefault="003B581E" w:rsidP="003B581E">
      <w:pPr>
        <w:spacing w:after="0" w:line="240" w:lineRule="auto"/>
        <w:rPr>
          <w:rFonts w:ascii="Arial" w:eastAsia="Times New Roman" w:hAnsi="Arial" w:cs="Arial"/>
          <w:b/>
          <w:bCs/>
          <w:color w:val="000000"/>
          <w:sz w:val="20"/>
          <w:szCs w:val="20"/>
          <w:lang w:eastAsia="es-MX"/>
        </w:rPr>
      </w:pPr>
    </w:p>
    <w:p w14:paraId="5DBEFAF2" w14:textId="43594CAD" w:rsidR="00F647EB" w:rsidRPr="000C42E6" w:rsidRDefault="00F647EB" w:rsidP="003B581E">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No se tienen ingresos en los rubros que integran este grupo  contable.</w:t>
      </w:r>
    </w:p>
    <w:p w14:paraId="02ADF00F" w14:textId="77777777" w:rsidR="005D078B" w:rsidRPr="000C42E6" w:rsidRDefault="005D078B" w:rsidP="005D078B">
      <w:pPr>
        <w:spacing w:after="0" w:line="276" w:lineRule="auto"/>
        <w:jc w:val="both"/>
        <w:rPr>
          <w:rFonts w:ascii="Arial" w:eastAsia="Times New Roman" w:hAnsi="Arial" w:cs="Arial"/>
          <w:b/>
          <w:bCs/>
          <w:color w:val="000000"/>
          <w:sz w:val="20"/>
          <w:szCs w:val="20"/>
          <w:u w:val="single"/>
          <w:lang w:eastAsia="es-MX"/>
        </w:rPr>
      </w:pPr>
    </w:p>
    <w:p w14:paraId="65DF1044" w14:textId="04B154A7" w:rsidR="00CB7883" w:rsidRPr="000C42E6" w:rsidRDefault="000819D2" w:rsidP="00CB7883">
      <w:pPr>
        <w:spacing w:after="200" w:line="276"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u w:val="single"/>
          <w:lang w:eastAsia="es-MX"/>
        </w:rPr>
        <w:t xml:space="preserve">Gastos y Otras Pérdidas: </w:t>
      </w:r>
      <w:r w:rsidR="002C0D60" w:rsidRPr="000C42E6">
        <w:rPr>
          <w:rFonts w:ascii="Arial" w:eastAsia="Times New Roman" w:hAnsi="Arial" w:cs="Arial"/>
          <w:b/>
          <w:bCs/>
          <w:color w:val="000000"/>
          <w:sz w:val="20"/>
          <w:szCs w:val="20"/>
          <w:u w:val="single"/>
          <w:lang w:eastAsia="es-MX"/>
        </w:rPr>
        <w:t>$</w:t>
      </w:r>
      <w:r w:rsidR="005F7AFD" w:rsidRPr="000C42E6">
        <w:rPr>
          <w:rFonts w:ascii="Arial" w:eastAsia="Times New Roman" w:hAnsi="Arial" w:cs="Arial"/>
          <w:b/>
          <w:bCs/>
          <w:color w:val="000000"/>
          <w:sz w:val="20"/>
          <w:szCs w:val="20"/>
          <w:u w:val="single"/>
          <w:lang w:eastAsia="es-MX"/>
        </w:rPr>
        <w:t>69</w:t>
      </w:r>
      <w:proofErr w:type="gramStart"/>
      <w:r w:rsidR="005F7AFD" w:rsidRPr="000C42E6">
        <w:rPr>
          <w:rFonts w:ascii="Arial" w:eastAsia="Times New Roman" w:hAnsi="Arial" w:cs="Arial"/>
          <w:b/>
          <w:bCs/>
          <w:color w:val="000000"/>
          <w:sz w:val="20"/>
          <w:szCs w:val="20"/>
          <w:u w:val="single"/>
          <w:lang w:eastAsia="es-MX"/>
        </w:rPr>
        <w:t>,989,287,814</w:t>
      </w:r>
      <w:proofErr w:type="gramEnd"/>
    </w:p>
    <w:p w14:paraId="397FEFFA" w14:textId="77777777" w:rsidR="00CB7883" w:rsidRDefault="00CB7883" w:rsidP="00CB7883">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Gastos de Funcionamiento</w:t>
      </w:r>
    </w:p>
    <w:p w14:paraId="15212E8D" w14:textId="77777777" w:rsidR="006A2B01" w:rsidRDefault="006A2B01" w:rsidP="00CB7883">
      <w:pPr>
        <w:spacing w:after="0" w:line="240" w:lineRule="auto"/>
        <w:jc w:val="both"/>
        <w:rPr>
          <w:rFonts w:ascii="Arial" w:eastAsia="Times New Roman" w:hAnsi="Arial" w:cs="Arial"/>
          <w:b/>
          <w:bCs/>
          <w:color w:val="000000"/>
          <w:sz w:val="20"/>
          <w:szCs w:val="20"/>
          <w:lang w:eastAsia="es-MX"/>
        </w:rPr>
      </w:pPr>
    </w:p>
    <w:p w14:paraId="35038C33" w14:textId="77777777" w:rsidR="006A2B01" w:rsidRDefault="006A2B01" w:rsidP="00CB7883">
      <w:pPr>
        <w:spacing w:after="0" w:line="240" w:lineRule="auto"/>
        <w:jc w:val="both"/>
        <w:rPr>
          <w:rFonts w:ascii="Arial" w:eastAsia="Times New Roman" w:hAnsi="Arial" w:cs="Arial"/>
          <w:b/>
          <w:bCs/>
          <w:color w:val="000000"/>
          <w:sz w:val="20"/>
          <w:szCs w:val="20"/>
          <w:lang w:eastAsia="es-MX"/>
        </w:rPr>
      </w:pPr>
    </w:p>
    <w:p w14:paraId="6426441C" w14:textId="77777777" w:rsidR="006A2B01" w:rsidRDefault="006A2B01" w:rsidP="00CB7883">
      <w:pPr>
        <w:spacing w:after="0" w:line="240" w:lineRule="auto"/>
        <w:jc w:val="both"/>
        <w:rPr>
          <w:rFonts w:ascii="Arial" w:eastAsia="Times New Roman" w:hAnsi="Arial" w:cs="Arial"/>
          <w:b/>
          <w:bCs/>
          <w:color w:val="000000"/>
          <w:sz w:val="20"/>
          <w:szCs w:val="20"/>
          <w:lang w:eastAsia="es-MX"/>
        </w:rPr>
      </w:pPr>
    </w:p>
    <w:p w14:paraId="2B0FE03B" w14:textId="77777777" w:rsidR="006A2B01" w:rsidRDefault="006A2B01" w:rsidP="00CB7883">
      <w:pPr>
        <w:spacing w:after="0" w:line="240" w:lineRule="auto"/>
        <w:jc w:val="both"/>
        <w:rPr>
          <w:rFonts w:ascii="Arial" w:eastAsia="Times New Roman" w:hAnsi="Arial" w:cs="Arial"/>
          <w:b/>
          <w:bCs/>
          <w:color w:val="000000"/>
          <w:sz w:val="20"/>
          <w:szCs w:val="20"/>
          <w:lang w:eastAsia="es-MX"/>
        </w:rPr>
      </w:pPr>
    </w:p>
    <w:p w14:paraId="1B1A0D27" w14:textId="77777777" w:rsidR="006A2B01" w:rsidRPr="000C42E6" w:rsidRDefault="006A2B01" w:rsidP="00CB7883">
      <w:pPr>
        <w:spacing w:after="0" w:line="240" w:lineRule="auto"/>
        <w:jc w:val="both"/>
        <w:rPr>
          <w:rFonts w:ascii="Arial" w:eastAsia="Times New Roman" w:hAnsi="Arial" w:cs="Arial"/>
          <w:b/>
          <w:bCs/>
          <w:color w:val="000000"/>
          <w:sz w:val="20"/>
          <w:szCs w:val="20"/>
          <w:lang w:eastAsia="es-MX"/>
        </w:rPr>
      </w:pPr>
    </w:p>
    <w:p w14:paraId="17AAED43" w14:textId="77777777" w:rsidR="00062945" w:rsidRPr="000C42E6" w:rsidRDefault="00062945" w:rsidP="00CB7883">
      <w:pPr>
        <w:spacing w:after="0" w:line="240" w:lineRule="auto"/>
        <w:jc w:val="both"/>
        <w:rPr>
          <w:rFonts w:ascii="Arial" w:eastAsia="Times New Roman" w:hAnsi="Arial" w:cs="Arial"/>
          <w:b/>
          <w:bCs/>
          <w:color w:val="000000"/>
          <w:sz w:val="20"/>
          <w:szCs w:val="20"/>
          <w:lang w:eastAsia="es-MX"/>
        </w:rPr>
      </w:pPr>
    </w:p>
    <w:p w14:paraId="135CE4E8" w14:textId="77777777" w:rsidR="00062945" w:rsidRPr="000C42E6" w:rsidRDefault="00062945" w:rsidP="00CB7883">
      <w:pPr>
        <w:spacing w:after="0" w:line="240" w:lineRule="auto"/>
        <w:jc w:val="both"/>
        <w:rPr>
          <w:rFonts w:ascii="Arial" w:eastAsia="Times New Roman" w:hAnsi="Arial" w:cs="Arial"/>
          <w:b/>
          <w:bCs/>
          <w:color w:val="000000"/>
          <w:sz w:val="20"/>
          <w:szCs w:val="20"/>
          <w:lang w:eastAsia="es-MX"/>
        </w:rPr>
      </w:pPr>
    </w:p>
    <w:tbl>
      <w:tblPr>
        <w:tblW w:w="9801" w:type="dxa"/>
        <w:jc w:val="center"/>
        <w:tblCellMar>
          <w:left w:w="70" w:type="dxa"/>
          <w:right w:w="70" w:type="dxa"/>
        </w:tblCellMar>
        <w:tblLook w:val="04A0" w:firstRow="1" w:lastRow="0" w:firstColumn="1" w:lastColumn="0" w:noHBand="0" w:noVBand="1"/>
      </w:tblPr>
      <w:tblGrid>
        <w:gridCol w:w="7331"/>
        <w:gridCol w:w="1540"/>
        <w:gridCol w:w="930"/>
      </w:tblGrid>
      <w:tr w:rsidR="00320A5D" w:rsidRPr="000C42E6" w14:paraId="3DD2B68C" w14:textId="77777777" w:rsidTr="00D8734A">
        <w:trPr>
          <w:trHeight w:val="510"/>
          <w:jc w:val="center"/>
        </w:trPr>
        <w:tc>
          <w:tcPr>
            <w:tcW w:w="7331" w:type="dxa"/>
            <w:tcBorders>
              <w:top w:val="single" w:sz="8" w:space="0" w:color="auto"/>
              <w:left w:val="single" w:sz="8" w:space="0" w:color="auto"/>
              <w:bottom w:val="nil"/>
              <w:right w:val="single" w:sz="8" w:space="0" w:color="auto"/>
            </w:tcBorders>
            <w:shd w:val="clear" w:color="000000" w:fill="AEAAAA"/>
            <w:vAlign w:val="center"/>
            <w:hideMark/>
          </w:tcPr>
          <w:p w14:paraId="4AFA37DA" w14:textId="45D3E454" w:rsidR="00320A5D" w:rsidRPr="000C42E6" w:rsidRDefault="00320A5D" w:rsidP="008642EC">
            <w:pPr>
              <w:spacing w:after="0" w:line="240" w:lineRule="auto"/>
              <w:ind w:left="708" w:hanging="708"/>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lastRenderedPageBreak/>
              <w:t>Rubros que integran el grupo de Gastos de Funcionamiento</w:t>
            </w:r>
          </w:p>
        </w:tc>
        <w:tc>
          <w:tcPr>
            <w:tcW w:w="1540" w:type="dxa"/>
            <w:tcBorders>
              <w:top w:val="single" w:sz="8" w:space="0" w:color="auto"/>
              <w:left w:val="nil"/>
              <w:bottom w:val="nil"/>
              <w:right w:val="single" w:sz="8" w:space="0" w:color="auto"/>
            </w:tcBorders>
            <w:shd w:val="clear" w:color="000000" w:fill="AEAAAA"/>
            <w:noWrap/>
            <w:vAlign w:val="center"/>
            <w:hideMark/>
          </w:tcPr>
          <w:p w14:paraId="050346BF" w14:textId="77777777" w:rsidR="00710741"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Saldos al 31de diciembre </w:t>
            </w:r>
          </w:p>
          <w:p w14:paraId="7C3D94DC" w14:textId="69BDB061" w:rsidR="00320A5D"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r w:rsidR="00320A5D" w:rsidRPr="000C42E6">
              <w:rPr>
                <w:rFonts w:ascii="Arial" w:eastAsia="Times New Roman" w:hAnsi="Arial" w:cs="Arial"/>
                <w:b/>
                <w:bCs/>
                <w:color w:val="000000"/>
                <w:sz w:val="20"/>
                <w:szCs w:val="20"/>
                <w:lang w:eastAsia="es-MX"/>
              </w:rPr>
              <w:t xml:space="preserve"> </w:t>
            </w:r>
          </w:p>
        </w:tc>
        <w:tc>
          <w:tcPr>
            <w:tcW w:w="930" w:type="dxa"/>
            <w:tcBorders>
              <w:top w:val="single" w:sz="8" w:space="0" w:color="auto"/>
              <w:left w:val="nil"/>
              <w:bottom w:val="nil"/>
              <w:right w:val="single" w:sz="8" w:space="0" w:color="auto"/>
            </w:tcBorders>
            <w:shd w:val="clear" w:color="000000" w:fill="AEAAAA"/>
            <w:noWrap/>
            <w:vAlign w:val="center"/>
            <w:hideMark/>
          </w:tcPr>
          <w:p w14:paraId="6184C6FD" w14:textId="77777777" w:rsidR="00320A5D" w:rsidRPr="000C42E6" w:rsidRDefault="00320A5D" w:rsidP="00320A5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320A5D" w:rsidRPr="000C42E6" w14:paraId="1F118411" w14:textId="77777777" w:rsidTr="00D8734A">
        <w:trPr>
          <w:trHeight w:val="255"/>
          <w:jc w:val="center"/>
        </w:trPr>
        <w:tc>
          <w:tcPr>
            <w:tcW w:w="73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1DC25" w14:textId="77777777" w:rsidR="00320A5D" w:rsidRPr="000C42E6" w:rsidRDefault="00320A5D" w:rsidP="00320A5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Servicios Personales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5D5755A0" w14:textId="77777777" w:rsidR="00320A5D" w:rsidRPr="000C42E6" w:rsidRDefault="00320A5D" w:rsidP="00320A5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25,798,230,234</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14:paraId="7A7CC153" w14:textId="77777777" w:rsidR="00320A5D" w:rsidRPr="000C42E6" w:rsidRDefault="00320A5D" w:rsidP="00320A5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88.98</w:t>
            </w:r>
          </w:p>
        </w:tc>
      </w:tr>
      <w:tr w:rsidR="00320A5D" w:rsidRPr="000C42E6" w14:paraId="3BD2112E" w14:textId="77777777" w:rsidTr="00D8734A">
        <w:trPr>
          <w:trHeight w:val="255"/>
          <w:jc w:val="center"/>
        </w:trPr>
        <w:tc>
          <w:tcPr>
            <w:tcW w:w="7331" w:type="dxa"/>
            <w:tcBorders>
              <w:top w:val="nil"/>
              <w:left w:val="single" w:sz="4" w:space="0" w:color="auto"/>
              <w:bottom w:val="single" w:sz="4" w:space="0" w:color="auto"/>
              <w:right w:val="single" w:sz="4" w:space="0" w:color="auto"/>
            </w:tcBorders>
            <w:shd w:val="clear" w:color="auto" w:fill="auto"/>
            <w:vAlign w:val="bottom"/>
            <w:hideMark/>
          </w:tcPr>
          <w:p w14:paraId="7E043DD7" w14:textId="77777777" w:rsidR="00320A5D" w:rsidRPr="000C42E6" w:rsidRDefault="00320A5D" w:rsidP="00320A5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Materiales y Suministros</w:t>
            </w:r>
          </w:p>
        </w:tc>
        <w:tc>
          <w:tcPr>
            <w:tcW w:w="1540" w:type="dxa"/>
            <w:tcBorders>
              <w:top w:val="nil"/>
              <w:left w:val="nil"/>
              <w:bottom w:val="single" w:sz="4" w:space="0" w:color="auto"/>
              <w:right w:val="single" w:sz="4" w:space="0" w:color="auto"/>
            </w:tcBorders>
            <w:shd w:val="clear" w:color="auto" w:fill="auto"/>
            <w:vAlign w:val="bottom"/>
            <w:hideMark/>
          </w:tcPr>
          <w:p w14:paraId="03C54DC1" w14:textId="77777777" w:rsidR="00320A5D" w:rsidRPr="000C42E6" w:rsidRDefault="00320A5D" w:rsidP="00320A5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807,269,693</w:t>
            </w:r>
          </w:p>
        </w:tc>
        <w:tc>
          <w:tcPr>
            <w:tcW w:w="930" w:type="dxa"/>
            <w:tcBorders>
              <w:top w:val="nil"/>
              <w:left w:val="nil"/>
              <w:bottom w:val="single" w:sz="4" w:space="0" w:color="auto"/>
              <w:right w:val="single" w:sz="4" w:space="0" w:color="auto"/>
            </w:tcBorders>
            <w:shd w:val="clear" w:color="auto" w:fill="auto"/>
            <w:noWrap/>
            <w:vAlign w:val="bottom"/>
            <w:hideMark/>
          </w:tcPr>
          <w:p w14:paraId="4344A746" w14:textId="77777777" w:rsidR="00320A5D" w:rsidRPr="000C42E6" w:rsidRDefault="00320A5D" w:rsidP="00320A5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2.78</w:t>
            </w:r>
          </w:p>
        </w:tc>
      </w:tr>
      <w:tr w:rsidR="00320A5D" w:rsidRPr="000C42E6" w14:paraId="7FD95675" w14:textId="77777777" w:rsidTr="00D8734A">
        <w:trPr>
          <w:trHeight w:val="255"/>
          <w:jc w:val="center"/>
        </w:trPr>
        <w:tc>
          <w:tcPr>
            <w:tcW w:w="7331" w:type="dxa"/>
            <w:tcBorders>
              <w:top w:val="nil"/>
              <w:left w:val="single" w:sz="4" w:space="0" w:color="auto"/>
              <w:bottom w:val="single" w:sz="4" w:space="0" w:color="auto"/>
              <w:right w:val="single" w:sz="4" w:space="0" w:color="auto"/>
            </w:tcBorders>
            <w:shd w:val="clear" w:color="auto" w:fill="auto"/>
            <w:vAlign w:val="bottom"/>
            <w:hideMark/>
          </w:tcPr>
          <w:p w14:paraId="04E9E902" w14:textId="77777777" w:rsidR="00320A5D" w:rsidRPr="000C42E6" w:rsidRDefault="00320A5D" w:rsidP="00320A5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Servicios Generales</w:t>
            </w:r>
          </w:p>
        </w:tc>
        <w:tc>
          <w:tcPr>
            <w:tcW w:w="1540" w:type="dxa"/>
            <w:tcBorders>
              <w:top w:val="nil"/>
              <w:left w:val="nil"/>
              <w:bottom w:val="single" w:sz="4" w:space="0" w:color="auto"/>
              <w:right w:val="single" w:sz="4" w:space="0" w:color="auto"/>
            </w:tcBorders>
            <w:shd w:val="clear" w:color="auto" w:fill="auto"/>
            <w:vAlign w:val="bottom"/>
            <w:hideMark/>
          </w:tcPr>
          <w:p w14:paraId="1C9C964B" w14:textId="77777777" w:rsidR="00320A5D" w:rsidRPr="000C42E6" w:rsidRDefault="00320A5D" w:rsidP="00320A5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2,387,071,746</w:t>
            </w:r>
          </w:p>
        </w:tc>
        <w:tc>
          <w:tcPr>
            <w:tcW w:w="930" w:type="dxa"/>
            <w:tcBorders>
              <w:top w:val="nil"/>
              <w:left w:val="nil"/>
              <w:bottom w:val="single" w:sz="4" w:space="0" w:color="auto"/>
              <w:right w:val="single" w:sz="4" w:space="0" w:color="auto"/>
            </w:tcBorders>
            <w:shd w:val="clear" w:color="auto" w:fill="auto"/>
            <w:noWrap/>
            <w:vAlign w:val="bottom"/>
            <w:hideMark/>
          </w:tcPr>
          <w:p w14:paraId="3E3E874C" w14:textId="77777777" w:rsidR="00320A5D" w:rsidRPr="000C42E6" w:rsidRDefault="00320A5D" w:rsidP="00320A5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8.23</w:t>
            </w:r>
          </w:p>
        </w:tc>
      </w:tr>
      <w:tr w:rsidR="00320A5D" w:rsidRPr="000C42E6" w14:paraId="4282757A" w14:textId="77777777" w:rsidTr="00D8734A">
        <w:trPr>
          <w:trHeight w:val="255"/>
          <w:jc w:val="center"/>
        </w:trPr>
        <w:tc>
          <w:tcPr>
            <w:tcW w:w="7331" w:type="dxa"/>
            <w:tcBorders>
              <w:top w:val="nil"/>
              <w:left w:val="single" w:sz="4" w:space="0" w:color="auto"/>
              <w:bottom w:val="single" w:sz="4" w:space="0" w:color="auto"/>
              <w:right w:val="single" w:sz="4" w:space="0" w:color="auto"/>
            </w:tcBorders>
            <w:shd w:val="clear" w:color="auto" w:fill="auto"/>
            <w:vAlign w:val="bottom"/>
            <w:hideMark/>
          </w:tcPr>
          <w:p w14:paraId="4FD6BD44" w14:textId="77777777" w:rsidR="00320A5D" w:rsidRPr="000C42E6" w:rsidRDefault="00320A5D" w:rsidP="00320A5D">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7C27AFCB" w14:textId="77777777" w:rsidR="00320A5D" w:rsidRPr="000C42E6" w:rsidRDefault="00320A5D" w:rsidP="00320A5D">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28,992,571,673</w:t>
            </w:r>
          </w:p>
        </w:tc>
        <w:tc>
          <w:tcPr>
            <w:tcW w:w="930" w:type="dxa"/>
            <w:tcBorders>
              <w:top w:val="nil"/>
              <w:left w:val="nil"/>
              <w:bottom w:val="single" w:sz="4" w:space="0" w:color="auto"/>
              <w:right w:val="single" w:sz="4" w:space="0" w:color="auto"/>
            </w:tcBorders>
            <w:shd w:val="clear" w:color="auto" w:fill="auto"/>
            <w:noWrap/>
            <w:vAlign w:val="bottom"/>
            <w:hideMark/>
          </w:tcPr>
          <w:p w14:paraId="198FF3A3" w14:textId="77777777" w:rsidR="00320A5D" w:rsidRPr="000C42E6" w:rsidRDefault="00320A5D" w:rsidP="00320A5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25970DF2" w14:textId="77777777" w:rsidR="00CB7883" w:rsidRPr="000C42E6" w:rsidRDefault="00CB7883" w:rsidP="00CB7883">
      <w:pPr>
        <w:spacing w:after="0" w:line="240" w:lineRule="auto"/>
        <w:jc w:val="both"/>
        <w:rPr>
          <w:rFonts w:ascii="Arial" w:eastAsia="Times New Roman" w:hAnsi="Arial" w:cs="Arial"/>
          <w:color w:val="000000"/>
          <w:sz w:val="20"/>
          <w:szCs w:val="20"/>
          <w:lang w:eastAsia="es-MX"/>
        </w:rPr>
      </w:pPr>
    </w:p>
    <w:p w14:paraId="2EFEBC28" w14:textId="30B810DC" w:rsidR="00CB7883" w:rsidRPr="000C42E6" w:rsidRDefault="00CB7883" w:rsidP="00CB7883">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El rubro de Servicios Personales es </w:t>
      </w:r>
      <w:r w:rsidR="00770EBD" w:rsidRPr="000C42E6">
        <w:rPr>
          <w:rFonts w:ascii="Arial" w:eastAsia="Times New Roman" w:hAnsi="Arial" w:cs="Arial"/>
          <w:b/>
          <w:bCs/>
          <w:color w:val="000000"/>
          <w:sz w:val="20"/>
          <w:szCs w:val="20"/>
          <w:lang w:eastAsia="es-MX"/>
        </w:rPr>
        <w:t>36.86</w:t>
      </w:r>
      <w:r w:rsidRPr="000C42E6">
        <w:rPr>
          <w:rFonts w:ascii="Arial" w:eastAsia="Times New Roman" w:hAnsi="Arial" w:cs="Arial"/>
          <w:b/>
          <w:bCs/>
          <w:color w:val="000000"/>
          <w:sz w:val="20"/>
          <w:szCs w:val="20"/>
          <w:lang w:eastAsia="es-MX"/>
        </w:rPr>
        <w:t>%</w:t>
      </w:r>
      <w:r w:rsidRPr="000C42E6">
        <w:rPr>
          <w:rFonts w:ascii="Arial" w:eastAsia="Times New Roman" w:hAnsi="Arial" w:cs="Arial"/>
          <w:color w:val="000000"/>
          <w:sz w:val="20"/>
          <w:szCs w:val="20"/>
          <w:lang w:eastAsia="es-MX"/>
        </w:rPr>
        <w:t xml:space="preserve"> del Total de Gasto y Otras Pérdidas y se integra de asignaciones destinadas a pagos al personal empleado, pagos de Seguridad Social y Otras Prestaciones.</w:t>
      </w:r>
    </w:p>
    <w:p w14:paraId="7D8509B1" w14:textId="77777777" w:rsidR="005D078B" w:rsidRPr="000C42E6" w:rsidRDefault="005D078B" w:rsidP="00CB7883">
      <w:pPr>
        <w:spacing w:after="0" w:line="240" w:lineRule="auto"/>
        <w:jc w:val="both"/>
        <w:rPr>
          <w:rFonts w:ascii="Arial" w:eastAsia="Times New Roman" w:hAnsi="Arial" w:cs="Arial"/>
          <w:color w:val="000000"/>
          <w:sz w:val="20"/>
          <w:szCs w:val="20"/>
          <w:lang w:eastAsia="es-MX"/>
        </w:rPr>
      </w:pPr>
    </w:p>
    <w:tbl>
      <w:tblPr>
        <w:tblW w:w="9885" w:type="dxa"/>
        <w:jc w:val="center"/>
        <w:tblCellMar>
          <w:left w:w="70" w:type="dxa"/>
          <w:right w:w="70" w:type="dxa"/>
        </w:tblCellMar>
        <w:tblLook w:val="04A0" w:firstRow="1" w:lastRow="0" w:firstColumn="1" w:lastColumn="0" w:noHBand="0" w:noVBand="1"/>
      </w:tblPr>
      <w:tblGrid>
        <w:gridCol w:w="7704"/>
        <w:gridCol w:w="1540"/>
        <w:gridCol w:w="641"/>
      </w:tblGrid>
      <w:tr w:rsidR="005563BD" w:rsidRPr="000C42E6" w14:paraId="32C23E84" w14:textId="77777777" w:rsidTr="00D8734A">
        <w:trPr>
          <w:trHeight w:val="825"/>
          <w:jc w:val="center"/>
        </w:trPr>
        <w:tc>
          <w:tcPr>
            <w:tcW w:w="7704" w:type="dxa"/>
            <w:tcBorders>
              <w:top w:val="single" w:sz="8" w:space="0" w:color="auto"/>
              <w:left w:val="single" w:sz="8" w:space="0" w:color="auto"/>
              <w:bottom w:val="nil"/>
              <w:right w:val="single" w:sz="8" w:space="0" w:color="auto"/>
            </w:tcBorders>
            <w:shd w:val="clear" w:color="000000" w:fill="A6A6A6"/>
            <w:vAlign w:val="center"/>
            <w:hideMark/>
          </w:tcPr>
          <w:p w14:paraId="0F4C868E" w14:textId="77777777" w:rsidR="005563BD" w:rsidRPr="000C42E6" w:rsidRDefault="005563BD" w:rsidP="005563BD">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de</w:t>
            </w:r>
            <w:r w:rsidRPr="000C42E6">
              <w:rPr>
                <w:rFonts w:ascii="Arial" w:eastAsia="Times New Roman" w:hAnsi="Arial" w:cs="Arial"/>
                <w:color w:val="000000"/>
                <w:sz w:val="20"/>
                <w:szCs w:val="20"/>
                <w:lang w:eastAsia="es-MX"/>
              </w:rPr>
              <w:t xml:space="preserve"> </w:t>
            </w:r>
            <w:r w:rsidRPr="000C42E6">
              <w:rPr>
                <w:rFonts w:ascii="Arial" w:eastAsia="Times New Roman" w:hAnsi="Arial" w:cs="Arial"/>
                <w:b/>
                <w:bCs/>
                <w:color w:val="000000"/>
                <w:sz w:val="20"/>
                <w:szCs w:val="20"/>
                <w:lang w:eastAsia="es-MX"/>
              </w:rPr>
              <w:t>Transferencias, Asignaciones, Subsidios Y Otras Ayudas</w:t>
            </w:r>
          </w:p>
        </w:tc>
        <w:tc>
          <w:tcPr>
            <w:tcW w:w="1540" w:type="dxa"/>
            <w:tcBorders>
              <w:top w:val="single" w:sz="8" w:space="0" w:color="auto"/>
              <w:left w:val="nil"/>
              <w:bottom w:val="nil"/>
              <w:right w:val="single" w:sz="8" w:space="0" w:color="auto"/>
            </w:tcBorders>
            <w:shd w:val="clear" w:color="000000" w:fill="A6A6A6"/>
            <w:noWrap/>
            <w:vAlign w:val="center"/>
            <w:hideMark/>
          </w:tcPr>
          <w:p w14:paraId="5D6607D6" w14:textId="77777777" w:rsidR="00710741"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Saldos al 31de diciembre </w:t>
            </w:r>
          </w:p>
          <w:p w14:paraId="05D2A7A4" w14:textId="2E4797C7" w:rsidR="005563BD"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641" w:type="dxa"/>
            <w:tcBorders>
              <w:top w:val="single" w:sz="8" w:space="0" w:color="auto"/>
              <w:left w:val="nil"/>
              <w:bottom w:val="nil"/>
              <w:right w:val="single" w:sz="8" w:space="0" w:color="auto"/>
            </w:tcBorders>
            <w:shd w:val="clear" w:color="000000" w:fill="A6A6A6"/>
            <w:noWrap/>
            <w:vAlign w:val="center"/>
            <w:hideMark/>
          </w:tcPr>
          <w:p w14:paraId="7D75FEF0" w14:textId="77777777" w:rsidR="005563BD" w:rsidRPr="000C42E6" w:rsidRDefault="005563BD" w:rsidP="005563B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5563BD" w:rsidRPr="000C42E6" w14:paraId="6020E847" w14:textId="77777777" w:rsidTr="00D8734A">
        <w:trPr>
          <w:trHeight w:val="334"/>
          <w:jc w:val="center"/>
        </w:trPr>
        <w:tc>
          <w:tcPr>
            <w:tcW w:w="7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51535" w14:textId="77777777" w:rsidR="005563BD" w:rsidRPr="000C42E6" w:rsidRDefault="005563BD" w:rsidP="005563B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Transferencias Internas y Asignaciones al Sector Público</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F6B887D" w14:textId="77777777" w:rsidR="005563BD" w:rsidRPr="000C42E6" w:rsidRDefault="005563BD" w:rsidP="005563B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3,197,370,046</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14:paraId="6B601560" w14:textId="77777777" w:rsidR="005563BD" w:rsidRPr="000C42E6" w:rsidRDefault="005563BD" w:rsidP="005563B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12.79</w:t>
            </w:r>
          </w:p>
        </w:tc>
      </w:tr>
      <w:tr w:rsidR="005563BD" w:rsidRPr="000C42E6" w14:paraId="35549121" w14:textId="77777777" w:rsidTr="00D8734A">
        <w:trPr>
          <w:trHeight w:val="255"/>
          <w:jc w:val="center"/>
        </w:trPr>
        <w:tc>
          <w:tcPr>
            <w:tcW w:w="7704" w:type="dxa"/>
            <w:tcBorders>
              <w:top w:val="nil"/>
              <w:left w:val="single" w:sz="4" w:space="0" w:color="auto"/>
              <w:bottom w:val="single" w:sz="4" w:space="0" w:color="auto"/>
              <w:right w:val="single" w:sz="4" w:space="0" w:color="auto"/>
            </w:tcBorders>
            <w:shd w:val="clear" w:color="auto" w:fill="auto"/>
            <w:noWrap/>
            <w:vAlign w:val="center"/>
            <w:hideMark/>
          </w:tcPr>
          <w:p w14:paraId="697BD4EA" w14:textId="77777777" w:rsidR="005563BD" w:rsidRPr="000C42E6" w:rsidRDefault="005563BD" w:rsidP="005563B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Transferencias al Resto del Sector Público</w:t>
            </w:r>
          </w:p>
        </w:tc>
        <w:tc>
          <w:tcPr>
            <w:tcW w:w="1540" w:type="dxa"/>
            <w:tcBorders>
              <w:top w:val="nil"/>
              <w:left w:val="nil"/>
              <w:bottom w:val="single" w:sz="4" w:space="0" w:color="auto"/>
              <w:right w:val="single" w:sz="4" w:space="0" w:color="auto"/>
            </w:tcBorders>
            <w:shd w:val="clear" w:color="000000" w:fill="FFFFFF"/>
            <w:vAlign w:val="center"/>
            <w:hideMark/>
          </w:tcPr>
          <w:p w14:paraId="4EA40F24" w14:textId="77777777" w:rsidR="005563BD" w:rsidRPr="000C42E6" w:rsidRDefault="005563BD" w:rsidP="005563B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17,400,574,883</w:t>
            </w:r>
          </w:p>
        </w:tc>
        <w:tc>
          <w:tcPr>
            <w:tcW w:w="641" w:type="dxa"/>
            <w:tcBorders>
              <w:top w:val="nil"/>
              <w:left w:val="nil"/>
              <w:bottom w:val="single" w:sz="4" w:space="0" w:color="auto"/>
              <w:right w:val="single" w:sz="4" w:space="0" w:color="auto"/>
            </w:tcBorders>
            <w:shd w:val="clear" w:color="auto" w:fill="auto"/>
            <w:noWrap/>
            <w:vAlign w:val="center"/>
            <w:hideMark/>
          </w:tcPr>
          <w:p w14:paraId="06E5B4C5" w14:textId="77777777" w:rsidR="005563BD" w:rsidRPr="000C42E6" w:rsidRDefault="005563BD" w:rsidP="005563B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69.62</w:t>
            </w:r>
          </w:p>
        </w:tc>
      </w:tr>
      <w:tr w:rsidR="005563BD" w:rsidRPr="000C42E6" w14:paraId="46922E02" w14:textId="77777777" w:rsidTr="00D8734A">
        <w:trPr>
          <w:trHeight w:val="255"/>
          <w:jc w:val="center"/>
        </w:trPr>
        <w:tc>
          <w:tcPr>
            <w:tcW w:w="7704" w:type="dxa"/>
            <w:tcBorders>
              <w:top w:val="nil"/>
              <w:left w:val="single" w:sz="4" w:space="0" w:color="auto"/>
              <w:bottom w:val="single" w:sz="4" w:space="0" w:color="auto"/>
              <w:right w:val="single" w:sz="4" w:space="0" w:color="auto"/>
            </w:tcBorders>
            <w:shd w:val="clear" w:color="auto" w:fill="auto"/>
            <w:noWrap/>
            <w:vAlign w:val="center"/>
            <w:hideMark/>
          </w:tcPr>
          <w:p w14:paraId="0850753C" w14:textId="77777777" w:rsidR="005563BD" w:rsidRPr="000C42E6" w:rsidRDefault="005563BD" w:rsidP="005563B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Subsidios y Subvenciones</w:t>
            </w:r>
          </w:p>
        </w:tc>
        <w:tc>
          <w:tcPr>
            <w:tcW w:w="1540" w:type="dxa"/>
            <w:tcBorders>
              <w:top w:val="nil"/>
              <w:left w:val="nil"/>
              <w:bottom w:val="single" w:sz="4" w:space="0" w:color="auto"/>
              <w:right w:val="single" w:sz="4" w:space="0" w:color="auto"/>
            </w:tcBorders>
            <w:shd w:val="clear" w:color="000000" w:fill="FFFFFF"/>
            <w:vAlign w:val="center"/>
            <w:hideMark/>
          </w:tcPr>
          <w:p w14:paraId="11AE34E6" w14:textId="77777777" w:rsidR="005563BD" w:rsidRPr="000C42E6" w:rsidRDefault="005563BD" w:rsidP="005563B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932,776,770</w:t>
            </w:r>
          </w:p>
        </w:tc>
        <w:tc>
          <w:tcPr>
            <w:tcW w:w="641" w:type="dxa"/>
            <w:tcBorders>
              <w:top w:val="nil"/>
              <w:left w:val="nil"/>
              <w:bottom w:val="single" w:sz="4" w:space="0" w:color="auto"/>
              <w:right w:val="single" w:sz="4" w:space="0" w:color="auto"/>
            </w:tcBorders>
            <w:shd w:val="clear" w:color="auto" w:fill="auto"/>
            <w:noWrap/>
            <w:vAlign w:val="center"/>
            <w:hideMark/>
          </w:tcPr>
          <w:p w14:paraId="63301493" w14:textId="77777777" w:rsidR="005563BD" w:rsidRPr="000C42E6" w:rsidRDefault="005563BD" w:rsidP="005563B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3.73</w:t>
            </w:r>
          </w:p>
        </w:tc>
      </w:tr>
      <w:tr w:rsidR="005563BD" w:rsidRPr="000C42E6" w14:paraId="28E8D63B" w14:textId="77777777" w:rsidTr="00D8734A">
        <w:trPr>
          <w:trHeight w:val="255"/>
          <w:jc w:val="center"/>
        </w:trPr>
        <w:tc>
          <w:tcPr>
            <w:tcW w:w="7704" w:type="dxa"/>
            <w:tcBorders>
              <w:top w:val="nil"/>
              <w:left w:val="single" w:sz="4" w:space="0" w:color="auto"/>
              <w:bottom w:val="single" w:sz="4" w:space="0" w:color="auto"/>
              <w:right w:val="single" w:sz="4" w:space="0" w:color="auto"/>
            </w:tcBorders>
            <w:shd w:val="clear" w:color="auto" w:fill="auto"/>
            <w:noWrap/>
            <w:vAlign w:val="center"/>
            <w:hideMark/>
          </w:tcPr>
          <w:p w14:paraId="70FBDE10" w14:textId="77777777" w:rsidR="005563BD" w:rsidRPr="000C42E6" w:rsidRDefault="005563BD" w:rsidP="005563B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Ayudas Sociales</w:t>
            </w:r>
          </w:p>
        </w:tc>
        <w:tc>
          <w:tcPr>
            <w:tcW w:w="1540" w:type="dxa"/>
            <w:tcBorders>
              <w:top w:val="nil"/>
              <w:left w:val="nil"/>
              <w:bottom w:val="single" w:sz="4" w:space="0" w:color="auto"/>
              <w:right w:val="single" w:sz="4" w:space="0" w:color="auto"/>
            </w:tcBorders>
            <w:shd w:val="clear" w:color="000000" w:fill="FFFFFF"/>
            <w:vAlign w:val="center"/>
            <w:hideMark/>
          </w:tcPr>
          <w:p w14:paraId="0982F5C4" w14:textId="77777777" w:rsidR="005563BD" w:rsidRPr="000C42E6" w:rsidRDefault="005563BD" w:rsidP="005563B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2,145,058,952</w:t>
            </w:r>
          </w:p>
        </w:tc>
        <w:tc>
          <w:tcPr>
            <w:tcW w:w="641" w:type="dxa"/>
            <w:tcBorders>
              <w:top w:val="nil"/>
              <w:left w:val="nil"/>
              <w:bottom w:val="single" w:sz="4" w:space="0" w:color="auto"/>
              <w:right w:val="single" w:sz="4" w:space="0" w:color="auto"/>
            </w:tcBorders>
            <w:shd w:val="clear" w:color="auto" w:fill="auto"/>
            <w:noWrap/>
            <w:vAlign w:val="center"/>
            <w:hideMark/>
          </w:tcPr>
          <w:p w14:paraId="001B0DB0" w14:textId="77777777" w:rsidR="005563BD" w:rsidRPr="000C42E6" w:rsidRDefault="005563BD" w:rsidP="005563B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8.58</w:t>
            </w:r>
          </w:p>
        </w:tc>
      </w:tr>
      <w:tr w:rsidR="005563BD" w:rsidRPr="000C42E6" w14:paraId="7BFF7794" w14:textId="77777777" w:rsidTr="00D8734A">
        <w:trPr>
          <w:trHeight w:val="255"/>
          <w:jc w:val="center"/>
        </w:trPr>
        <w:tc>
          <w:tcPr>
            <w:tcW w:w="7704" w:type="dxa"/>
            <w:tcBorders>
              <w:top w:val="nil"/>
              <w:left w:val="single" w:sz="4" w:space="0" w:color="auto"/>
              <w:bottom w:val="single" w:sz="4" w:space="0" w:color="auto"/>
              <w:right w:val="single" w:sz="4" w:space="0" w:color="auto"/>
            </w:tcBorders>
            <w:shd w:val="clear" w:color="auto" w:fill="auto"/>
            <w:noWrap/>
            <w:vAlign w:val="center"/>
            <w:hideMark/>
          </w:tcPr>
          <w:p w14:paraId="076F5F3E" w14:textId="77777777" w:rsidR="005563BD" w:rsidRPr="000C42E6" w:rsidRDefault="005563BD" w:rsidP="005563B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Pensiones y Jubilaciones</w:t>
            </w:r>
          </w:p>
        </w:tc>
        <w:tc>
          <w:tcPr>
            <w:tcW w:w="1540" w:type="dxa"/>
            <w:tcBorders>
              <w:top w:val="nil"/>
              <w:left w:val="nil"/>
              <w:bottom w:val="single" w:sz="4" w:space="0" w:color="auto"/>
              <w:right w:val="single" w:sz="4" w:space="0" w:color="auto"/>
            </w:tcBorders>
            <w:shd w:val="clear" w:color="000000" w:fill="FFFFFF"/>
            <w:vAlign w:val="center"/>
            <w:hideMark/>
          </w:tcPr>
          <w:p w14:paraId="56A58C2A" w14:textId="77777777" w:rsidR="005563BD" w:rsidRPr="000C42E6" w:rsidRDefault="005563BD" w:rsidP="005563B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853,925,914</w:t>
            </w:r>
          </w:p>
        </w:tc>
        <w:tc>
          <w:tcPr>
            <w:tcW w:w="641" w:type="dxa"/>
            <w:tcBorders>
              <w:top w:val="nil"/>
              <w:left w:val="nil"/>
              <w:bottom w:val="single" w:sz="4" w:space="0" w:color="auto"/>
              <w:right w:val="single" w:sz="4" w:space="0" w:color="auto"/>
            </w:tcBorders>
            <w:shd w:val="clear" w:color="auto" w:fill="auto"/>
            <w:noWrap/>
            <w:vAlign w:val="center"/>
            <w:hideMark/>
          </w:tcPr>
          <w:p w14:paraId="27FEFB67" w14:textId="77777777" w:rsidR="005563BD" w:rsidRPr="000C42E6" w:rsidRDefault="005563BD" w:rsidP="005563B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3.42</w:t>
            </w:r>
          </w:p>
        </w:tc>
      </w:tr>
      <w:tr w:rsidR="005563BD" w:rsidRPr="000C42E6" w14:paraId="3126E227" w14:textId="77777777" w:rsidTr="00D8734A">
        <w:trPr>
          <w:trHeight w:val="211"/>
          <w:jc w:val="center"/>
        </w:trPr>
        <w:tc>
          <w:tcPr>
            <w:tcW w:w="7704" w:type="dxa"/>
            <w:tcBorders>
              <w:top w:val="nil"/>
              <w:left w:val="single" w:sz="4" w:space="0" w:color="auto"/>
              <w:bottom w:val="single" w:sz="4" w:space="0" w:color="auto"/>
              <w:right w:val="single" w:sz="4" w:space="0" w:color="auto"/>
            </w:tcBorders>
            <w:shd w:val="clear" w:color="auto" w:fill="auto"/>
            <w:noWrap/>
            <w:vAlign w:val="center"/>
            <w:hideMark/>
          </w:tcPr>
          <w:p w14:paraId="129B6ED1" w14:textId="77777777" w:rsidR="005563BD" w:rsidRPr="000C42E6" w:rsidRDefault="005563BD" w:rsidP="005563B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Transferencias a Fideicomisos, Mandatos y Contratos Análogos</w:t>
            </w:r>
          </w:p>
        </w:tc>
        <w:tc>
          <w:tcPr>
            <w:tcW w:w="1540" w:type="dxa"/>
            <w:tcBorders>
              <w:top w:val="nil"/>
              <w:left w:val="nil"/>
              <w:bottom w:val="single" w:sz="4" w:space="0" w:color="auto"/>
              <w:right w:val="single" w:sz="4" w:space="0" w:color="auto"/>
            </w:tcBorders>
            <w:shd w:val="clear" w:color="000000" w:fill="FFFFFF"/>
            <w:vAlign w:val="center"/>
            <w:hideMark/>
          </w:tcPr>
          <w:p w14:paraId="6FF6F9C0" w14:textId="77777777" w:rsidR="005563BD" w:rsidRPr="000C42E6" w:rsidRDefault="005563BD" w:rsidP="005563B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459,487,204</w:t>
            </w:r>
          </w:p>
        </w:tc>
        <w:tc>
          <w:tcPr>
            <w:tcW w:w="641" w:type="dxa"/>
            <w:tcBorders>
              <w:top w:val="nil"/>
              <w:left w:val="nil"/>
              <w:bottom w:val="single" w:sz="4" w:space="0" w:color="auto"/>
              <w:right w:val="single" w:sz="4" w:space="0" w:color="auto"/>
            </w:tcBorders>
            <w:shd w:val="clear" w:color="auto" w:fill="auto"/>
            <w:noWrap/>
            <w:vAlign w:val="center"/>
            <w:hideMark/>
          </w:tcPr>
          <w:p w14:paraId="70D832EF" w14:textId="77777777" w:rsidR="005563BD" w:rsidRPr="000C42E6" w:rsidRDefault="005563BD" w:rsidP="005563B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1.84</w:t>
            </w:r>
          </w:p>
        </w:tc>
      </w:tr>
      <w:tr w:rsidR="005563BD" w:rsidRPr="000C42E6" w14:paraId="673C121B" w14:textId="77777777" w:rsidTr="00D8734A">
        <w:trPr>
          <w:trHeight w:val="255"/>
          <w:jc w:val="center"/>
        </w:trPr>
        <w:tc>
          <w:tcPr>
            <w:tcW w:w="7704" w:type="dxa"/>
            <w:tcBorders>
              <w:top w:val="nil"/>
              <w:left w:val="single" w:sz="4" w:space="0" w:color="auto"/>
              <w:bottom w:val="single" w:sz="4" w:space="0" w:color="auto"/>
              <w:right w:val="single" w:sz="4" w:space="0" w:color="auto"/>
            </w:tcBorders>
            <w:shd w:val="clear" w:color="auto" w:fill="auto"/>
            <w:noWrap/>
            <w:vAlign w:val="center"/>
            <w:hideMark/>
          </w:tcPr>
          <w:p w14:paraId="3BBEB83A" w14:textId="77777777" w:rsidR="005563BD" w:rsidRPr="000C42E6" w:rsidRDefault="005563BD" w:rsidP="005563B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Donativos</w:t>
            </w:r>
          </w:p>
        </w:tc>
        <w:tc>
          <w:tcPr>
            <w:tcW w:w="1540" w:type="dxa"/>
            <w:tcBorders>
              <w:top w:val="nil"/>
              <w:left w:val="nil"/>
              <w:bottom w:val="single" w:sz="4" w:space="0" w:color="auto"/>
              <w:right w:val="single" w:sz="4" w:space="0" w:color="auto"/>
            </w:tcBorders>
            <w:shd w:val="clear" w:color="000000" w:fill="FFFFFF"/>
            <w:vAlign w:val="center"/>
            <w:hideMark/>
          </w:tcPr>
          <w:p w14:paraId="1EAE5C8B" w14:textId="77777777" w:rsidR="005563BD" w:rsidRPr="000C42E6" w:rsidRDefault="005563BD" w:rsidP="005563B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5,828,973</w:t>
            </w:r>
          </w:p>
        </w:tc>
        <w:tc>
          <w:tcPr>
            <w:tcW w:w="641" w:type="dxa"/>
            <w:tcBorders>
              <w:top w:val="nil"/>
              <w:left w:val="nil"/>
              <w:bottom w:val="single" w:sz="4" w:space="0" w:color="auto"/>
              <w:right w:val="single" w:sz="4" w:space="0" w:color="auto"/>
            </w:tcBorders>
            <w:shd w:val="clear" w:color="auto" w:fill="auto"/>
            <w:noWrap/>
            <w:vAlign w:val="center"/>
            <w:hideMark/>
          </w:tcPr>
          <w:p w14:paraId="22210150" w14:textId="77777777" w:rsidR="005563BD" w:rsidRPr="000C42E6" w:rsidRDefault="005563BD" w:rsidP="005563B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0.02</w:t>
            </w:r>
          </w:p>
        </w:tc>
      </w:tr>
      <w:tr w:rsidR="005563BD" w:rsidRPr="000C42E6" w14:paraId="0C6133E0" w14:textId="77777777" w:rsidTr="00D8734A">
        <w:trPr>
          <w:trHeight w:val="255"/>
          <w:jc w:val="center"/>
        </w:trPr>
        <w:tc>
          <w:tcPr>
            <w:tcW w:w="7704" w:type="dxa"/>
            <w:tcBorders>
              <w:top w:val="nil"/>
              <w:left w:val="single" w:sz="4" w:space="0" w:color="auto"/>
              <w:bottom w:val="single" w:sz="4" w:space="0" w:color="auto"/>
              <w:right w:val="single" w:sz="4" w:space="0" w:color="auto"/>
            </w:tcBorders>
            <w:shd w:val="clear" w:color="auto" w:fill="auto"/>
            <w:noWrap/>
            <w:vAlign w:val="center"/>
            <w:hideMark/>
          </w:tcPr>
          <w:p w14:paraId="068F90EB" w14:textId="77777777" w:rsidR="005563BD" w:rsidRPr="000C42E6" w:rsidRDefault="005563BD" w:rsidP="005563BD">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40" w:type="dxa"/>
            <w:tcBorders>
              <w:top w:val="nil"/>
              <w:left w:val="nil"/>
              <w:bottom w:val="single" w:sz="4" w:space="0" w:color="auto"/>
              <w:right w:val="single" w:sz="4" w:space="0" w:color="auto"/>
            </w:tcBorders>
            <w:shd w:val="clear" w:color="auto" w:fill="auto"/>
            <w:noWrap/>
            <w:vAlign w:val="center"/>
            <w:hideMark/>
          </w:tcPr>
          <w:p w14:paraId="4CB74B8E" w14:textId="77777777" w:rsidR="005563BD" w:rsidRPr="000C42E6" w:rsidRDefault="005563BD" w:rsidP="005563BD">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24,995,022,741</w:t>
            </w:r>
          </w:p>
        </w:tc>
        <w:tc>
          <w:tcPr>
            <w:tcW w:w="641" w:type="dxa"/>
            <w:tcBorders>
              <w:top w:val="nil"/>
              <w:left w:val="nil"/>
              <w:bottom w:val="single" w:sz="4" w:space="0" w:color="auto"/>
              <w:right w:val="single" w:sz="4" w:space="0" w:color="auto"/>
            </w:tcBorders>
            <w:shd w:val="clear" w:color="auto" w:fill="auto"/>
            <w:noWrap/>
            <w:vAlign w:val="center"/>
            <w:hideMark/>
          </w:tcPr>
          <w:p w14:paraId="2EDA6BAA" w14:textId="77777777" w:rsidR="005563BD" w:rsidRPr="000C42E6" w:rsidRDefault="005563BD" w:rsidP="005563B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40D01D1A" w14:textId="77777777" w:rsidR="00B92EB2" w:rsidRPr="000C42E6" w:rsidRDefault="00B92EB2" w:rsidP="00CB7883">
      <w:pPr>
        <w:spacing w:after="0" w:line="240" w:lineRule="auto"/>
        <w:jc w:val="both"/>
        <w:rPr>
          <w:rFonts w:ascii="Arial" w:eastAsia="Times New Roman" w:hAnsi="Arial" w:cs="Arial"/>
          <w:color w:val="000000"/>
          <w:sz w:val="20"/>
          <w:szCs w:val="20"/>
          <w:lang w:eastAsia="es-MX"/>
        </w:rPr>
      </w:pPr>
    </w:p>
    <w:p w14:paraId="570A7294" w14:textId="70AF10D7" w:rsidR="00CB7883" w:rsidRPr="000C42E6" w:rsidRDefault="00CB7883" w:rsidP="00CB7883">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El rubro Transferencias al Resto del Sector Público es el </w:t>
      </w:r>
      <w:r w:rsidR="00C63F57" w:rsidRPr="000C42E6">
        <w:rPr>
          <w:rFonts w:ascii="Arial" w:eastAsia="Times New Roman" w:hAnsi="Arial" w:cs="Arial"/>
          <w:b/>
          <w:bCs/>
          <w:color w:val="000000"/>
          <w:sz w:val="20"/>
          <w:szCs w:val="20"/>
          <w:lang w:eastAsia="es-MX"/>
        </w:rPr>
        <w:t>24.86</w:t>
      </w:r>
      <w:r w:rsidRPr="000C42E6">
        <w:rPr>
          <w:rFonts w:ascii="Arial" w:eastAsia="Times New Roman" w:hAnsi="Arial" w:cs="Arial"/>
          <w:b/>
          <w:bCs/>
          <w:color w:val="000000"/>
          <w:sz w:val="20"/>
          <w:szCs w:val="20"/>
          <w:lang w:eastAsia="es-MX"/>
        </w:rPr>
        <w:t>%,</w:t>
      </w:r>
      <w:r w:rsidRPr="000C42E6">
        <w:rPr>
          <w:rFonts w:ascii="Arial" w:eastAsia="Times New Roman" w:hAnsi="Arial" w:cs="Arial"/>
          <w:color w:val="000000"/>
          <w:sz w:val="20"/>
          <w:szCs w:val="20"/>
          <w:lang w:eastAsia="es-MX"/>
        </w:rPr>
        <w:t xml:space="preserve"> del Total de Gastos y Otras Pérdidas y agrupa las asignaciones de gasto social en forma directa a los sectores privado y social, organismos descentralizados y a empresas de participación estatal, con la finalidad de atender actividades productivas, sociales y culturales de interés general así como la atención a contingencias del Estado o necesidades especiales como equilibrar la actividad económica a través de la prestación directa de los servicios públicos y de la procuración del Bienestar Social.</w:t>
      </w:r>
    </w:p>
    <w:p w14:paraId="46DA8802" w14:textId="77777777" w:rsidR="00A749BD" w:rsidRPr="000C42E6" w:rsidRDefault="00A749BD" w:rsidP="00CB7883">
      <w:pPr>
        <w:spacing w:after="0" w:line="240" w:lineRule="auto"/>
        <w:jc w:val="both"/>
        <w:rPr>
          <w:rFonts w:ascii="Arial" w:eastAsia="Times New Roman" w:hAnsi="Arial" w:cs="Arial"/>
          <w:color w:val="000000"/>
          <w:sz w:val="20"/>
          <w:szCs w:val="20"/>
          <w:lang w:eastAsia="es-MX"/>
        </w:rPr>
      </w:pPr>
    </w:p>
    <w:p w14:paraId="54B9BABF" w14:textId="77777777" w:rsidR="003B4A79" w:rsidRPr="000C42E6" w:rsidRDefault="003B4A79" w:rsidP="00CB7883">
      <w:pPr>
        <w:spacing w:after="0" w:line="240" w:lineRule="auto"/>
        <w:jc w:val="both"/>
        <w:rPr>
          <w:rFonts w:ascii="Arial" w:eastAsia="Times New Roman" w:hAnsi="Arial" w:cs="Arial"/>
          <w:color w:val="000000"/>
          <w:sz w:val="20"/>
          <w:szCs w:val="20"/>
          <w:lang w:eastAsia="es-MX"/>
        </w:rPr>
      </w:pPr>
    </w:p>
    <w:tbl>
      <w:tblPr>
        <w:tblW w:w="9944" w:type="dxa"/>
        <w:jc w:val="center"/>
        <w:tblCellMar>
          <w:left w:w="70" w:type="dxa"/>
          <w:right w:w="70" w:type="dxa"/>
        </w:tblCellMar>
        <w:tblLook w:val="04A0" w:firstRow="1" w:lastRow="0" w:firstColumn="1" w:lastColumn="0" w:noHBand="0" w:noVBand="1"/>
      </w:tblPr>
      <w:tblGrid>
        <w:gridCol w:w="7368"/>
        <w:gridCol w:w="1540"/>
        <w:gridCol w:w="1036"/>
      </w:tblGrid>
      <w:tr w:rsidR="00C66100" w:rsidRPr="000C42E6" w14:paraId="400002D8" w14:textId="77777777" w:rsidTr="00D8734A">
        <w:trPr>
          <w:trHeight w:val="510"/>
          <w:jc w:val="center"/>
        </w:trPr>
        <w:tc>
          <w:tcPr>
            <w:tcW w:w="7368" w:type="dxa"/>
            <w:tcBorders>
              <w:top w:val="single" w:sz="8" w:space="0" w:color="auto"/>
              <w:left w:val="single" w:sz="8" w:space="0" w:color="auto"/>
              <w:bottom w:val="nil"/>
              <w:right w:val="single" w:sz="8" w:space="0" w:color="auto"/>
            </w:tcBorders>
            <w:shd w:val="clear" w:color="000000" w:fill="A6A6A6"/>
            <w:vAlign w:val="center"/>
            <w:hideMark/>
          </w:tcPr>
          <w:p w14:paraId="11DF63E9" w14:textId="05FF4FA2" w:rsidR="00C66100" w:rsidRPr="000C42E6" w:rsidRDefault="00C66100" w:rsidP="00C66100">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de Participaciones y Aportaciones</w:t>
            </w:r>
          </w:p>
        </w:tc>
        <w:tc>
          <w:tcPr>
            <w:tcW w:w="1540" w:type="dxa"/>
            <w:tcBorders>
              <w:top w:val="single" w:sz="8" w:space="0" w:color="auto"/>
              <w:left w:val="nil"/>
              <w:bottom w:val="nil"/>
              <w:right w:val="single" w:sz="8" w:space="0" w:color="auto"/>
            </w:tcBorders>
            <w:shd w:val="clear" w:color="000000" w:fill="A6A6A6"/>
            <w:noWrap/>
            <w:vAlign w:val="center"/>
            <w:hideMark/>
          </w:tcPr>
          <w:p w14:paraId="7DEEF4B7" w14:textId="77777777" w:rsidR="00710741"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Saldos al 31de diciembre </w:t>
            </w:r>
          </w:p>
          <w:p w14:paraId="4208A1B5" w14:textId="532EFCC0" w:rsidR="00C66100"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r w:rsidR="00C66100" w:rsidRPr="000C42E6">
              <w:rPr>
                <w:rFonts w:ascii="Arial" w:eastAsia="Times New Roman" w:hAnsi="Arial" w:cs="Arial"/>
                <w:b/>
                <w:bCs/>
                <w:color w:val="000000"/>
                <w:sz w:val="20"/>
                <w:szCs w:val="20"/>
                <w:lang w:eastAsia="es-MX"/>
              </w:rPr>
              <w:t xml:space="preserve"> </w:t>
            </w:r>
          </w:p>
        </w:tc>
        <w:tc>
          <w:tcPr>
            <w:tcW w:w="1036" w:type="dxa"/>
            <w:tcBorders>
              <w:top w:val="single" w:sz="8" w:space="0" w:color="auto"/>
              <w:left w:val="nil"/>
              <w:bottom w:val="nil"/>
              <w:right w:val="single" w:sz="8" w:space="0" w:color="auto"/>
            </w:tcBorders>
            <w:shd w:val="clear" w:color="000000" w:fill="A6A6A6"/>
            <w:noWrap/>
            <w:vAlign w:val="center"/>
            <w:hideMark/>
          </w:tcPr>
          <w:p w14:paraId="60308235" w14:textId="77777777" w:rsidR="00C66100" w:rsidRPr="000C42E6" w:rsidRDefault="00C66100" w:rsidP="00C6610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C66100" w:rsidRPr="000C42E6" w14:paraId="0A8BE260" w14:textId="77777777" w:rsidTr="00D8734A">
        <w:trPr>
          <w:trHeight w:val="255"/>
          <w:jc w:val="center"/>
        </w:trPr>
        <w:tc>
          <w:tcPr>
            <w:tcW w:w="7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9FF45" w14:textId="77777777" w:rsidR="00C66100" w:rsidRPr="000C42E6" w:rsidRDefault="00C66100" w:rsidP="00C6610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Participaciones</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242DBFF" w14:textId="77777777" w:rsidR="00C66100" w:rsidRPr="000C42E6" w:rsidRDefault="00C66100" w:rsidP="00C66100">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7,787,606,608</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09FEAEFD" w14:textId="77777777" w:rsidR="00C66100" w:rsidRPr="000C42E6" w:rsidRDefault="00C66100" w:rsidP="00C6610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55.93</w:t>
            </w:r>
          </w:p>
        </w:tc>
      </w:tr>
      <w:tr w:rsidR="00C66100" w:rsidRPr="000C42E6" w14:paraId="1210F953" w14:textId="77777777" w:rsidTr="00D8734A">
        <w:trPr>
          <w:trHeight w:val="255"/>
          <w:jc w:val="center"/>
        </w:trPr>
        <w:tc>
          <w:tcPr>
            <w:tcW w:w="7368" w:type="dxa"/>
            <w:tcBorders>
              <w:top w:val="nil"/>
              <w:left w:val="single" w:sz="4" w:space="0" w:color="auto"/>
              <w:bottom w:val="single" w:sz="4" w:space="0" w:color="auto"/>
              <w:right w:val="single" w:sz="4" w:space="0" w:color="auto"/>
            </w:tcBorders>
            <w:shd w:val="clear" w:color="auto" w:fill="auto"/>
            <w:noWrap/>
            <w:vAlign w:val="center"/>
            <w:hideMark/>
          </w:tcPr>
          <w:p w14:paraId="337834C6" w14:textId="77777777" w:rsidR="00C66100" w:rsidRPr="000C42E6" w:rsidRDefault="00C66100" w:rsidP="00C66100">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Aportaciones</w:t>
            </w:r>
          </w:p>
        </w:tc>
        <w:tc>
          <w:tcPr>
            <w:tcW w:w="1540" w:type="dxa"/>
            <w:tcBorders>
              <w:top w:val="nil"/>
              <w:left w:val="nil"/>
              <w:bottom w:val="single" w:sz="4" w:space="0" w:color="auto"/>
              <w:right w:val="single" w:sz="4" w:space="0" w:color="auto"/>
            </w:tcBorders>
            <w:shd w:val="clear" w:color="000000" w:fill="FFFFFF"/>
            <w:vAlign w:val="center"/>
            <w:hideMark/>
          </w:tcPr>
          <w:p w14:paraId="258D56BD" w14:textId="77777777" w:rsidR="00C66100" w:rsidRPr="000C42E6" w:rsidRDefault="00C66100" w:rsidP="00C66100">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4,864,738,928</w:t>
            </w:r>
          </w:p>
        </w:tc>
        <w:tc>
          <w:tcPr>
            <w:tcW w:w="1036" w:type="dxa"/>
            <w:tcBorders>
              <w:top w:val="nil"/>
              <w:left w:val="nil"/>
              <w:bottom w:val="single" w:sz="4" w:space="0" w:color="auto"/>
              <w:right w:val="single" w:sz="4" w:space="0" w:color="auto"/>
            </w:tcBorders>
            <w:shd w:val="clear" w:color="auto" w:fill="auto"/>
            <w:noWrap/>
            <w:vAlign w:val="center"/>
            <w:hideMark/>
          </w:tcPr>
          <w:p w14:paraId="3A455D16" w14:textId="77777777" w:rsidR="00C66100" w:rsidRPr="000C42E6" w:rsidRDefault="00C66100" w:rsidP="00C6610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34.94</w:t>
            </w:r>
          </w:p>
        </w:tc>
      </w:tr>
      <w:tr w:rsidR="00C66100" w:rsidRPr="000C42E6" w14:paraId="0D54C541" w14:textId="77777777" w:rsidTr="00D8734A">
        <w:trPr>
          <w:trHeight w:val="255"/>
          <w:jc w:val="center"/>
        </w:trPr>
        <w:tc>
          <w:tcPr>
            <w:tcW w:w="7368" w:type="dxa"/>
            <w:tcBorders>
              <w:top w:val="nil"/>
              <w:left w:val="single" w:sz="4" w:space="0" w:color="auto"/>
              <w:bottom w:val="single" w:sz="4" w:space="0" w:color="auto"/>
              <w:right w:val="single" w:sz="4" w:space="0" w:color="auto"/>
            </w:tcBorders>
            <w:shd w:val="clear" w:color="auto" w:fill="auto"/>
            <w:noWrap/>
            <w:vAlign w:val="center"/>
            <w:hideMark/>
          </w:tcPr>
          <w:p w14:paraId="3039A0F2" w14:textId="77777777" w:rsidR="00C66100" w:rsidRPr="000C42E6" w:rsidRDefault="00C66100" w:rsidP="00C66100">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Convenios</w:t>
            </w:r>
          </w:p>
        </w:tc>
        <w:tc>
          <w:tcPr>
            <w:tcW w:w="1540" w:type="dxa"/>
            <w:tcBorders>
              <w:top w:val="nil"/>
              <w:left w:val="nil"/>
              <w:bottom w:val="single" w:sz="4" w:space="0" w:color="auto"/>
              <w:right w:val="single" w:sz="4" w:space="0" w:color="auto"/>
            </w:tcBorders>
            <w:shd w:val="clear" w:color="000000" w:fill="FFFFFF"/>
            <w:vAlign w:val="center"/>
            <w:hideMark/>
          </w:tcPr>
          <w:p w14:paraId="2DE03BCE" w14:textId="77777777" w:rsidR="00C66100" w:rsidRPr="000C42E6" w:rsidRDefault="00C66100" w:rsidP="00C66100">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1,271,869,669</w:t>
            </w:r>
          </w:p>
        </w:tc>
        <w:tc>
          <w:tcPr>
            <w:tcW w:w="1036" w:type="dxa"/>
            <w:tcBorders>
              <w:top w:val="nil"/>
              <w:left w:val="nil"/>
              <w:bottom w:val="single" w:sz="4" w:space="0" w:color="auto"/>
              <w:right w:val="single" w:sz="4" w:space="0" w:color="auto"/>
            </w:tcBorders>
            <w:shd w:val="clear" w:color="auto" w:fill="auto"/>
            <w:noWrap/>
            <w:vAlign w:val="center"/>
            <w:hideMark/>
          </w:tcPr>
          <w:p w14:paraId="0E632A27" w14:textId="77777777" w:rsidR="00C66100" w:rsidRPr="000C42E6" w:rsidRDefault="00C66100" w:rsidP="00C6610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9.13</w:t>
            </w:r>
          </w:p>
        </w:tc>
      </w:tr>
      <w:tr w:rsidR="00C66100" w:rsidRPr="000C42E6" w14:paraId="3A0F5C14" w14:textId="77777777" w:rsidTr="00D8734A">
        <w:trPr>
          <w:trHeight w:val="255"/>
          <w:jc w:val="center"/>
        </w:trPr>
        <w:tc>
          <w:tcPr>
            <w:tcW w:w="7368" w:type="dxa"/>
            <w:tcBorders>
              <w:top w:val="nil"/>
              <w:left w:val="single" w:sz="4" w:space="0" w:color="auto"/>
              <w:bottom w:val="single" w:sz="4" w:space="0" w:color="auto"/>
              <w:right w:val="single" w:sz="4" w:space="0" w:color="auto"/>
            </w:tcBorders>
            <w:shd w:val="clear" w:color="auto" w:fill="auto"/>
            <w:noWrap/>
            <w:vAlign w:val="center"/>
            <w:hideMark/>
          </w:tcPr>
          <w:p w14:paraId="0820131A" w14:textId="77777777" w:rsidR="00C66100" w:rsidRPr="000C42E6" w:rsidRDefault="00C66100" w:rsidP="00C66100">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40" w:type="dxa"/>
            <w:tcBorders>
              <w:top w:val="nil"/>
              <w:left w:val="nil"/>
              <w:bottom w:val="single" w:sz="4" w:space="0" w:color="auto"/>
              <w:right w:val="single" w:sz="4" w:space="0" w:color="auto"/>
            </w:tcBorders>
            <w:shd w:val="clear" w:color="auto" w:fill="auto"/>
            <w:noWrap/>
            <w:vAlign w:val="center"/>
            <w:hideMark/>
          </w:tcPr>
          <w:p w14:paraId="518980AB" w14:textId="77777777" w:rsidR="00C66100" w:rsidRPr="000C42E6" w:rsidRDefault="00C66100" w:rsidP="00C66100">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13,924,215,205</w:t>
            </w:r>
          </w:p>
        </w:tc>
        <w:tc>
          <w:tcPr>
            <w:tcW w:w="1036" w:type="dxa"/>
            <w:tcBorders>
              <w:top w:val="nil"/>
              <w:left w:val="nil"/>
              <w:bottom w:val="single" w:sz="4" w:space="0" w:color="auto"/>
              <w:right w:val="single" w:sz="4" w:space="0" w:color="auto"/>
            </w:tcBorders>
            <w:shd w:val="clear" w:color="auto" w:fill="auto"/>
            <w:noWrap/>
            <w:vAlign w:val="center"/>
            <w:hideMark/>
          </w:tcPr>
          <w:p w14:paraId="231A111D" w14:textId="77777777" w:rsidR="00C66100" w:rsidRPr="000C42E6" w:rsidRDefault="00C66100" w:rsidP="00C6610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637AF593" w14:textId="77777777" w:rsidR="005D078B" w:rsidRPr="000C42E6" w:rsidRDefault="005D078B" w:rsidP="00CB7883">
      <w:pPr>
        <w:spacing w:after="0" w:line="240" w:lineRule="auto"/>
        <w:jc w:val="both"/>
        <w:rPr>
          <w:rFonts w:ascii="Arial" w:eastAsia="Times New Roman" w:hAnsi="Arial" w:cs="Arial"/>
          <w:color w:val="000000"/>
          <w:sz w:val="20"/>
          <w:szCs w:val="20"/>
          <w:lang w:eastAsia="es-MX"/>
        </w:rPr>
      </w:pPr>
    </w:p>
    <w:p w14:paraId="7F2BE90E" w14:textId="13B5E9DE" w:rsidR="00CB7883" w:rsidRPr="000C42E6" w:rsidRDefault="00CB7883" w:rsidP="00CB7883">
      <w:p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color w:val="000000"/>
          <w:sz w:val="20"/>
          <w:szCs w:val="20"/>
          <w:lang w:eastAsia="es-MX"/>
        </w:rPr>
        <w:t xml:space="preserve">El rubro de Participaciones es el </w:t>
      </w:r>
      <w:r w:rsidR="006C0B90" w:rsidRPr="000C42E6">
        <w:rPr>
          <w:rFonts w:ascii="Arial" w:eastAsia="Times New Roman" w:hAnsi="Arial" w:cs="Arial"/>
          <w:b/>
          <w:color w:val="000000"/>
          <w:sz w:val="20"/>
          <w:szCs w:val="20"/>
          <w:lang w:eastAsia="es-MX"/>
        </w:rPr>
        <w:t>11.</w:t>
      </w:r>
      <w:r w:rsidR="00141BFE" w:rsidRPr="000C42E6">
        <w:rPr>
          <w:rFonts w:ascii="Arial" w:eastAsia="Times New Roman" w:hAnsi="Arial" w:cs="Arial"/>
          <w:b/>
          <w:color w:val="000000"/>
          <w:sz w:val="20"/>
          <w:szCs w:val="20"/>
          <w:lang w:eastAsia="es-MX"/>
        </w:rPr>
        <w:t>1</w:t>
      </w:r>
      <w:r w:rsidR="006C0B90" w:rsidRPr="000C42E6">
        <w:rPr>
          <w:rFonts w:ascii="Arial" w:eastAsia="Times New Roman" w:hAnsi="Arial" w:cs="Arial"/>
          <w:b/>
          <w:color w:val="000000"/>
          <w:sz w:val="20"/>
          <w:szCs w:val="20"/>
          <w:lang w:eastAsia="es-MX"/>
        </w:rPr>
        <w:t>3</w:t>
      </w:r>
      <w:r w:rsidRPr="000C42E6">
        <w:rPr>
          <w:rFonts w:ascii="Arial" w:eastAsia="Times New Roman" w:hAnsi="Arial" w:cs="Arial"/>
          <w:b/>
          <w:bCs/>
          <w:color w:val="000000"/>
          <w:sz w:val="20"/>
          <w:szCs w:val="20"/>
          <w:lang w:eastAsia="es-MX"/>
        </w:rPr>
        <w:t xml:space="preserve">% </w:t>
      </w:r>
      <w:r w:rsidRPr="000C42E6">
        <w:rPr>
          <w:rFonts w:ascii="Arial" w:eastAsia="Times New Roman" w:hAnsi="Arial" w:cs="Arial"/>
          <w:color w:val="000000"/>
          <w:sz w:val="20"/>
          <w:szCs w:val="20"/>
          <w:lang w:eastAsia="es-MX"/>
        </w:rPr>
        <w:t>del Total de Gastos y Otras Pérdidas.</w:t>
      </w:r>
    </w:p>
    <w:p w14:paraId="5298CA6D" w14:textId="77777777" w:rsidR="00CB7883" w:rsidRPr="000C42E6" w:rsidRDefault="00CB7883" w:rsidP="00CB7883">
      <w:pPr>
        <w:spacing w:after="0" w:line="240" w:lineRule="auto"/>
        <w:jc w:val="both"/>
        <w:rPr>
          <w:rFonts w:ascii="Arial" w:eastAsia="Times New Roman" w:hAnsi="Arial" w:cs="Arial"/>
          <w:color w:val="000000"/>
          <w:sz w:val="20"/>
          <w:szCs w:val="20"/>
          <w:lang w:eastAsia="es-MX"/>
        </w:rPr>
      </w:pPr>
    </w:p>
    <w:tbl>
      <w:tblPr>
        <w:tblW w:w="9944" w:type="dxa"/>
        <w:jc w:val="center"/>
        <w:tblCellMar>
          <w:left w:w="70" w:type="dxa"/>
          <w:right w:w="70" w:type="dxa"/>
        </w:tblCellMar>
        <w:tblLook w:val="04A0" w:firstRow="1" w:lastRow="0" w:firstColumn="1" w:lastColumn="0" w:noHBand="0" w:noVBand="1"/>
      </w:tblPr>
      <w:tblGrid>
        <w:gridCol w:w="7368"/>
        <w:gridCol w:w="1540"/>
        <w:gridCol w:w="1036"/>
      </w:tblGrid>
      <w:tr w:rsidR="00AB5902" w:rsidRPr="000C42E6" w14:paraId="71C0E8D8" w14:textId="77777777" w:rsidTr="00D8734A">
        <w:trPr>
          <w:trHeight w:val="765"/>
          <w:jc w:val="center"/>
        </w:trPr>
        <w:tc>
          <w:tcPr>
            <w:tcW w:w="7368" w:type="dxa"/>
            <w:tcBorders>
              <w:top w:val="single" w:sz="8" w:space="0" w:color="auto"/>
              <w:left w:val="single" w:sz="8" w:space="0" w:color="auto"/>
              <w:bottom w:val="nil"/>
              <w:right w:val="single" w:sz="8" w:space="0" w:color="auto"/>
            </w:tcBorders>
            <w:shd w:val="clear" w:color="000000" w:fill="A6A6A6"/>
            <w:vAlign w:val="center"/>
            <w:hideMark/>
          </w:tcPr>
          <w:p w14:paraId="6A87B056" w14:textId="77777777" w:rsidR="00AB5902" w:rsidRPr="000C42E6" w:rsidRDefault="00AB5902" w:rsidP="00AB5902">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Rubros que integran el grupo Intereses, Comisiones y Otros Gastos de la Deuda Pública</w:t>
            </w:r>
          </w:p>
        </w:tc>
        <w:tc>
          <w:tcPr>
            <w:tcW w:w="1540" w:type="dxa"/>
            <w:tcBorders>
              <w:top w:val="single" w:sz="8" w:space="0" w:color="auto"/>
              <w:left w:val="nil"/>
              <w:bottom w:val="nil"/>
              <w:right w:val="single" w:sz="8" w:space="0" w:color="auto"/>
            </w:tcBorders>
            <w:shd w:val="clear" w:color="000000" w:fill="A6A6A6"/>
            <w:noWrap/>
            <w:vAlign w:val="center"/>
            <w:hideMark/>
          </w:tcPr>
          <w:p w14:paraId="10F667E1" w14:textId="77777777" w:rsidR="00710741"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Saldos al 31de diciembre </w:t>
            </w:r>
          </w:p>
          <w:p w14:paraId="7284D11E" w14:textId="57FBCDAC" w:rsidR="00AB5902"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1036" w:type="dxa"/>
            <w:tcBorders>
              <w:top w:val="single" w:sz="8" w:space="0" w:color="auto"/>
              <w:left w:val="nil"/>
              <w:bottom w:val="nil"/>
              <w:right w:val="single" w:sz="8" w:space="0" w:color="auto"/>
            </w:tcBorders>
            <w:shd w:val="clear" w:color="000000" w:fill="A6A6A6"/>
            <w:noWrap/>
            <w:vAlign w:val="center"/>
            <w:hideMark/>
          </w:tcPr>
          <w:p w14:paraId="6C577218" w14:textId="77777777" w:rsidR="00AB5902" w:rsidRPr="000C42E6" w:rsidRDefault="00AB5902" w:rsidP="00AB5902">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AB5902" w:rsidRPr="000C42E6" w14:paraId="09829B0E" w14:textId="77777777" w:rsidTr="00D8734A">
        <w:trPr>
          <w:trHeight w:val="255"/>
          <w:jc w:val="center"/>
        </w:trPr>
        <w:tc>
          <w:tcPr>
            <w:tcW w:w="7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1967D" w14:textId="77777777" w:rsidR="00AB5902" w:rsidRPr="000C42E6" w:rsidRDefault="00AB5902" w:rsidP="00AB5902">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Intereses de la Deuda Pública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7E7022B" w14:textId="77777777" w:rsidR="00AB5902" w:rsidRPr="000C42E6" w:rsidRDefault="00AB5902" w:rsidP="00AB5902">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440,035,029 </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444AED68" w14:textId="77777777" w:rsidR="00AB5902" w:rsidRPr="000C42E6" w:rsidRDefault="00AB5902" w:rsidP="00AB5902">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97.34</w:t>
            </w:r>
          </w:p>
        </w:tc>
      </w:tr>
      <w:tr w:rsidR="00AB5902" w:rsidRPr="000C42E6" w14:paraId="12CFA627" w14:textId="77777777" w:rsidTr="00D8734A">
        <w:trPr>
          <w:trHeight w:val="255"/>
          <w:jc w:val="center"/>
        </w:trPr>
        <w:tc>
          <w:tcPr>
            <w:tcW w:w="7368" w:type="dxa"/>
            <w:tcBorders>
              <w:top w:val="nil"/>
              <w:left w:val="single" w:sz="4" w:space="0" w:color="auto"/>
              <w:bottom w:val="single" w:sz="4" w:space="0" w:color="auto"/>
              <w:right w:val="single" w:sz="4" w:space="0" w:color="auto"/>
            </w:tcBorders>
            <w:shd w:val="clear" w:color="auto" w:fill="auto"/>
            <w:noWrap/>
            <w:vAlign w:val="bottom"/>
            <w:hideMark/>
          </w:tcPr>
          <w:p w14:paraId="72832D9E" w14:textId="77777777" w:rsidR="00AB5902" w:rsidRPr="000C42E6" w:rsidRDefault="00AB5902" w:rsidP="00AB5902">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Gastos de la Deuda Pública</w:t>
            </w:r>
          </w:p>
        </w:tc>
        <w:tc>
          <w:tcPr>
            <w:tcW w:w="1540" w:type="dxa"/>
            <w:tcBorders>
              <w:top w:val="nil"/>
              <w:left w:val="nil"/>
              <w:bottom w:val="single" w:sz="4" w:space="0" w:color="auto"/>
              <w:right w:val="single" w:sz="4" w:space="0" w:color="auto"/>
            </w:tcBorders>
            <w:shd w:val="clear" w:color="auto" w:fill="auto"/>
            <w:noWrap/>
            <w:vAlign w:val="bottom"/>
            <w:hideMark/>
          </w:tcPr>
          <w:p w14:paraId="2D79F5D1" w14:textId="77777777" w:rsidR="00AB5902" w:rsidRPr="000C42E6" w:rsidRDefault="00AB5902" w:rsidP="00AB5902">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12,033,149 </w:t>
            </w:r>
          </w:p>
        </w:tc>
        <w:tc>
          <w:tcPr>
            <w:tcW w:w="1036" w:type="dxa"/>
            <w:tcBorders>
              <w:top w:val="nil"/>
              <w:left w:val="nil"/>
              <w:bottom w:val="single" w:sz="4" w:space="0" w:color="auto"/>
              <w:right w:val="single" w:sz="4" w:space="0" w:color="auto"/>
            </w:tcBorders>
            <w:shd w:val="clear" w:color="auto" w:fill="auto"/>
            <w:noWrap/>
            <w:vAlign w:val="bottom"/>
            <w:hideMark/>
          </w:tcPr>
          <w:p w14:paraId="3AD830A9" w14:textId="77777777" w:rsidR="00AB5902" w:rsidRPr="000C42E6" w:rsidRDefault="00AB5902" w:rsidP="00AB5902">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2.66</w:t>
            </w:r>
          </w:p>
        </w:tc>
      </w:tr>
      <w:tr w:rsidR="00AB5902" w:rsidRPr="000C42E6" w14:paraId="7E5AED97" w14:textId="77777777" w:rsidTr="00D8734A">
        <w:trPr>
          <w:trHeight w:val="255"/>
          <w:jc w:val="center"/>
        </w:trPr>
        <w:tc>
          <w:tcPr>
            <w:tcW w:w="7368" w:type="dxa"/>
            <w:tcBorders>
              <w:top w:val="nil"/>
              <w:left w:val="single" w:sz="4" w:space="0" w:color="auto"/>
              <w:bottom w:val="single" w:sz="4" w:space="0" w:color="auto"/>
              <w:right w:val="single" w:sz="4" w:space="0" w:color="auto"/>
            </w:tcBorders>
            <w:shd w:val="clear" w:color="auto" w:fill="auto"/>
            <w:noWrap/>
            <w:vAlign w:val="center"/>
            <w:hideMark/>
          </w:tcPr>
          <w:p w14:paraId="4325E914" w14:textId="77777777" w:rsidR="00AB5902" w:rsidRPr="000C42E6" w:rsidRDefault="00AB5902" w:rsidP="00AB5902">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Costo por Coberturas</w:t>
            </w:r>
          </w:p>
        </w:tc>
        <w:tc>
          <w:tcPr>
            <w:tcW w:w="1540" w:type="dxa"/>
            <w:tcBorders>
              <w:top w:val="nil"/>
              <w:left w:val="nil"/>
              <w:bottom w:val="single" w:sz="4" w:space="0" w:color="auto"/>
              <w:right w:val="single" w:sz="4" w:space="0" w:color="auto"/>
            </w:tcBorders>
            <w:shd w:val="clear" w:color="auto" w:fill="auto"/>
            <w:noWrap/>
            <w:vAlign w:val="bottom"/>
            <w:hideMark/>
          </w:tcPr>
          <w:p w14:paraId="206B85F9" w14:textId="77777777" w:rsidR="00AB5902" w:rsidRPr="000C42E6" w:rsidRDefault="00AB5902" w:rsidP="00AB5902">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12,950 </w:t>
            </w:r>
          </w:p>
        </w:tc>
        <w:tc>
          <w:tcPr>
            <w:tcW w:w="1036" w:type="dxa"/>
            <w:tcBorders>
              <w:top w:val="nil"/>
              <w:left w:val="nil"/>
              <w:bottom w:val="single" w:sz="4" w:space="0" w:color="auto"/>
              <w:right w:val="single" w:sz="4" w:space="0" w:color="auto"/>
            </w:tcBorders>
            <w:shd w:val="clear" w:color="auto" w:fill="auto"/>
            <w:noWrap/>
            <w:vAlign w:val="bottom"/>
            <w:hideMark/>
          </w:tcPr>
          <w:p w14:paraId="57FF75E6" w14:textId="77777777" w:rsidR="00AB5902" w:rsidRPr="000C42E6" w:rsidRDefault="00AB5902" w:rsidP="00AB5902">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0</w:t>
            </w:r>
          </w:p>
        </w:tc>
      </w:tr>
      <w:tr w:rsidR="00AB5902" w:rsidRPr="000C42E6" w14:paraId="1E988E75" w14:textId="77777777" w:rsidTr="00D8734A">
        <w:trPr>
          <w:trHeight w:val="255"/>
          <w:jc w:val="center"/>
        </w:trPr>
        <w:tc>
          <w:tcPr>
            <w:tcW w:w="7368" w:type="dxa"/>
            <w:tcBorders>
              <w:top w:val="nil"/>
              <w:left w:val="single" w:sz="4" w:space="0" w:color="auto"/>
              <w:bottom w:val="single" w:sz="4" w:space="0" w:color="auto"/>
              <w:right w:val="single" w:sz="4" w:space="0" w:color="auto"/>
            </w:tcBorders>
            <w:shd w:val="clear" w:color="auto" w:fill="auto"/>
            <w:noWrap/>
            <w:vAlign w:val="center"/>
            <w:hideMark/>
          </w:tcPr>
          <w:p w14:paraId="0159AF6C" w14:textId="77777777" w:rsidR="00AB5902" w:rsidRPr="000C42E6" w:rsidRDefault="00AB5902" w:rsidP="00AB5902">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68AB758F" w14:textId="77777777" w:rsidR="00AB5902" w:rsidRPr="000C42E6" w:rsidRDefault="00AB5902" w:rsidP="00AB5902">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452,081,129 </w:t>
            </w:r>
          </w:p>
        </w:tc>
        <w:tc>
          <w:tcPr>
            <w:tcW w:w="1036" w:type="dxa"/>
            <w:tcBorders>
              <w:top w:val="nil"/>
              <w:left w:val="nil"/>
              <w:bottom w:val="single" w:sz="4" w:space="0" w:color="auto"/>
              <w:right w:val="single" w:sz="4" w:space="0" w:color="auto"/>
            </w:tcBorders>
            <w:shd w:val="clear" w:color="auto" w:fill="auto"/>
            <w:noWrap/>
            <w:vAlign w:val="bottom"/>
            <w:hideMark/>
          </w:tcPr>
          <w:p w14:paraId="14C9D90D" w14:textId="77777777" w:rsidR="00AB5902" w:rsidRPr="000C42E6" w:rsidRDefault="00AB5902" w:rsidP="00AB5902">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24D1F6E8" w14:textId="77777777" w:rsidR="003217D8" w:rsidRPr="000C42E6" w:rsidRDefault="003217D8" w:rsidP="00CB7883">
      <w:pPr>
        <w:spacing w:after="0" w:line="240" w:lineRule="auto"/>
        <w:jc w:val="both"/>
        <w:rPr>
          <w:rFonts w:ascii="Arial" w:eastAsia="Times New Roman" w:hAnsi="Arial" w:cs="Arial"/>
          <w:color w:val="000000"/>
          <w:sz w:val="20"/>
          <w:szCs w:val="20"/>
          <w:lang w:eastAsia="es-MX"/>
        </w:rPr>
      </w:pPr>
    </w:p>
    <w:p w14:paraId="25F9F262" w14:textId="77777777" w:rsidR="00CB7883" w:rsidRPr="000C42E6" w:rsidRDefault="00CB7883" w:rsidP="00CB7883">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El rubro de Intereses de la Deuda Pública es el </w:t>
      </w:r>
      <w:r w:rsidR="00BE091A" w:rsidRPr="000C42E6">
        <w:rPr>
          <w:rFonts w:ascii="Arial" w:eastAsia="Times New Roman" w:hAnsi="Arial" w:cs="Arial"/>
          <w:b/>
          <w:bCs/>
          <w:color w:val="000000"/>
          <w:sz w:val="20"/>
          <w:szCs w:val="20"/>
          <w:lang w:eastAsia="es-MX"/>
        </w:rPr>
        <w:t>0.</w:t>
      </w:r>
      <w:r w:rsidR="0031269C" w:rsidRPr="000C42E6">
        <w:rPr>
          <w:rFonts w:ascii="Arial" w:eastAsia="Times New Roman" w:hAnsi="Arial" w:cs="Arial"/>
          <w:b/>
          <w:bCs/>
          <w:color w:val="000000"/>
          <w:sz w:val="20"/>
          <w:szCs w:val="20"/>
          <w:lang w:eastAsia="es-MX"/>
        </w:rPr>
        <w:t>6</w:t>
      </w:r>
      <w:r w:rsidR="003217D8" w:rsidRPr="000C42E6">
        <w:rPr>
          <w:rFonts w:ascii="Arial" w:eastAsia="Times New Roman" w:hAnsi="Arial" w:cs="Arial"/>
          <w:b/>
          <w:bCs/>
          <w:color w:val="000000"/>
          <w:sz w:val="20"/>
          <w:szCs w:val="20"/>
          <w:lang w:eastAsia="es-MX"/>
        </w:rPr>
        <w:t>3</w:t>
      </w:r>
      <w:r w:rsidRPr="000C42E6">
        <w:rPr>
          <w:rFonts w:ascii="Arial" w:eastAsia="Times New Roman" w:hAnsi="Arial" w:cs="Arial"/>
          <w:b/>
          <w:bCs/>
          <w:color w:val="000000"/>
          <w:sz w:val="20"/>
          <w:szCs w:val="20"/>
          <w:lang w:eastAsia="es-MX"/>
        </w:rPr>
        <w:t xml:space="preserve">% </w:t>
      </w:r>
      <w:r w:rsidRPr="000C42E6">
        <w:rPr>
          <w:rFonts w:ascii="Arial" w:eastAsia="Times New Roman" w:hAnsi="Arial" w:cs="Arial"/>
          <w:color w:val="000000"/>
          <w:sz w:val="20"/>
          <w:szCs w:val="20"/>
          <w:lang w:eastAsia="es-MX"/>
        </w:rPr>
        <w:t xml:space="preserve">del Total de Gastos y Otras Pérdidas. </w:t>
      </w:r>
    </w:p>
    <w:p w14:paraId="00D453C0" w14:textId="77777777" w:rsidR="004D3266" w:rsidRPr="000C42E6" w:rsidRDefault="004D3266" w:rsidP="00CB7883">
      <w:pPr>
        <w:spacing w:after="0" w:line="240" w:lineRule="auto"/>
        <w:jc w:val="both"/>
        <w:rPr>
          <w:rFonts w:ascii="Arial" w:eastAsia="Times New Roman" w:hAnsi="Arial" w:cs="Arial"/>
          <w:color w:val="000000"/>
          <w:sz w:val="20"/>
          <w:szCs w:val="20"/>
          <w:lang w:eastAsia="es-MX"/>
        </w:rPr>
      </w:pPr>
    </w:p>
    <w:tbl>
      <w:tblPr>
        <w:tblW w:w="9933" w:type="dxa"/>
        <w:jc w:val="center"/>
        <w:tblCellMar>
          <w:left w:w="70" w:type="dxa"/>
          <w:right w:w="70" w:type="dxa"/>
        </w:tblCellMar>
        <w:tblLook w:val="04A0" w:firstRow="1" w:lastRow="0" w:firstColumn="1" w:lastColumn="0" w:noHBand="0" w:noVBand="1"/>
      </w:tblPr>
      <w:tblGrid>
        <w:gridCol w:w="7860"/>
        <w:gridCol w:w="1253"/>
        <w:gridCol w:w="820"/>
      </w:tblGrid>
      <w:tr w:rsidR="00DC150E" w:rsidRPr="000C42E6" w14:paraId="4B6D0328" w14:textId="77777777" w:rsidTr="00D8734A">
        <w:trPr>
          <w:trHeight w:val="570"/>
          <w:jc w:val="center"/>
        </w:trPr>
        <w:tc>
          <w:tcPr>
            <w:tcW w:w="7860" w:type="dxa"/>
            <w:tcBorders>
              <w:top w:val="single" w:sz="8" w:space="0" w:color="auto"/>
              <w:left w:val="single" w:sz="8" w:space="0" w:color="auto"/>
              <w:bottom w:val="nil"/>
              <w:right w:val="single" w:sz="8" w:space="0" w:color="auto"/>
            </w:tcBorders>
            <w:shd w:val="clear" w:color="000000" w:fill="A6A6A6"/>
            <w:vAlign w:val="center"/>
            <w:hideMark/>
          </w:tcPr>
          <w:p w14:paraId="6367A72E" w14:textId="77777777" w:rsidR="00DC150E" w:rsidRPr="000C42E6" w:rsidRDefault="00DC150E" w:rsidP="00DC150E">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Rubro que integra el grupo de Otros Gastos y  pérdidas Extraordinarias</w:t>
            </w:r>
          </w:p>
        </w:tc>
        <w:tc>
          <w:tcPr>
            <w:tcW w:w="1253" w:type="dxa"/>
            <w:tcBorders>
              <w:top w:val="single" w:sz="8" w:space="0" w:color="auto"/>
              <w:left w:val="nil"/>
              <w:bottom w:val="nil"/>
              <w:right w:val="single" w:sz="8" w:space="0" w:color="auto"/>
            </w:tcBorders>
            <w:shd w:val="clear" w:color="000000" w:fill="A6A6A6"/>
            <w:noWrap/>
            <w:vAlign w:val="center"/>
            <w:hideMark/>
          </w:tcPr>
          <w:p w14:paraId="3F73230D" w14:textId="77777777" w:rsidR="00D2361B" w:rsidRPr="000C42E6" w:rsidRDefault="00D2361B" w:rsidP="00D2361B">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Saldos al 31de diciembre </w:t>
            </w:r>
          </w:p>
          <w:p w14:paraId="1A8586A0" w14:textId="3F14879C" w:rsidR="00DC150E" w:rsidRPr="000C42E6" w:rsidRDefault="00D2361B" w:rsidP="00D2361B">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r w:rsidR="00DC150E" w:rsidRPr="000C42E6">
              <w:rPr>
                <w:rFonts w:ascii="Arial" w:eastAsia="Times New Roman" w:hAnsi="Arial" w:cs="Arial"/>
                <w:b/>
                <w:bCs/>
                <w:color w:val="000000"/>
                <w:sz w:val="20"/>
                <w:szCs w:val="20"/>
                <w:lang w:eastAsia="es-MX"/>
              </w:rPr>
              <w:t xml:space="preserve"> </w:t>
            </w:r>
          </w:p>
        </w:tc>
        <w:tc>
          <w:tcPr>
            <w:tcW w:w="820" w:type="dxa"/>
            <w:tcBorders>
              <w:top w:val="single" w:sz="8" w:space="0" w:color="auto"/>
              <w:left w:val="nil"/>
              <w:bottom w:val="nil"/>
              <w:right w:val="single" w:sz="8" w:space="0" w:color="auto"/>
            </w:tcBorders>
            <w:shd w:val="clear" w:color="000000" w:fill="A6A6A6"/>
            <w:noWrap/>
            <w:vAlign w:val="center"/>
            <w:hideMark/>
          </w:tcPr>
          <w:p w14:paraId="0F8A65B8" w14:textId="77777777" w:rsidR="00DC150E" w:rsidRPr="000C42E6" w:rsidRDefault="00DC150E" w:rsidP="00DC150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DC150E" w:rsidRPr="000C42E6" w14:paraId="665122F1" w14:textId="77777777" w:rsidTr="00D8734A">
        <w:trPr>
          <w:trHeight w:val="194"/>
          <w:jc w:val="center"/>
        </w:trPr>
        <w:tc>
          <w:tcPr>
            <w:tcW w:w="7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F0207" w14:textId="77777777" w:rsidR="00DC150E" w:rsidRPr="000C42E6" w:rsidRDefault="00DC150E" w:rsidP="00DC150E">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Estimaciones, Depreciaciones, Deterioros, Obsolescencia y Amortizaciones</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309DA0FC" w14:textId="624F7429" w:rsidR="00DC150E" w:rsidRPr="000C42E6" w:rsidRDefault="00DC150E" w:rsidP="00D8734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411,001,315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A35A03E" w14:textId="77777777" w:rsidR="00DC150E" w:rsidRPr="000C42E6" w:rsidRDefault="00DC150E" w:rsidP="00DC150E">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100</w:t>
            </w:r>
          </w:p>
        </w:tc>
      </w:tr>
      <w:tr w:rsidR="00DC150E" w:rsidRPr="000C42E6" w14:paraId="4117530D" w14:textId="77777777" w:rsidTr="00D8734A">
        <w:trPr>
          <w:trHeight w:val="285"/>
          <w:jc w:val="center"/>
        </w:trPr>
        <w:tc>
          <w:tcPr>
            <w:tcW w:w="7860" w:type="dxa"/>
            <w:tcBorders>
              <w:top w:val="nil"/>
              <w:left w:val="single" w:sz="4" w:space="0" w:color="auto"/>
              <w:bottom w:val="single" w:sz="4" w:space="0" w:color="auto"/>
              <w:right w:val="single" w:sz="4" w:space="0" w:color="auto"/>
            </w:tcBorders>
            <w:shd w:val="clear" w:color="auto" w:fill="auto"/>
            <w:noWrap/>
            <w:vAlign w:val="center"/>
            <w:hideMark/>
          </w:tcPr>
          <w:p w14:paraId="51B66F23" w14:textId="77777777" w:rsidR="00DC150E" w:rsidRPr="000C42E6" w:rsidRDefault="00DC150E" w:rsidP="00DC150E">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253" w:type="dxa"/>
            <w:tcBorders>
              <w:top w:val="nil"/>
              <w:left w:val="nil"/>
              <w:bottom w:val="single" w:sz="4" w:space="0" w:color="auto"/>
              <w:right w:val="single" w:sz="4" w:space="0" w:color="auto"/>
            </w:tcBorders>
            <w:shd w:val="clear" w:color="auto" w:fill="auto"/>
            <w:noWrap/>
            <w:vAlign w:val="center"/>
            <w:hideMark/>
          </w:tcPr>
          <w:p w14:paraId="5ED267A8" w14:textId="327B8F3E" w:rsidR="00DC150E" w:rsidRPr="000C42E6" w:rsidRDefault="00DC150E" w:rsidP="00D8734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411,001,315 </w:t>
            </w:r>
          </w:p>
        </w:tc>
        <w:tc>
          <w:tcPr>
            <w:tcW w:w="820" w:type="dxa"/>
            <w:tcBorders>
              <w:top w:val="nil"/>
              <w:left w:val="nil"/>
              <w:bottom w:val="single" w:sz="4" w:space="0" w:color="auto"/>
              <w:right w:val="single" w:sz="4" w:space="0" w:color="auto"/>
            </w:tcBorders>
            <w:shd w:val="clear" w:color="auto" w:fill="auto"/>
            <w:noWrap/>
            <w:vAlign w:val="center"/>
            <w:hideMark/>
          </w:tcPr>
          <w:p w14:paraId="48DF7EFC" w14:textId="77777777" w:rsidR="00DC150E" w:rsidRPr="000C42E6" w:rsidRDefault="00DC150E" w:rsidP="00DC150E">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35B3A0A1" w14:textId="77777777" w:rsidR="004D3266" w:rsidRPr="000C42E6" w:rsidRDefault="004D3266" w:rsidP="00CB7883">
      <w:pPr>
        <w:spacing w:after="0" w:line="240" w:lineRule="auto"/>
        <w:jc w:val="both"/>
        <w:rPr>
          <w:rFonts w:ascii="Arial" w:eastAsia="Times New Roman" w:hAnsi="Arial" w:cs="Arial"/>
          <w:color w:val="000000"/>
          <w:sz w:val="20"/>
          <w:szCs w:val="20"/>
          <w:lang w:eastAsia="es-MX"/>
        </w:rPr>
      </w:pPr>
    </w:p>
    <w:p w14:paraId="507E7269" w14:textId="51776337" w:rsidR="0018390F" w:rsidRPr="000C42E6" w:rsidRDefault="00CB7883" w:rsidP="00CB7883">
      <w:pPr>
        <w:spacing w:after="0" w:line="240" w:lineRule="auto"/>
        <w:rPr>
          <w:rFonts w:ascii="Arial" w:eastAsia="Calibri" w:hAnsi="Arial" w:cs="Arial"/>
          <w:sz w:val="20"/>
          <w:szCs w:val="20"/>
        </w:rPr>
      </w:pPr>
      <w:r w:rsidRPr="000C42E6">
        <w:rPr>
          <w:rFonts w:ascii="Arial" w:eastAsia="Calibri" w:hAnsi="Arial" w:cs="Arial"/>
          <w:sz w:val="20"/>
          <w:szCs w:val="20"/>
        </w:rPr>
        <w:t>El rubro de Estimaciones, Depreciaciones, Deterioros, Obsolescen</w:t>
      </w:r>
      <w:r w:rsidR="003C5E3D" w:rsidRPr="000C42E6">
        <w:rPr>
          <w:rFonts w:ascii="Arial" w:eastAsia="Calibri" w:hAnsi="Arial" w:cs="Arial"/>
          <w:sz w:val="20"/>
          <w:szCs w:val="20"/>
        </w:rPr>
        <w:t>cia y Amortizaciones es el</w:t>
      </w:r>
      <w:r w:rsidR="003C5E3D" w:rsidRPr="000C42E6">
        <w:rPr>
          <w:rFonts w:ascii="Arial" w:eastAsia="Calibri" w:hAnsi="Arial" w:cs="Arial"/>
          <w:b/>
          <w:sz w:val="20"/>
          <w:szCs w:val="20"/>
        </w:rPr>
        <w:t xml:space="preserve">  0</w:t>
      </w:r>
      <w:r w:rsidR="00C466C4" w:rsidRPr="000C42E6">
        <w:rPr>
          <w:rFonts w:ascii="Arial" w:eastAsia="Calibri" w:hAnsi="Arial" w:cs="Arial"/>
          <w:b/>
          <w:sz w:val="20"/>
          <w:szCs w:val="20"/>
        </w:rPr>
        <w:t>.</w:t>
      </w:r>
      <w:r w:rsidR="00E36E51" w:rsidRPr="000C42E6">
        <w:rPr>
          <w:rFonts w:ascii="Arial" w:eastAsia="Calibri" w:hAnsi="Arial" w:cs="Arial"/>
          <w:b/>
          <w:sz w:val="20"/>
          <w:szCs w:val="20"/>
        </w:rPr>
        <w:t>59</w:t>
      </w:r>
      <w:r w:rsidRPr="000C42E6">
        <w:rPr>
          <w:rFonts w:ascii="Arial" w:eastAsia="Calibri" w:hAnsi="Arial" w:cs="Arial"/>
          <w:b/>
          <w:sz w:val="20"/>
          <w:szCs w:val="20"/>
        </w:rPr>
        <w:t>%</w:t>
      </w:r>
      <w:r w:rsidRPr="000C42E6">
        <w:rPr>
          <w:rFonts w:ascii="Arial" w:eastAsia="Calibri" w:hAnsi="Arial" w:cs="Arial"/>
          <w:sz w:val="20"/>
          <w:szCs w:val="20"/>
        </w:rPr>
        <w:t xml:space="preserve"> del Total de Gastos y Otras Pérdidas.</w:t>
      </w:r>
    </w:p>
    <w:p w14:paraId="2383915D" w14:textId="77777777" w:rsidR="008E06F3" w:rsidRPr="000C42E6" w:rsidRDefault="008E06F3" w:rsidP="00CB7883">
      <w:pPr>
        <w:spacing w:after="0" w:line="240" w:lineRule="auto"/>
        <w:rPr>
          <w:rFonts w:ascii="Arial" w:eastAsia="Calibri" w:hAnsi="Arial" w:cs="Arial"/>
          <w:sz w:val="20"/>
          <w:szCs w:val="20"/>
        </w:rPr>
      </w:pPr>
    </w:p>
    <w:tbl>
      <w:tblPr>
        <w:tblW w:w="9792" w:type="dxa"/>
        <w:jc w:val="center"/>
        <w:tblCellMar>
          <w:left w:w="70" w:type="dxa"/>
          <w:right w:w="70" w:type="dxa"/>
        </w:tblCellMar>
        <w:tblLook w:val="04A0" w:firstRow="1" w:lastRow="0" w:firstColumn="1" w:lastColumn="0" w:noHBand="0" w:noVBand="1"/>
      </w:tblPr>
      <w:tblGrid>
        <w:gridCol w:w="7216"/>
        <w:gridCol w:w="1540"/>
        <w:gridCol w:w="1036"/>
      </w:tblGrid>
      <w:tr w:rsidR="009A5900" w:rsidRPr="000C42E6" w14:paraId="59FFD272" w14:textId="77777777" w:rsidTr="00D8734A">
        <w:trPr>
          <w:trHeight w:val="510"/>
          <w:jc w:val="center"/>
        </w:trPr>
        <w:tc>
          <w:tcPr>
            <w:tcW w:w="7216" w:type="dxa"/>
            <w:tcBorders>
              <w:top w:val="single" w:sz="8" w:space="0" w:color="auto"/>
              <w:left w:val="single" w:sz="8" w:space="0" w:color="auto"/>
              <w:bottom w:val="nil"/>
              <w:right w:val="single" w:sz="8" w:space="0" w:color="auto"/>
            </w:tcBorders>
            <w:shd w:val="clear" w:color="000000" w:fill="A6A6A6"/>
            <w:vAlign w:val="center"/>
            <w:hideMark/>
          </w:tcPr>
          <w:p w14:paraId="28D2FED3" w14:textId="77777777" w:rsidR="009A5900" w:rsidRPr="000C42E6" w:rsidRDefault="009A5900" w:rsidP="009A5900">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Rubro que integra el grupo de Inversión Pública </w:t>
            </w:r>
          </w:p>
        </w:tc>
        <w:tc>
          <w:tcPr>
            <w:tcW w:w="1540" w:type="dxa"/>
            <w:tcBorders>
              <w:top w:val="single" w:sz="8" w:space="0" w:color="auto"/>
              <w:left w:val="nil"/>
              <w:bottom w:val="nil"/>
              <w:right w:val="single" w:sz="8" w:space="0" w:color="auto"/>
            </w:tcBorders>
            <w:shd w:val="clear" w:color="000000" w:fill="A6A6A6"/>
            <w:noWrap/>
            <w:vAlign w:val="center"/>
            <w:hideMark/>
          </w:tcPr>
          <w:p w14:paraId="61E91F05" w14:textId="77777777" w:rsidR="00710741"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Saldos al 31de diciembre </w:t>
            </w:r>
          </w:p>
          <w:p w14:paraId="4186A145" w14:textId="4757FAC7" w:rsidR="009A5900"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1036" w:type="dxa"/>
            <w:tcBorders>
              <w:top w:val="single" w:sz="8" w:space="0" w:color="auto"/>
              <w:left w:val="nil"/>
              <w:bottom w:val="nil"/>
              <w:right w:val="single" w:sz="8" w:space="0" w:color="auto"/>
            </w:tcBorders>
            <w:shd w:val="clear" w:color="000000" w:fill="A6A6A6"/>
            <w:noWrap/>
            <w:vAlign w:val="center"/>
            <w:hideMark/>
          </w:tcPr>
          <w:p w14:paraId="64E5ABE1" w14:textId="77777777" w:rsidR="009A5900" w:rsidRPr="000C42E6" w:rsidRDefault="009A5900" w:rsidP="009A590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9A5900" w:rsidRPr="000C42E6" w14:paraId="6A9B464F" w14:textId="77777777" w:rsidTr="00D8734A">
        <w:trPr>
          <w:trHeight w:val="255"/>
          <w:jc w:val="center"/>
        </w:trPr>
        <w:tc>
          <w:tcPr>
            <w:tcW w:w="7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934FB" w14:textId="77777777" w:rsidR="009A5900" w:rsidRPr="000C42E6" w:rsidRDefault="009A5900" w:rsidP="009A5900">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Inversión Pública no Capitalizable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BB26BA9" w14:textId="77777777" w:rsidR="009A5900" w:rsidRPr="000C42E6" w:rsidRDefault="009A5900" w:rsidP="009A5900">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1,214,395,751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6D8EA25" w14:textId="77777777" w:rsidR="009A5900" w:rsidRPr="000C42E6" w:rsidRDefault="009A5900" w:rsidP="00F7637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100</w:t>
            </w:r>
          </w:p>
        </w:tc>
      </w:tr>
    </w:tbl>
    <w:p w14:paraId="0C733325" w14:textId="77777777" w:rsidR="0018390F" w:rsidRDefault="0018390F" w:rsidP="00CB7883">
      <w:pPr>
        <w:spacing w:after="0" w:line="240" w:lineRule="auto"/>
        <w:rPr>
          <w:rFonts w:ascii="Arial" w:eastAsia="Calibri" w:hAnsi="Arial" w:cs="Arial"/>
          <w:sz w:val="20"/>
          <w:szCs w:val="20"/>
        </w:rPr>
      </w:pPr>
    </w:p>
    <w:p w14:paraId="06EAB0DD" w14:textId="03E904AB" w:rsidR="008D29C9" w:rsidRPr="000C42E6" w:rsidRDefault="008D29C9" w:rsidP="008D29C9">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El rubro de Inversión Pública es el </w:t>
      </w:r>
      <w:r w:rsidR="0014184F" w:rsidRPr="000C42E6">
        <w:rPr>
          <w:rFonts w:ascii="Arial" w:eastAsia="Times New Roman" w:hAnsi="Arial" w:cs="Arial"/>
          <w:b/>
          <w:color w:val="000000"/>
          <w:sz w:val="20"/>
          <w:szCs w:val="20"/>
          <w:lang w:eastAsia="es-MX"/>
        </w:rPr>
        <w:t>1.74</w:t>
      </w:r>
      <w:r w:rsidRPr="000C42E6">
        <w:rPr>
          <w:rFonts w:ascii="Arial" w:eastAsia="Times New Roman" w:hAnsi="Arial" w:cs="Arial"/>
          <w:b/>
          <w:color w:val="000000"/>
          <w:sz w:val="20"/>
          <w:szCs w:val="20"/>
          <w:lang w:eastAsia="es-MX"/>
        </w:rPr>
        <w:t>%</w:t>
      </w:r>
      <w:r w:rsidRPr="000C42E6">
        <w:rPr>
          <w:rFonts w:ascii="Arial" w:eastAsia="Times New Roman" w:hAnsi="Arial" w:cs="Arial"/>
          <w:color w:val="000000"/>
          <w:sz w:val="20"/>
          <w:szCs w:val="20"/>
          <w:lang w:eastAsia="es-MX"/>
        </w:rPr>
        <w:t xml:space="preserve"> de total de Gastos y Otras Pérdidas. </w:t>
      </w:r>
    </w:p>
    <w:p w14:paraId="748FCF9F" w14:textId="77777777" w:rsidR="0032799E" w:rsidRPr="000C42E6" w:rsidRDefault="0032799E" w:rsidP="00CB7883">
      <w:pPr>
        <w:spacing w:after="0" w:line="240" w:lineRule="auto"/>
        <w:rPr>
          <w:rFonts w:ascii="Arial" w:eastAsia="Calibri" w:hAnsi="Arial" w:cs="Arial"/>
          <w:sz w:val="20"/>
          <w:szCs w:val="20"/>
        </w:rPr>
      </w:pPr>
    </w:p>
    <w:p w14:paraId="263E31CB" w14:textId="77777777" w:rsidR="00CB7883" w:rsidRPr="000C42E6" w:rsidRDefault="00CB7883" w:rsidP="00CB7883">
      <w:pPr>
        <w:spacing w:after="0" w:line="240" w:lineRule="auto"/>
        <w:rPr>
          <w:rFonts w:ascii="Arial" w:eastAsia="Calibri" w:hAnsi="Arial" w:cs="Arial"/>
          <w:b/>
          <w:sz w:val="20"/>
          <w:szCs w:val="20"/>
        </w:rPr>
      </w:pPr>
      <w:r w:rsidRPr="000C42E6">
        <w:rPr>
          <w:rFonts w:ascii="Arial" w:eastAsia="Calibri" w:hAnsi="Arial" w:cs="Arial"/>
          <w:b/>
          <w:sz w:val="20"/>
          <w:szCs w:val="20"/>
        </w:rPr>
        <w:t xml:space="preserve">II) NOTAS AL ESTADO DE SITUACION FINANCIERA </w:t>
      </w:r>
    </w:p>
    <w:p w14:paraId="3B09010D" w14:textId="77777777" w:rsidR="00CB7883" w:rsidRPr="000C42E6" w:rsidRDefault="00CB7883" w:rsidP="00CB7883">
      <w:pPr>
        <w:spacing w:after="0" w:line="240" w:lineRule="auto"/>
        <w:jc w:val="center"/>
        <w:rPr>
          <w:rFonts w:ascii="Arial" w:eastAsia="Calibri" w:hAnsi="Arial" w:cs="Arial"/>
          <w:sz w:val="20"/>
          <w:szCs w:val="20"/>
        </w:rPr>
      </w:pPr>
    </w:p>
    <w:p w14:paraId="637A346D" w14:textId="77777777" w:rsidR="00CB7883" w:rsidRPr="000C42E6" w:rsidRDefault="00CB7883" w:rsidP="00CB7883">
      <w:pPr>
        <w:spacing w:after="0" w:line="240" w:lineRule="auto"/>
        <w:jc w:val="both"/>
        <w:rPr>
          <w:rFonts w:ascii="Arial" w:eastAsia="Calibri" w:hAnsi="Arial" w:cs="Arial"/>
          <w:b/>
          <w:sz w:val="20"/>
          <w:szCs w:val="20"/>
        </w:rPr>
      </w:pPr>
      <w:r w:rsidRPr="000C42E6">
        <w:rPr>
          <w:rFonts w:ascii="Arial" w:eastAsia="Calibri" w:hAnsi="Arial" w:cs="Arial"/>
          <w:b/>
          <w:sz w:val="20"/>
          <w:szCs w:val="20"/>
        </w:rPr>
        <w:t>ACTIVO</w:t>
      </w:r>
    </w:p>
    <w:p w14:paraId="623A183B" w14:textId="77777777" w:rsidR="00CB7883" w:rsidRPr="000C42E6" w:rsidRDefault="00CB7883" w:rsidP="00CB7883">
      <w:pPr>
        <w:spacing w:after="0" w:line="240" w:lineRule="auto"/>
        <w:jc w:val="both"/>
        <w:rPr>
          <w:rFonts w:ascii="Arial" w:eastAsia="Calibri" w:hAnsi="Arial" w:cs="Arial"/>
          <w:b/>
          <w:sz w:val="20"/>
          <w:szCs w:val="20"/>
        </w:rPr>
      </w:pPr>
    </w:p>
    <w:p w14:paraId="69C07915" w14:textId="77777777" w:rsidR="00CB7883" w:rsidRPr="000C42E6" w:rsidRDefault="00CB7883" w:rsidP="00CB7883">
      <w:pPr>
        <w:spacing w:after="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 xml:space="preserve">Efectivo y Equivalentes                                   </w:t>
      </w:r>
    </w:p>
    <w:p w14:paraId="17F1F8D1" w14:textId="77777777" w:rsidR="00CB7883" w:rsidRPr="000C42E6" w:rsidRDefault="00CB7883" w:rsidP="00CB7883">
      <w:pPr>
        <w:spacing w:after="0" w:line="240" w:lineRule="auto"/>
        <w:rPr>
          <w:rFonts w:ascii="Arial" w:eastAsia="Calibri" w:hAnsi="Arial" w:cs="Arial"/>
          <w:b/>
          <w:sz w:val="20"/>
          <w:szCs w:val="20"/>
        </w:rPr>
      </w:pPr>
    </w:p>
    <w:tbl>
      <w:tblPr>
        <w:tblW w:w="9650" w:type="dxa"/>
        <w:jc w:val="center"/>
        <w:tblCellMar>
          <w:left w:w="70" w:type="dxa"/>
          <w:right w:w="70" w:type="dxa"/>
        </w:tblCellMar>
        <w:tblLook w:val="04A0" w:firstRow="1" w:lastRow="0" w:firstColumn="1" w:lastColumn="0" w:noHBand="0" w:noVBand="1"/>
      </w:tblPr>
      <w:tblGrid>
        <w:gridCol w:w="6428"/>
        <w:gridCol w:w="2560"/>
        <w:gridCol w:w="662"/>
      </w:tblGrid>
      <w:tr w:rsidR="00502F4A" w:rsidRPr="000C42E6" w14:paraId="05FDBADD" w14:textId="77777777" w:rsidTr="00D8734A">
        <w:trPr>
          <w:trHeight w:val="609"/>
          <w:jc w:val="center"/>
        </w:trPr>
        <w:tc>
          <w:tcPr>
            <w:tcW w:w="6428" w:type="dxa"/>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7701E4F9" w14:textId="77777777" w:rsidR="00502F4A" w:rsidRPr="000C42E6" w:rsidRDefault="00502F4A"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Cuentas de Mayor que integran el rubro de Efectivo y Equivalentes</w:t>
            </w:r>
          </w:p>
        </w:tc>
        <w:tc>
          <w:tcPr>
            <w:tcW w:w="2560" w:type="dxa"/>
            <w:tcBorders>
              <w:top w:val="single" w:sz="8" w:space="0" w:color="000000"/>
              <w:left w:val="nil"/>
              <w:bottom w:val="single" w:sz="8" w:space="0" w:color="000000"/>
              <w:right w:val="single" w:sz="8" w:space="0" w:color="000000"/>
            </w:tcBorders>
            <w:shd w:val="clear" w:color="000000" w:fill="A6A6A6"/>
            <w:vAlign w:val="center"/>
            <w:hideMark/>
          </w:tcPr>
          <w:p w14:paraId="3CB3CD6C" w14:textId="77777777" w:rsidR="00502F4A" w:rsidRPr="000C42E6" w:rsidRDefault="00502F4A"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Saldos al 31de diciembre </w:t>
            </w:r>
          </w:p>
          <w:p w14:paraId="1EBA2DE1" w14:textId="58DC8691" w:rsidR="00502F4A" w:rsidRPr="000C42E6" w:rsidRDefault="00502F4A"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c>
          <w:tcPr>
            <w:tcW w:w="662" w:type="dxa"/>
            <w:tcBorders>
              <w:top w:val="single" w:sz="8" w:space="0" w:color="000000"/>
              <w:left w:val="nil"/>
              <w:bottom w:val="single" w:sz="8" w:space="0" w:color="000000"/>
              <w:right w:val="single" w:sz="8" w:space="0" w:color="000000"/>
            </w:tcBorders>
            <w:shd w:val="clear" w:color="000000" w:fill="A6A6A6"/>
            <w:vAlign w:val="center"/>
            <w:hideMark/>
          </w:tcPr>
          <w:p w14:paraId="677EC94F" w14:textId="77777777" w:rsidR="00502F4A" w:rsidRPr="000C42E6" w:rsidRDefault="00502F4A"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502F4A" w:rsidRPr="000C42E6" w14:paraId="555BC58F" w14:textId="77777777" w:rsidTr="00D8734A">
        <w:trPr>
          <w:trHeight w:val="310"/>
          <w:jc w:val="center"/>
        </w:trPr>
        <w:tc>
          <w:tcPr>
            <w:tcW w:w="6428" w:type="dxa"/>
            <w:tcBorders>
              <w:top w:val="nil"/>
              <w:left w:val="single" w:sz="8" w:space="0" w:color="000000"/>
              <w:bottom w:val="single" w:sz="8" w:space="0" w:color="auto"/>
              <w:right w:val="single" w:sz="8" w:space="0" w:color="000000"/>
            </w:tcBorders>
            <w:shd w:val="clear" w:color="auto" w:fill="auto"/>
            <w:noWrap/>
            <w:vAlign w:val="center"/>
            <w:hideMark/>
          </w:tcPr>
          <w:p w14:paraId="71F6579F" w14:textId="77777777" w:rsidR="00502F4A" w:rsidRPr="000C42E6" w:rsidRDefault="00502F4A"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Bancos/Tesorería  </w:t>
            </w:r>
          </w:p>
        </w:tc>
        <w:tc>
          <w:tcPr>
            <w:tcW w:w="2560" w:type="dxa"/>
            <w:tcBorders>
              <w:top w:val="nil"/>
              <w:left w:val="nil"/>
              <w:bottom w:val="single" w:sz="8" w:space="0" w:color="auto"/>
              <w:right w:val="single" w:sz="8" w:space="0" w:color="000000"/>
            </w:tcBorders>
            <w:shd w:val="clear" w:color="auto" w:fill="auto"/>
            <w:vAlign w:val="center"/>
            <w:hideMark/>
          </w:tcPr>
          <w:p w14:paraId="128C5677" w14:textId="77777777" w:rsidR="00502F4A" w:rsidRPr="000C42E6" w:rsidRDefault="00502F4A"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1,148,388,382</w:t>
            </w:r>
          </w:p>
        </w:tc>
        <w:tc>
          <w:tcPr>
            <w:tcW w:w="662" w:type="dxa"/>
            <w:tcBorders>
              <w:top w:val="nil"/>
              <w:left w:val="nil"/>
              <w:bottom w:val="single" w:sz="8" w:space="0" w:color="auto"/>
              <w:right w:val="single" w:sz="8" w:space="0" w:color="000000"/>
            </w:tcBorders>
            <w:shd w:val="clear" w:color="auto" w:fill="auto"/>
            <w:vAlign w:val="center"/>
            <w:hideMark/>
          </w:tcPr>
          <w:p w14:paraId="2CDDD5B2" w14:textId="2AAC863C" w:rsidR="00502F4A" w:rsidRPr="000C42E6" w:rsidRDefault="00502F4A"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98.78</w:t>
            </w:r>
          </w:p>
        </w:tc>
      </w:tr>
      <w:tr w:rsidR="00502F4A" w:rsidRPr="000C42E6" w14:paraId="58841BDC" w14:textId="77777777" w:rsidTr="00D8734A">
        <w:trPr>
          <w:trHeight w:val="271"/>
          <w:jc w:val="center"/>
        </w:trPr>
        <w:tc>
          <w:tcPr>
            <w:tcW w:w="6428" w:type="dxa"/>
            <w:tcBorders>
              <w:top w:val="nil"/>
              <w:left w:val="single" w:sz="8" w:space="0" w:color="000000"/>
              <w:bottom w:val="single" w:sz="8" w:space="0" w:color="000000"/>
              <w:right w:val="single" w:sz="8" w:space="0" w:color="000000"/>
            </w:tcBorders>
            <w:shd w:val="clear" w:color="auto" w:fill="auto"/>
            <w:vAlign w:val="center"/>
            <w:hideMark/>
          </w:tcPr>
          <w:p w14:paraId="3CB6EC1F" w14:textId="77777777" w:rsidR="00502F4A" w:rsidRPr="000C42E6" w:rsidRDefault="00502F4A"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Bancos/Dependencias y Otros</w:t>
            </w:r>
          </w:p>
        </w:tc>
        <w:tc>
          <w:tcPr>
            <w:tcW w:w="2560" w:type="dxa"/>
            <w:tcBorders>
              <w:top w:val="nil"/>
              <w:left w:val="nil"/>
              <w:bottom w:val="single" w:sz="8" w:space="0" w:color="000000"/>
              <w:right w:val="single" w:sz="8" w:space="0" w:color="000000"/>
            </w:tcBorders>
            <w:shd w:val="clear" w:color="auto" w:fill="auto"/>
            <w:vAlign w:val="center"/>
            <w:hideMark/>
          </w:tcPr>
          <w:p w14:paraId="508D2DB0" w14:textId="77777777" w:rsidR="00502F4A" w:rsidRPr="000C42E6" w:rsidRDefault="00502F4A"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14,208,192</w:t>
            </w:r>
          </w:p>
        </w:tc>
        <w:tc>
          <w:tcPr>
            <w:tcW w:w="662" w:type="dxa"/>
            <w:tcBorders>
              <w:top w:val="nil"/>
              <w:left w:val="nil"/>
              <w:bottom w:val="single" w:sz="8" w:space="0" w:color="auto"/>
              <w:right w:val="single" w:sz="8" w:space="0" w:color="000000"/>
            </w:tcBorders>
            <w:shd w:val="clear" w:color="auto" w:fill="auto"/>
            <w:vAlign w:val="center"/>
            <w:hideMark/>
          </w:tcPr>
          <w:p w14:paraId="531E9D44" w14:textId="06429F5A" w:rsidR="00502F4A" w:rsidRPr="000C42E6" w:rsidRDefault="00502F4A"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1.22</w:t>
            </w:r>
          </w:p>
        </w:tc>
      </w:tr>
      <w:tr w:rsidR="00502F4A" w:rsidRPr="000C42E6" w14:paraId="26A29237" w14:textId="77777777" w:rsidTr="00D8734A">
        <w:trPr>
          <w:trHeight w:val="315"/>
          <w:jc w:val="center"/>
        </w:trPr>
        <w:tc>
          <w:tcPr>
            <w:tcW w:w="6428" w:type="dxa"/>
            <w:tcBorders>
              <w:top w:val="nil"/>
              <w:left w:val="single" w:sz="8" w:space="0" w:color="000000"/>
              <w:bottom w:val="single" w:sz="8" w:space="0" w:color="000000"/>
              <w:right w:val="single" w:sz="8" w:space="0" w:color="000000"/>
            </w:tcBorders>
            <w:shd w:val="clear" w:color="auto" w:fill="auto"/>
            <w:vAlign w:val="center"/>
            <w:hideMark/>
          </w:tcPr>
          <w:p w14:paraId="5F2D9ED0" w14:textId="77777777" w:rsidR="00502F4A" w:rsidRPr="000C42E6" w:rsidRDefault="00502F4A"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2560" w:type="dxa"/>
            <w:tcBorders>
              <w:top w:val="nil"/>
              <w:left w:val="nil"/>
              <w:bottom w:val="single" w:sz="8" w:space="0" w:color="000000"/>
              <w:right w:val="single" w:sz="8" w:space="0" w:color="000000"/>
            </w:tcBorders>
            <w:shd w:val="clear" w:color="auto" w:fill="auto"/>
            <w:vAlign w:val="center"/>
            <w:hideMark/>
          </w:tcPr>
          <w:p w14:paraId="74326DDF" w14:textId="77777777" w:rsidR="00502F4A" w:rsidRPr="000C42E6" w:rsidRDefault="00502F4A"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1,162,596,573</w:t>
            </w:r>
          </w:p>
        </w:tc>
        <w:tc>
          <w:tcPr>
            <w:tcW w:w="662" w:type="dxa"/>
            <w:tcBorders>
              <w:top w:val="nil"/>
              <w:left w:val="nil"/>
              <w:bottom w:val="single" w:sz="8" w:space="0" w:color="000000"/>
              <w:right w:val="single" w:sz="8" w:space="0" w:color="000000"/>
            </w:tcBorders>
            <w:shd w:val="clear" w:color="auto" w:fill="auto"/>
            <w:vAlign w:val="center"/>
            <w:hideMark/>
          </w:tcPr>
          <w:p w14:paraId="4DADFBD2" w14:textId="14ED3ACB" w:rsidR="00502F4A" w:rsidRPr="000C42E6" w:rsidRDefault="00502F4A"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207A4F6A" w14:textId="77777777" w:rsidR="009C2ECD" w:rsidRPr="000C42E6" w:rsidRDefault="009C2ECD" w:rsidP="009C2ECD">
      <w:pPr>
        <w:pStyle w:val="Prrafodelista"/>
        <w:numPr>
          <w:ilvl w:val="0"/>
          <w:numId w:val="25"/>
        </w:numPr>
        <w:spacing w:after="160" w:line="259" w:lineRule="auto"/>
        <w:jc w:val="both"/>
        <w:rPr>
          <w:rFonts w:ascii="Arial" w:hAnsi="Arial" w:cs="Arial"/>
          <w:sz w:val="20"/>
          <w:szCs w:val="20"/>
        </w:rPr>
      </w:pPr>
      <w:r w:rsidRPr="000C42E6">
        <w:rPr>
          <w:rFonts w:ascii="Arial" w:hAnsi="Arial" w:cs="Arial"/>
          <w:b/>
          <w:sz w:val="20"/>
          <w:szCs w:val="20"/>
        </w:rPr>
        <w:lastRenderedPageBreak/>
        <w:t xml:space="preserve">Bancos/Tesorería: </w:t>
      </w:r>
      <w:r w:rsidRPr="000C42E6">
        <w:rPr>
          <w:rFonts w:ascii="Arial" w:hAnsi="Arial" w:cs="Arial"/>
          <w:sz w:val="20"/>
          <w:szCs w:val="20"/>
        </w:rPr>
        <w:t>El total de cuentas bancarias al 31 de diciembre de 2024 cotejado con los registros de la Dirección de Tesorería fue de 193, en el transcurso del ejercicio han sido canceladas 102 y abiertas 124 quedando en total 215 cuentas activas al 31 de diciembre 2025. Los saldos manifestados involucran algunos montos reportados en las respectivas conciliaciones como pendientes de corresponder y cuyas reclasificaciones están en proceso.</w:t>
      </w:r>
    </w:p>
    <w:p w14:paraId="749FA895" w14:textId="77777777" w:rsidR="009C2ECD" w:rsidRPr="000C42E6" w:rsidRDefault="009C2ECD" w:rsidP="009C2ECD">
      <w:pPr>
        <w:pStyle w:val="Prrafodelista"/>
        <w:numPr>
          <w:ilvl w:val="0"/>
          <w:numId w:val="25"/>
        </w:numPr>
        <w:spacing w:before="240" w:after="160" w:line="259" w:lineRule="auto"/>
        <w:jc w:val="both"/>
        <w:rPr>
          <w:rFonts w:ascii="Arial" w:hAnsi="Arial" w:cs="Arial"/>
          <w:sz w:val="20"/>
          <w:szCs w:val="20"/>
        </w:rPr>
      </w:pPr>
      <w:r w:rsidRPr="000C42E6">
        <w:rPr>
          <w:rFonts w:ascii="Arial" w:hAnsi="Arial" w:cs="Arial"/>
          <w:b/>
          <w:sz w:val="20"/>
          <w:szCs w:val="20"/>
        </w:rPr>
        <w:t>Bancos/Dependencias</w:t>
      </w:r>
      <w:r w:rsidRPr="000C42E6">
        <w:rPr>
          <w:rFonts w:ascii="Arial" w:hAnsi="Arial" w:cs="Arial"/>
          <w:sz w:val="20"/>
          <w:szCs w:val="20"/>
        </w:rPr>
        <w:t>: Existe un total de 270 cuentas bancarias correspondiente a los movimientos bancarios de cada una de las 14 dependencias y 7 órganos desconcentrados, los cuales fueron cotejados contra los registros contables de la balanza de comprobación al 31 de diciembre de 2025. Los saldos manifestados involucran algunos montos reportados en las respectivas conciliaciones como pendientes de corresponder y cuyas reclasificaciones están en proceso.</w:t>
      </w:r>
    </w:p>
    <w:p w14:paraId="0B05F677" w14:textId="77777777" w:rsidR="00CB7883" w:rsidRPr="000C42E6" w:rsidRDefault="00CB7883" w:rsidP="00CB7883">
      <w:pPr>
        <w:spacing w:after="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Derechos a recibir Efectivo y Equivalentes y Bienes o Servicios a Recibir</w:t>
      </w:r>
    </w:p>
    <w:p w14:paraId="7ECCDBEA" w14:textId="77777777" w:rsidR="009776F0" w:rsidRPr="000C42E6" w:rsidRDefault="009776F0" w:rsidP="00CB7883">
      <w:pPr>
        <w:spacing w:after="0" w:line="240" w:lineRule="auto"/>
        <w:jc w:val="both"/>
        <w:rPr>
          <w:rFonts w:ascii="Arial" w:eastAsia="Calibri" w:hAnsi="Arial" w:cs="Arial"/>
          <w:b/>
          <w:sz w:val="20"/>
          <w:szCs w:val="20"/>
          <w:u w:val="single"/>
        </w:rPr>
      </w:pPr>
    </w:p>
    <w:p w14:paraId="4D78C1E2" w14:textId="152591CD" w:rsidR="004161A2" w:rsidRPr="000C42E6" w:rsidRDefault="00270CC5" w:rsidP="00270CC5">
      <w:pPr>
        <w:spacing w:after="0" w:line="240" w:lineRule="auto"/>
        <w:rPr>
          <w:rFonts w:ascii="Arial" w:eastAsia="Calibri" w:hAnsi="Arial" w:cs="Arial"/>
          <w:b/>
          <w:sz w:val="20"/>
          <w:szCs w:val="20"/>
        </w:rPr>
      </w:pPr>
      <w:r w:rsidRPr="000C42E6">
        <w:rPr>
          <w:rFonts w:ascii="Arial" w:eastAsia="Calibri" w:hAnsi="Arial" w:cs="Arial"/>
          <w:b/>
          <w:sz w:val="20"/>
          <w:szCs w:val="20"/>
        </w:rPr>
        <w:t xml:space="preserve"> </w:t>
      </w:r>
      <w:r w:rsidR="005C4B7B" w:rsidRPr="000C42E6">
        <w:rPr>
          <w:rFonts w:ascii="Arial" w:eastAsia="Calibri" w:hAnsi="Arial" w:cs="Arial"/>
          <w:b/>
          <w:sz w:val="20"/>
          <w:szCs w:val="20"/>
        </w:rPr>
        <w:t>E</w:t>
      </w:r>
      <w:r w:rsidR="007D37FE" w:rsidRPr="000C42E6">
        <w:rPr>
          <w:rFonts w:ascii="Arial" w:eastAsia="Calibri" w:hAnsi="Arial" w:cs="Arial"/>
          <w:b/>
          <w:sz w:val="20"/>
          <w:szCs w:val="20"/>
        </w:rPr>
        <w:t>l saldo de este</w:t>
      </w:r>
      <w:r w:rsidR="005C4B7B" w:rsidRPr="000C42E6">
        <w:rPr>
          <w:rFonts w:ascii="Arial" w:eastAsia="Calibri" w:hAnsi="Arial" w:cs="Arial"/>
          <w:b/>
          <w:sz w:val="20"/>
          <w:szCs w:val="20"/>
        </w:rPr>
        <w:t xml:space="preserve"> rubro </w:t>
      </w:r>
      <w:r w:rsidR="006B717D" w:rsidRPr="000C42E6">
        <w:rPr>
          <w:rFonts w:ascii="Arial" w:eastAsia="Calibri" w:hAnsi="Arial" w:cs="Arial"/>
          <w:b/>
          <w:sz w:val="20"/>
          <w:szCs w:val="20"/>
        </w:rPr>
        <w:t xml:space="preserve">es </w:t>
      </w:r>
      <w:r w:rsidR="006536FD" w:rsidRPr="000C42E6">
        <w:rPr>
          <w:rFonts w:ascii="Arial" w:eastAsia="Calibri" w:hAnsi="Arial" w:cs="Arial"/>
          <w:b/>
          <w:sz w:val="20"/>
          <w:szCs w:val="20"/>
        </w:rPr>
        <w:t>de $</w:t>
      </w:r>
      <w:r w:rsidR="0016783D" w:rsidRPr="0080602D">
        <w:rPr>
          <w:rFonts w:ascii="Arial" w:eastAsia="Times New Roman" w:hAnsi="Arial" w:cs="Arial"/>
          <w:b/>
          <w:bCs/>
          <w:color w:val="000000"/>
          <w:sz w:val="20"/>
          <w:szCs w:val="20"/>
          <w:lang w:eastAsia="es-MX"/>
        </w:rPr>
        <w:t>1</w:t>
      </w:r>
      <w:proofErr w:type="gramStart"/>
      <w:r w:rsidR="0016783D" w:rsidRPr="0080602D">
        <w:rPr>
          <w:rFonts w:ascii="Arial" w:eastAsia="Times New Roman" w:hAnsi="Arial" w:cs="Arial"/>
          <w:b/>
          <w:bCs/>
          <w:color w:val="000000"/>
          <w:sz w:val="20"/>
          <w:szCs w:val="20"/>
          <w:lang w:eastAsia="es-MX"/>
        </w:rPr>
        <w:t>,496,166,447</w:t>
      </w:r>
      <w:proofErr w:type="gramEnd"/>
      <w:r w:rsidR="0016783D">
        <w:rPr>
          <w:rFonts w:ascii="Arial" w:eastAsia="Times New Roman" w:hAnsi="Arial" w:cs="Arial"/>
          <w:b/>
          <w:bCs/>
          <w:color w:val="000000"/>
          <w:sz w:val="20"/>
          <w:szCs w:val="20"/>
          <w:lang w:eastAsia="es-MX"/>
        </w:rPr>
        <w:t xml:space="preserve"> </w:t>
      </w:r>
      <w:r w:rsidR="007D37FE" w:rsidRPr="000C42E6">
        <w:rPr>
          <w:rFonts w:ascii="Arial" w:eastAsia="Calibri" w:hAnsi="Arial" w:cs="Arial"/>
          <w:b/>
          <w:sz w:val="20"/>
          <w:szCs w:val="20"/>
        </w:rPr>
        <w:t xml:space="preserve">y </w:t>
      </w:r>
      <w:r w:rsidR="005C4B7B" w:rsidRPr="000C42E6">
        <w:rPr>
          <w:rFonts w:ascii="Arial" w:eastAsia="Calibri" w:hAnsi="Arial" w:cs="Arial"/>
          <w:b/>
          <w:sz w:val="20"/>
          <w:szCs w:val="20"/>
        </w:rPr>
        <w:t>se integra como sigue:</w:t>
      </w:r>
    </w:p>
    <w:p w14:paraId="2CB2C7AE" w14:textId="77777777" w:rsidR="004161A2" w:rsidRPr="000C42E6" w:rsidRDefault="004161A2" w:rsidP="005F51BC">
      <w:pPr>
        <w:spacing w:after="0" w:line="240" w:lineRule="auto"/>
        <w:jc w:val="center"/>
        <w:rPr>
          <w:rFonts w:ascii="Arial" w:eastAsia="Calibri" w:hAnsi="Arial" w:cs="Arial"/>
          <w:b/>
          <w:sz w:val="20"/>
          <w:szCs w:val="20"/>
        </w:rPr>
      </w:pPr>
    </w:p>
    <w:tbl>
      <w:tblPr>
        <w:tblW w:w="9579" w:type="dxa"/>
        <w:jc w:val="center"/>
        <w:tblCellMar>
          <w:left w:w="70" w:type="dxa"/>
          <w:right w:w="70" w:type="dxa"/>
        </w:tblCellMar>
        <w:tblLook w:val="04A0" w:firstRow="1" w:lastRow="0" w:firstColumn="1" w:lastColumn="0" w:noHBand="0" w:noVBand="1"/>
      </w:tblPr>
      <w:tblGrid>
        <w:gridCol w:w="6395"/>
        <w:gridCol w:w="2543"/>
        <w:gridCol w:w="641"/>
      </w:tblGrid>
      <w:tr w:rsidR="005F51BC" w:rsidRPr="000C42E6" w14:paraId="5933D2F5" w14:textId="77777777" w:rsidTr="0080602D">
        <w:trPr>
          <w:trHeight w:val="480"/>
          <w:jc w:val="center"/>
        </w:trPr>
        <w:tc>
          <w:tcPr>
            <w:tcW w:w="6395" w:type="dxa"/>
            <w:tcBorders>
              <w:top w:val="single" w:sz="8" w:space="0" w:color="000000"/>
              <w:left w:val="single" w:sz="8" w:space="0" w:color="000000"/>
              <w:bottom w:val="single" w:sz="4" w:space="0" w:color="auto"/>
              <w:right w:val="single" w:sz="8" w:space="0" w:color="000000"/>
            </w:tcBorders>
            <w:shd w:val="clear" w:color="000000" w:fill="A6A6A6"/>
            <w:vAlign w:val="center"/>
            <w:hideMark/>
          </w:tcPr>
          <w:p w14:paraId="013253AB" w14:textId="77777777" w:rsidR="005F51BC" w:rsidRPr="000C42E6" w:rsidRDefault="005F51BC"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Cuentas de mayor que integran Derechos a recibir Efectivo y Equivalentes</w:t>
            </w:r>
          </w:p>
        </w:tc>
        <w:tc>
          <w:tcPr>
            <w:tcW w:w="2543" w:type="dxa"/>
            <w:tcBorders>
              <w:top w:val="single" w:sz="8" w:space="0" w:color="000000"/>
              <w:left w:val="nil"/>
              <w:bottom w:val="single" w:sz="4" w:space="0" w:color="auto"/>
              <w:right w:val="single" w:sz="8" w:space="0" w:color="000000"/>
            </w:tcBorders>
            <w:shd w:val="clear" w:color="000000" w:fill="A6A6A6"/>
            <w:vAlign w:val="center"/>
            <w:hideMark/>
          </w:tcPr>
          <w:p w14:paraId="02C08491" w14:textId="557940D8" w:rsidR="005F51BC" w:rsidRPr="000C42E6" w:rsidRDefault="005F51BC" w:rsidP="005F51BC">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Saldos al 31de diciembre 2025</w:t>
            </w:r>
          </w:p>
        </w:tc>
        <w:tc>
          <w:tcPr>
            <w:tcW w:w="641" w:type="dxa"/>
            <w:tcBorders>
              <w:top w:val="single" w:sz="8" w:space="0" w:color="000000"/>
              <w:left w:val="nil"/>
              <w:bottom w:val="single" w:sz="4" w:space="0" w:color="auto"/>
              <w:right w:val="single" w:sz="8" w:space="0" w:color="000000"/>
            </w:tcBorders>
            <w:shd w:val="clear" w:color="000000" w:fill="A6A6A6"/>
            <w:vAlign w:val="center"/>
            <w:hideMark/>
          </w:tcPr>
          <w:p w14:paraId="2EAA600E" w14:textId="77777777" w:rsidR="005F51BC" w:rsidRPr="000C42E6" w:rsidRDefault="005F51BC"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80602D" w:rsidRPr="000C42E6" w14:paraId="11602B94" w14:textId="77777777" w:rsidTr="0080602D">
        <w:trPr>
          <w:trHeight w:val="210"/>
          <w:jc w:val="center"/>
        </w:trPr>
        <w:tc>
          <w:tcPr>
            <w:tcW w:w="6395" w:type="dxa"/>
            <w:tcBorders>
              <w:top w:val="single" w:sz="4" w:space="0" w:color="auto"/>
              <w:left w:val="single" w:sz="8" w:space="0" w:color="auto"/>
              <w:bottom w:val="single" w:sz="8" w:space="0" w:color="auto"/>
              <w:right w:val="single" w:sz="8" w:space="0" w:color="auto"/>
            </w:tcBorders>
            <w:shd w:val="clear" w:color="auto" w:fill="auto"/>
            <w:vAlign w:val="center"/>
          </w:tcPr>
          <w:p w14:paraId="12FD9697" w14:textId="6CBBFDCC" w:rsidR="0080602D" w:rsidRPr="000C42E6" w:rsidRDefault="0080602D" w:rsidP="00AA546B">
            <w:pPr>
              <w:spacing w:after="0" w:line="240" w:lineRule="auto"/>
              <w:jc w:val="both"/>
              <w:rPr>
                <w:rFonts w:ascii="Arial" w:eastAsia="Times New Roman" w:hAnsi="Arial" w:cs="Arial"/>
                <w:color w:val="000000"/>
                <w:sz w:val="20"/>
                <w:szCs w:val="20"/>
                <w:lang w:eastAsia="es-MX"/>
              </w:rPr>
            </w:pPr>
            <w:r w:rsidRPr="0080602D">
              <w:rPr>
                <w:rFonts w:ascii="Arial" w:eastAsia="Times New Roman" w:hAnsi="Arial" w:cs="Arial"/>
                <w:color w:val="000000"/>
                <w:sz w:val="20"/>
                <w:szCs w:val="20"/>
                <w:lang w:eastAsia="es-MX"/>
              </w:rPr>
              <w:t>1. Cuentas por Cobrar a Corto Plazo</w:t>
            </w:r>
          </w:p>
        </w:tc>
        <w:tc>
          <w:tcPr>
            <w:tcW w:w="2543" w:type="dxa"/>
            <w:tcBorders>
              <w:top w:val="single" w:sz="4" w:space="0" w:color="auto"/>
              <w:left w:val="nil"/>
              <w:bottom w:val="single" w:sz="8" w:space="0" w:color="auto"/>
              <w:right w:val="single" w:sz="8" w:space="0" w:color="auto"/>
            </w:tcBorders>
            <w:shd w:val="clear" w:color="000000" w:fill="FFFFFF"/>
            <w:vAlign w:val="center"/>
          </w:tcPr>
          <w:p w14:paraId="2586E37E" w14:textId="4FD8BFDC" w:rsidR="0080602D" w:rsidRPr="000C42E6" w:rsidRDefault="0080602D" w:rsidP="004C0398">
            <w:pPr>
              <w:spacing w:after="0" w:line="240" w:lineRule="auto"/>
              <w:jc w:val="right"/>
              <w:rPr>
                <w:rFonts w:ascii="Arial" w:eastAsia="Times New Roman" w:hAnsi="Arial" w:cs="Arial"/>
                <w:color w:val="000000"/>
                <w:sz w:val="20"/>
                <w:szCs w:val="20"/>
                <w:lang w:eastAsia="es-MX"/>
              </w:rPr>
            </w:pPr>
            <w:r w:rsidRPr="0080602D">
              <w:rPr>
                <w:rFonts w:ascii="Arial" w:eastAsia="Times New Roman" w:hAnsi="Arial" w:cs="Arial"/>
                <w:color w:val="000000"/>
                <w:sz w:val="20"/>
                <w:szCs w:val="20"/>
                <w:lang w:eastAsia="es-MX"/>
              </w:rPr>
              <w:t>976,594,222</w:t>
            </w:r>
          </w:p>
        </w:tc>
        <w:tc>
          <w:tcPr>
            <w:tcW w:w="641" w:type="dxa"/>
            <w:tcBorders>
              <w:top w:val="single" w:sz="4" w:space="0" w:color="auto"/>
              <w:left w:val="nil"/>
              <w:bottom w:val="single" w:sz="8" w:space="0" w:color="auto"/>
              <w:right w:val="single" w:sz="8" w:space="0" w:color="auto"/>
            </w:tcBorders>
            <w:shd w:val="clear" w:color="auto" w:fill="auto"/>
            <w:vAlign w:val="center"/>
          </w:tcPr>
          <w:p w14:paraId="42D21AEF" w14:textId="44E80B53" w:rsidR="0080602D" w:rsidRPr="000C42E6" w:rsidRDefault="003F0312" w:rsidP="004C039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65.28</w:t>
            </w:r>
          </w:p>
        </w:tc>
      </w:tr>
      <w:tr w:rsidR="005F51BC" w:rsidRPr="000C42E6" w14:paraId="3149E5AD" w14:textId="77777777" w:rsidTr="00D8734A">
        <w:trPr>
          <w:trHeight w:val="210"/>
          <w:jc w:val="center"/>
        </w:trPr>
        <w:tc>
          <w:tcPr>
            <w:tcW w:w="6395" w:type="dxa"/>
            <w:tcBorders>
              <w:top w:val="nil"/>
              <w:left w:val="single" w:sz="8" w:space="0" w:color="auto"/>
              <w:bottom w:val="single" w:sz="8" w:space="0" w:color="auto"/>
              <w:right w:val="single" w:sz="8" w:space="0" w:color="auto"/>
            </w:tcBorders>
            <w:shd w:val="clear" w:color="auto" w:fill="auto"/>
            <w:vAlign w:val="center"/>
            <w:hideMark/>
          </w:tcPr>
          <w:p w14:paraId="3430F8B4" w14:textId="5DB3A11E" w:rsidR="005F51BC" w:rsidRPr="000C42E6" w:rsidRDefault="0080602D" w:rsidP="00AA546B">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2. </w:t>
            </w:r>
            <w:r w:rsidR="005F51BC" w:rsidRPr="000C42E6">
              <w:rPr>
                <w:rFonts w:ascii="Arial" w:eastAsia="Times New Roman" w:hAnsi="Arial" w:cs="Arial"/>
                <w:color w:val="000000"/>
                <w:sz w:val="20"/>
                <w:szCs w:val="20"/>
                <w:lang w:eastAsia="es-MX"/>
              </w:rPr>
              <w:t>Deudores Diversos por Cobrar a Corto Plazo</w:t>
            </w:r>
          </w:p>
        </w:tc>
        <w:tc>
          <w:tcPr>
            <w:tcW w:w="2543" w:type="dxa"/>
            <w:tcBorders>
              <w:top w:val="nil"/>
              <w:left w:val="nil"/>
              <w:bottom w:val="single" w:sz="8" w:space="0" w:color="auto"/>
              <w:right w:val="single" w:sz="8" w:space="0" w:color="auto"/>
            </w:tcBorders>
            <w:shd w:val="clear" w:color="000000" w:fill="FFFFFF"/>
            <w:vAlign w:val="center"/>
            <w:hideMark/>
          </w:tcPr>
          <w:p w14:paraId="55C1DE91" w14:textId="77777777" w:rsidR="005F51BC" w:rsidRPr="000C42E6" w:rsidRDefault="005F51BC"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110,557,393</w:t>
            </w:r>
          </w:p>
        </w:tc>
        <w:tc>
          <w:tcPr>
            <w:tcW w:w="641" w:type="dxa"/>
            <w:tcBorders>
              <w:top w:val="nil"/>
              <w:left w:val="nil"/>
              <w:bottom w:val="single" w:sz="8" w:space="0" w:color="auto"/>
              <w:right w:val="single" w:sz="8" w:space="0" w:color="auto"/>
            </w:tcBorders>
            <w:shd w:val="clear" w:color="auto" w:fill="auto"/>
            <w:vAlign w:val="center"/>
            <w:hideMark/>
          </w:tcPr>
          <w:p w14:paraId="09843DF7" w14:textId="14E6D6BB" w:rsidR="005F51BC" w:rsidRPr="000C42E6" w:rsidRDefault="005F51BC"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21.28</w:t>
            </w:r>
          </w:p>
        </w:tc>
      </w:tr>
      <w:tr w:rsidR="005F51BC" w:rsidRPr="000C42E6" w14:paraId="13DCD6A6" w14:textId="77777777" w:rsidTr="00D8734A">
        <w:trPr>
          <w:trHeight w:val="307"/>
          <w:jc w:val="center"/>
        </w:trPr>
        <w:tc>
          <w:tcPr>
            <w:tcW w:w="6395" w:type="dxa"/>
            <w:tcBorders>
              <w:top w:val="nil"/>
              <w:left w:val="single" w:sz="8" w:space="0" w:color="auto"/>
              <w:bottom w:val="single" w:sz="8" w:space="0" w:color="auto"/>
              <w:right w:val="single" w:sz="8" w:space="0" w:color="auto"/>
            </w:tcBorders>
            <w:shd w:val="clear" w:color="auto" w:fill="auto"/>
            <w:vAlign w:val="center"/>
            <w:hideMark/>
          </w:tcPr>
          <w:p w14:paraId="7AFCF97B" w14:textId="4F38D72A" w:rsidR="005F51BC" w:rsidRPr="000C42E6" w:rsidRDefault="0080602D" w:rsidP="004C0398">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r w:rsidR="005F51BC" w:rsidRPr="000C42E6">
              <w:rPr>
                <w:rFonts w:ascii="Arial" w:eastAsia="Times New Roman" w:hAnsi="Arial" w:cs="Arial"/>
                <w:color w:val="000000"/>
                <w:sz w:val="20"/>
                <w:szCs w:val="20"/>
                <w:lang w:eastAsia="es-MX"/>
              </w:rPr>
              <w:t xml:space="preserve"> Ingresos por Recuperar a Corto Plazo</w:t>
            </w:r>
          </w:p>
        </w:tc>
        <w:tc>
          <w:tcPr>
            <w:tcW w:w="2543" w:type="dxa"/>
            <w:tcBorders>
              <w:top w:val="nil"/>
              <w:left w:val="nil"/>
              <w:bottom w:val="single" w:sz="8" w:space="0" w:color="auto"/>
              <w:right w:val="single" w:sz="8" w:space="0" w:color="auto"/>
            </w:tcBorders>
            <w:shd w:val="clear" w:color="000000" w:fill="FFFFFF"/>
            <w:vAlign w:val="center"/>
            <w:hideMark/>
          </w:tcPr>
          <w:p w14:paraId="55FBE981" w14:textId="77777777" w:rsidR="005F51BC" w:rsidRPr="000C42E6" w:rsidRDefault="005F51BC"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1,100,000</w:t>
            </w:r>
          </w:p>
        </w:tc>
        <w:tc>
          <w:tcPr>
            <w:tcW w:w="641" w:type="dxa"/>
            <w:tcBorders>
              <w:top w:val="nil"/>
              <w:left w:val="nil"/>
              <w:bottom w:val="single" w:sz="8" w:space="0" w:color="auto"/>
              <w:right w:val="single" w:sz="8" w:space="0" w:color="auto"/>
            </w:tcBorders>
            <w:shd w:val="clear" w:color="auto" w:fill="auto"/>
            <w:vAlign w:val="center"/>
            <w:hideMark/>
          </w:tcPr>
          <w:p w14:paraId="3C39E396" w14:textId="05E42E70" w:rsidR="005F51BC" w:rsidRPr="000C42E6" w:rsidRDefault="005F51BC"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0.21</w:t>
            </w:r>
          </w:p>
        </w:tc>
      </w:tr>
      <w:tr w:rsidR="005F51BC" w:rsidRPr="000C42E6" w14:paraId="23648AD0" w14:textId="77777777" w:rsidTr="00D8734A">
        <w:trPr>
          <w:trHeight w:val="242"/>
          <w:jc w:val="center"/>
        </w:trPr>
        <w:tc>
          <w:tcPr>
            <w:tcW w:w="6395" w:type="dxa"/>
            <w:tcBorders>
              <w:top w:val="nil"/>
              <w:left w:val="single" w:sz="8" w:space="0" w:color="auto"/>
              <w:bottom w:val="single" w:sz="8" w:space="0" w:color="auto"/>
              <w:right w:val="single" w:sz="8" w:space="0" w:color="auto"/>
            </w:tcBorders>
            <w:shd w:val="clear" w:color="auto" w:fill="auto"/>
            <w:vAlign w:val="center"/>
            <w:hideMark/>
          </w:tcPr>
          <w:p w14:paraId="1A235A06" w14:textId="4D270094" w:rsidR="005F51BC" w:rsidRPr="000C42E6" w:rsidRDefault="0080602D" w:rsidP="004C0398">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 </w:t>
            </w:r>
            <w:r w:rsidR="005F51BC" w:rsidRPr="000C42E6">
              <w:rPr>
                <w:rFonts w:ascii="Arial" w:eastAsia="Times New Roman" w:hAnsi="Arial" w:cs="Arial"/>
                <w:color w:val="000000"/>
                <w:sz w:val="20"/>
                <w:szCs w:val="20"/>
                <w:lang w:eastAsia="es-MX"/>
              </w:rPr>
              <w:t>Otros Derechos a Recibir Efectivo o Equivalentes a Corto Plazo</w:t>
            </w:r>
          </w:p>
        </w:tc>
        <w:tc>
          <w:tcPr>
            <w:tcW w:w="2543" w:type="dxa"/>
            <w:tcBorders>
              <w:top w:val="nil"/>
              <w:left w:val="nil"/>
              <w:bottom w:val="single" w:sz="8" w:space="0" w:color="auto"/>
              <w:right w:val="single" w:sz="8" w:space="0" w:color="auto"/>
            </w:tcBorders>
            <w:shd w:val="clear" w:color="000000" w:fill="FFFFFF"/>
            <w:vAlign w:val="center"/>
            <w:hideMark/>
          </w:tcPr>
          <w:p w14:paraId="5941691A" w14:textId="77777777" w:rsidR="005F51BC" w:rsidRPr="000C42E6" w:rsidRDefault="005F51BC"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407,914,832</w:t>
            </w:r>
          </w:p>
        </w:tc>
        <w:tc>
          <w:tcPr>
            <w:tcW w:w="641" w:type="dxa"/>
            <w:tcBorders>
              <w:top w:val="nil"/>
              <w:left w:val="nil"/>
              <w:bottom w:val="single" w:sz="8" w:space="0" w:color="auto"/>
              <w:right w:val="single" w:sz="8" w:space="0" w:color="auto"/>
            </w:tcBorders>
            <w:shd w:val="clear" w:color="auto" w:fill="auto"/>
            <w:vAlign w:val="center"/>
            <w:hideMark/>
          </w:tcPr>
          <w:p w14:paraId="3D69EAE1" w14:textId="02143D25" w:rsidR="005F51BC" w:rsidRPr="000C42E6" w:rsidRDefault="00601717"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78.51</w:t>
            </w:r>
          </w:p>
        </w:tc>
      </w:tr>
      <w:tr w:rsidR="005F51BC" w:rsidRPr="000C42E6" w14:paraId="11CEE86E" w14:textId="77777777" w:rsidTr="00D8734A">
        <w:trPr>
          <w:trHeight w:val="315"/>
          <w:jc w:val="center"/>
        </w:trPr>
        <w:tc>
          <w:tcPr>
            <w:tcW w:w="6395" w:type="dxa"/>
            <w:tcBorders>
              <w:top w:val="nil"/>
              <w:left w:val="single" w:sz="8" w:space="0" w:color="000000"/>
              <w:bottom w:val="single" w:sz="8" w:space="0" w:color="000000"/>
              <w:right w:val="single" w:sz="8" w:space="0" w:color="000000"/>
            </w:tcBorders>
            <w:shd w:val="clear" w:color="auto" w:fill="auto"/>
            <w:vAlign w:val="center"/>
            <w:hideMark/>
          </w:tcPr>
          <w:p w14:paraId="632E1591" w14:textId="77777777" w:rsidR="005F51BC" w:rsidRPr="000C42E6" w:rsidRDefault="005F51BC"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Total </w:t>
            </w:r>
          </w:p>
        </w:tc>
        <w:tc>
          <w:tcPr>
            <w:tcW w:w="2543" w:type="dxa"/>
            <w:tcBorders>
              <w:top w:val="nil"/>
              <w:left w:val="nil"/>
              <w:bottom w:val="single" w:sz="8" w:space="0" w:color="000000"/>
              <w:right w:val="single" w:sz="8" w:space="0" w:color="000000"/>
            </w:tcBorders>
            <w:shd w:val="clear" w:color="auto" w:fill="auto"/>
            <w:vAlign w:val="center"/>
            <w:hideMark/>
          </w:tcPr>
          <w:p w14:paraId="79FE4ADE" w14:textId="3469760C" w:rsidR="005F51BC" w:rsidRPr="000C42E6" w:rsidRDefault="0080602D" w:rsidP="004C0398">
            <w:pPr>
              <w:spacing w:after="0" w:line="240" w:lineRule="auto"/>
              <w:jc w:val="right"/>
              <w:rPr>
                <w:rFonts w:ascii="Arial" w:eastAsia="Times New Roman" w:hAnsi="Arial" w:cs="Arial"/>
                <w:b/>
                <w:bCs/>
                <w:color w:val="000000"/>
                <w:sz w:val="20"/>
                <w:szCs w:val="20"/>
                <w:lang w:eastAsia="es-MX"/>
              </w:rPr>
            </w:pPr>
            <w:r w:rsidRPr="0080602D">
              <w:rPr>
                <w:rFonts w:ascii="Arial" w:eastAsia="Times New Roman" w:hAnsi="Arial" w:cs="Arial"/>
                <w:b/>
                <w:bCs/>
                <w:color w:val="000000"/>
                <w:sz w:val="20"/>
                <w:szCs w:val="20"/>
                <w:lang w:eastAsia="es-MX"/>
              </w:rPr>
              <w:t>1,496,166,447</w:t>
            </w:r>
          </w:p>
        </w:tc>
        <w:tc>
          <w:tcPr>
            <w:tcW w:w="641" w:type="dxa"/>
            <w:tcBorders>
              <w:top w:val="nil"/>
              <w:left w:val="nil"/>
              <w:bottom w:val="single" w:sz="8" w:space="0" w:color="000000"/>
              <w:right w:val="single" w:sz="8" w:space="0" w:color="000000"/>
            </w:tcBorders>
            <w:shd w:val="clear" w:color="auto" w:fill="auto"/>
            <w:vAlign w:val="center"/>
            <w:hideMark/>
          </w:tcPr>
          <w:p w14:paraId="2B8B15C5" w14:textId="75722791" w:rsidR="005F51BC" w:rsidRPr="000C42E6" w:rsidRDefault="00601717"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09615A67" w14:textId="77777777" w:rsidR="007D37FE" w:rsidRDefault="007D37FE" w:rsidP="00270CC5">
      <w:pPr>
        <w:spacing w:after="0" w:line="240" w:lineRule="auto"/>
        <w:rPr>
          <w:rFonts w:ascii="Arial" w:eastAsia="Calibri" w:hAnsi="Arial" w:cs="Arial"/>
          <w:sz w:val="20"/>
          <w:szCs w:val="20"/>
        </w:rPr>
      </w:pPr>
    </w:p>
    <w:p w14:paraId="73372362" w14:textId="77777777" w:rsidR="0080602D" w:rsidRDefault="0080602D" w:rsidP="00270CC5">
      <w:pPr>
        <w:spacing w:after="0" w:line="240" w:lineRule="auto"/>
        <w:rPr>
          <w:rFonts w:ascii="Arial" w:eastAsia="Calibri" w:hAnsi="Arial" w:cs="Arial"/>
          <w:sz w:val="20"/>
          <w:szCs w:val="20"/>
        </w:rPr>
      </w:pPr>
    </w:p>
    <w:p w14:paraId="2C1A4BF0" w14:textId="61610BCB" w:rsidR="0080602D" w:rsidRPr="0080602D" w:rsidRDefault="0080602D" w:rsidP="0080602D">
      <w:pPr>
        <w:spacing w:after="0" w:line="240" w:lineRule="auto"/>
        <w:rPr>
          <w:rFonts w:ascii="Arial" w:eastAsia="Calibri" w:hAnsi="Arial" w:cs="Arial"/>
          <w:b/>
          <w:sz w:val="20"/>
          <w:szCs w:val="20"/>
        </w:rPr>
      </w:pPr>
      <w:r w:rsidRPr="0080602D">
        <w:rPr>
          <w:rFonts w:ascii="Arial" w:eastAsia="Calibri" w:hAnsi="Arial" w:cs="Arial"/>
          <w:b/>
          <w:sz w:val="20"/>
          <w:szCs w:val="20"/>
        </w:rPr>
        <w:t>1. Cuentas por cobrar a Corto Plazo por $976</w:t>
      </w:r>
      <w:proofErr w:type="gramStart"/>
      <w:r w:rsidRPr="0080602D">
        <w:rPr>
          <w:rFonts w:ascii="Arial" w:eastAsia="Calibri" w:hAnsi="Arial" w:cs="Arial"/>
          <w:b/>
          <w:sz w:val="20"/>
          <w:szCs w:val="20"/>
        </w:rPr>
        <w:t>,594,222</w:t>
      </w:r>
      <w:proofErr w:type="gramEnd"/>
    </w:p>
    <w:p w14:paraId="580560D7" w14:textId="77777777" w:rsidR="0080602D" w:rsidRPr="0080602D" w:rsidRDefault="0080602D" w:rsidP="0080602D">
      <w:pPr>
        <w:spacing w:after="0" w:line="240" w:lineRule="auto"/>
        <w:rPr>
          <w:rFonts w:ascii="Arial" w:eastAsia="Calibri" w:hAnsi="Arial" w:cs="Arial"/>
          <w:sz w:val="20"/>
          <w:szCs w:val="20"/>
        </w:rPr>
      </w:pPr>
    </w:p>
    <w:p w14:paraId="25554DEE" w14:textId="07DFFD39" w:rsidR="0080602D" w:rsidRDefault="0080602D" w:rsidP="0080602D">
      <w:pPr>
        <w:spacing w:after="0" w:line="240" w:lineRule="auto"/>
        <w:rPr>
          <w:rFonts w:ascii="Arial" w:eastAsia="Calibri" w:hAnsi="Arial" w:cs="Arial"/>
          <w:sz w:val="20"/>
          <w:szCs w:val="20"/>
        </w:rPr>
      </w:pPr>
      <w:r w:rsidRPr="0080602D">
        <w:rPr>
          <w:rFonts w:ascii="Arial" w:eastAsia="Calibri" w:hAnsi="Arial" w:cs="Arial"/>
          <w:sz w:val="20"/>
          <w:szCs w:val="20"/>
        </w:rPr>
        <w:t>Corresponde a la provisión del ISR por recibir de los meses de noviembre y diciembre 2025 de acuerdo a memorándum SAF/SI/DCH/0948/2025.</w:t>
      </w:r>
    </w:p>
    <w:p w14:paraId="041029F9" w14:textId="77777777" w:rsidR="002F7ACB" w:rsidRPr="000C42E6" w:rsidRDefault="002F7ACB" w:rsidP="0080602D">
      <w:pPr>
        <w:pStyle w:val="Prrafodelista"/>
        <w:numPr>
          <w:ilvl w:val="0"/>
          <w:numId w:val="42"/>
        </w:numPr>
        <w:spacing w:before="240" w:after="160" w:line="240" w:lineRule="auto"/>
        <w:jc w:val="both"/>
        <w:rPr>
          <w:rFonts w:ascii="Arial" w:hAnsi="Arial" w:cs="Arial"/>
          <w:sz w:val="20"/>
          <w:szCs w:val="20"/>
        </w:rPr>
      </w:pPr>
      <w:r w:rsidRPr="000C42E6">
        <w:rPr>
          <w:rFonts w:ascii="Arial" w:hAnsi="Arial" w:cs="Arial"/>
          <w:b/>
          <w:sz w:val="20"/>
          <w:szCs w:val="20"/>
        </w:rPr>
        <w:t>Deudores Diversos por Cobrar a Corto Plazo por $110,557,393</w:t>
      </w:r>
    </w:p>
    <w:p w14:paraId="7B26D872" w14:textId="77777777" w:rsidR="002F7ACB" w:rsidRDefault="002F7ACB" w:rsidP="002F7ACB">
      <w:pPr>
        <w:spacing w:line="240" w:lineRule="auto"/>
        <w:jc w:val="both"/>
        <w:rPr>
          <w:rFonts w:ascii="Arial" w:hAnsi="Arial" w:cs="Arial"/>
          <w:sz w:val="20"/>
          <w:szCs w:val="20"/>
        </w:rPr>
      </w:pPr>
      <w:r w:rsidRPr="000C42E6">
        <w:rPr>
          <w:rFonts w:ascii="Arial" w:hAnsi="Arial" w:cs="Arial"/>
          <w:sz w:val="20"/>
          <w:szCs w:val="20"/>
        </w:rPr>
        <w:t>El saldo de esta cuenta se integra por anticipos de ministraciones extraordinarias, que se otorgan con la finalidad de cubrir gastos y que son comprobados mediante canje de vale, a la fecha está pendiente de comprobar o reintegrar como sigue:</w:t>
      </w:r>
    </w:p>
    <w:p w14:paraId="0E3A8D0C" w14:textId="276E617B" w:rsidR="00EA54D4" w:rsidRPr="000C42E6" w:rsidRDefault="00EA54D4" w:rsidP="002F7ACB">
      <w:pPr>
        <w:spacing w:line="240" w:lineRule="auto"/>
        <w:jc w:val="both"/>
        <w:rPr>
          <w:rFonts w:ascii="Arial" w:hAnsi="Arial" w:cs="Arial"/>
          <w:b/>
          <w:sz w:val="20"/>
          <w:szCs w:val="20"/>
        </w:rPr>
      </w:pPr>
      <w:r w:rsidRPr="000C42E6">
        <w:rPr>
          <w:rFonts w:ascii="Arial" w:hAnsi="Arial" w:cs="Arial"/>
          <w:b/>
          <w:sz w:val="20"/>
          <w:szCs w:val="20"/>
        </w:rPr>
        <w:t>Dependencias se integra:</w:t>
      </w:r>
    </w:p>
    <w:p w14:paraId="7227E3BA" w14:textId="7EEB6B32" w:rsidR="002F7ACB" w:rsidRPr="000C42E6" w:rsidRDefault="00DE2423" w:rsidP="002F7ACB">
      <w:pPr>
        <w:pStyle w:val="Prrafodelista"/>
        <w:numPr>
          <w:ilvl w:val="0"/>
          <w:numId w:val="27"/>
        </w:numPr>
        <w:spacing w:before="240" w:after="160" w:line="240" w:lineRule="exact"/>
        <w:ind w:left="720"/>
        <w:jc w:val="both"/>
        <w:rPr>
          <w:rFonts w:ascii="Arial" w:hAnsi="Arial" w:cs="Arial"/>
          <w:sz w:val="20"/>
          <w:szCs w:val="20"/>
        </w:rPr>
      </w:pPr>
      <w:r w:rsidRPr="000C42E6">
        <w:rPr>
          <w:rFonts w:ascii="Arial" w:hAnsi="Arial" w:cs="Arial"/>
          <w:sz w:val="20"/>
          <w:szCs w:val="20"/>
        </w:rPr>
        <w:t>La Secretaría de Salud por</w:t>
      </w:r>
      <w:r w:rsidR="002F7ACB" w:rsidRPr="000C42E6">
        <w:rPr>
          <w:rFonts w:ascii="Arial" w:hAnsi="Arial" w:cs="Arial"/>
          <w:sz w:val="20"/>
          <w:szCs w:val="20"/>
        </w:rPr>
        <w:t xml:space="preserve"> $1</w:t>
      </w:r>
      <w:proofErr w:type="gramStart"/>
      <w:r w:rsidR="002F7ACB" w:rsidRPr="000C42E6">
        <w:rPr>
          <w:rFonts w:ascii="Arial" w:hAnsi="Arial" w:cs="Arial"/>
          <w:sz w:val="20"/>
          <w:szCs w:val="20"/>
        </w:rPr>
        <w:t>,990,271</w:t>
      </w:r>
      <w:proofErr w:type="gramEnd"/>
      <w:r w:rsidRPr="000C42E6">
        <w:rPr>
          <w:rFonts w:ascii="Arial" w:hAnsi="Arial" w:cs="Arial"/>
          <w:sz w:val="20"/>
          <w:szCs w:val="20"/>
        </w:rPr>
        <w:t>, su vencimiento es 365 días.</w:t>
      </w:r>
    </w:p>
    <w:p w14:paraId="2F0C524E" w14:textId="01561679" w:rsidR="00EA54D4" w:rsidRPr="000C42E6" w:rsidRDefault="00EA54D4" w:rsidP="00EA54D4">
      <w:pPr>
        <w:spacing w:before="240" w:line="240" w:lineRule="exact"/>
        <w:jc w:val="both"/>
        <w:rPr>
          <w:rFonts w:ascii="Arial" w:hAnsi="Arial" w:cs="Arial"/>
          <w:b/>
          <w:sz w:val="20"/>
          <w:szCs w:val="20"/>
        </w:rPr>
      </w:pPr>
      <w:r w:rsidRPr="000C42E6">
        <w:rPr>
          <w:rFonts w:ascii="Arial" w:hAnsi="Arial" w:cs="Arial"/>
          <w:b/>
          <w:sz w:val="20"/>
          <w:szCs w:val="20"/>
        </w:rPr>
        <w:t>Descentralizados se integra:</w:t>
      </w:r>
    </w:p>
    <w:p w14:paraId="5F41A4BB" w14:textId="43CFEAB0" w:rsidR="002F7ACB" w:rsidRPr="000C42E6" w:rsidRDefault="00DE2423" w:rsidP="002F7ACB">
      <w:pPr>
        <w:pStyle w:val="Prrafodelista"/>
        <w:numPr>
          <w:ilvl w:val="0"/>
          <w:numId w:val="28"/>
        </w:numPr>
        <w:spacing w:after="160" w:line="240" w:lineRule="exact"/>
        <w:jc w:val="both"/>
        <w:rPr>
          <w:rFonts w:ascii="Arial" w:hAnsi="Arial" w:cs="Arial"/>
          <w:sz w:val="20"/>
          <w:szCs w:val="20"/>
        </w:rPr>
      </w:pPr>
      <w:r w:rsidRPr="000C42E6">
        <w:rPr>
          <w:rFonts w:ascii="Arial" w:hAnsi="Arial" w:cs="Arial"/>
          <w:sz w:val="20"/>
          <w:szCs w:val="20"/>
        </w:rPr>
        <w:t>El Instituto de Seguridad Social del Estado de Tabasco por $35</w:t>
      </w:r>
      <w:proofErr w:type="gramStart"/>
      <w:r w:rsidRPr="000C42E6">
        <w:rPr>
          <w:rFonts w:ascii="Arial" w:hAnsi="Arial" w:cs="Arial"/>
          <w:sz w:val="20"/>
          <w:szCs w:val="20"/>
        </w:rPr>
        <w:t>,127,612</w:t>
      </w:r>
      <w:proofErr w:type="gramEnd"/>
      <w:r w:rsidRPr="000C42E6">
        <w:rPr>
          <w:rFonts w:ascii="Arial" w:hAnsi="Arial" w:cs="Arial"/>
          <w:sz w:val="20"/>
          <w:szCs w:val="20"/>
        </w:rPr>
        <w:t>, su vencimiento es a 90 días y Servicios de Salud del Estado de Tabasco por $4,409,496, su vencimiento es mayor a 365 días.</w:t>
      </w:r>
    </w:p>
    <w:p w14:paraId="602A2392" w14:textId="77777777" w:rsidR="00F857F9" w:rsidRPr="000C42E6" w:rsidRDefault="00F857F9" w:rsidP="00F857F9">
      <w:pPr>
        <w:pStyle w:val="Prrafodelista"/>
        <w:numPr>
          <w:ilvl w:val="0"/>
          <w:numId w:val="29"/>
        </w:numPr>
        <w:spacing w:before="240" w:after="0" w:line="240" w:lineRule="auto"/>
        <w:jc w:val="both"/>
        <w:rPr>
          <w:rFonts w:ascii="Arial" w:hAnsi="Arial" w:cs="Arial"/>
          <w:sz w:val="20"/>
          <w:szCs w:val="20"/>
        </w:rPr>
      </w:pPr>
      <w:r w:rsidRPr="000C42E6">
        <w:rPr>
          <w:rFonts w:ascii="Arial" w:hAnsi="Arial" w:cs="Arial"/>
          <w:sz w:val="20"/>
          <w:szCs w:val="20"/>
        </w:rPr>
        <w:t>Descuentos aplicados por la Secretaría de Hacienda y Crédito Público en las participaciones al Gobierno del Estado de Tabasco por incumplimiento de pago de aportaciones al FOVISSTE (5% fondo de vivienda) de los Servicios de Salud del Estado $2</w:t>
      </w:r>
      <w:proofErr w:type="gramStart"/>
      <w:r w:rsidRPr="000C42E6">
        <w:rPr>
          <w:rFonts w:ascii="Arial" w:hAnsi="Arial" w:cs="Arial"/>
          <w:sz w:val="20"/>
          <w:szCs w:val="20"/>
        </w:rPr>
        <w:t>,353,784</w:t>
      </w:r>
      <w:proofErr w:type="gramEnd"/>
      <w:r w:rsidRPr="000C42E6">
        <w:rPr>
          <w:rFonts w:ascii="Arial" w:hAnsi="Arial" w:cs="Arial"/>
          <w:sz w:val="20"/>
          <w:szCs w:val="20"/>
        </w:rPr>
        <w:t xml:space="preserve"> de los ejercicios 2018 y 2023.</w:t>
      </w:r>
      <w:r w:rsidRPr="000C42E6">
        <w:rPr>
          <w:rFonts w:ascii="Arial" w:hAnsi="Arial" w:cs="Arial"/>
          <w:sz w:val="20"/>
          <w:szCs w:val="20"/>
        </w:rPr>
        <w:tab/>
      </w:r>
    </w:p>
    <w:p w14:paraId="4BA383B6" w14:textId="77777777" w:rsidR="00F857F9" w:rsidRPr="000C42E6" w:rsidRDefault="00F857F9" w:rsidP="00F857F9">
      <w:pPr>
        <w:pStyle w:val="Prrafodelista"/>
        <w:numPr>
          <w:ilvl w:val="0"/>
          <w:numId w:val="29"/>
        </w:numPr>
        <w:spacing w:before="240" w:after="0" w:line="240" w:lineRule="auto"/>
        <w:jc w:val="both"/>
        <w:rPr>
          <w:rFonts w:ascii="Arial" w:hAnsi="Arial" w:cs="Arial"/>
          <w:sz w:val="20"/>
          <w:szCs w:val="20"/>
        </w:rPr>
      </w:pPr>
      <w:r w:rsidRPr="000C42E6">
        <w:rPr>
          <w:rFonts w:ascii="Arial" w:hAnsi="Arial" w:cs="Arial"/>
          <w:sz w:val="20"/>
          <w:szCs w:val="20"/>
        </w:rPr>
        <w:lastRenderedPageBreak/>
        <w:t>Descuento en las participaciones por la falta de pago y entero por concepto de ISR retenciones del Instituto Tabasqueño de la Infraestructura Física Educativa $2</w:t>
      </w:r>
      <w:proofErr w:type="gramStart"/>
      <w:r w:rsidRPr="000C42E6">
        <w:rPr>
          <w:rFonts w:ascii="Arial" w:hAnsi="Arial" w:cs="Arial"/>
          <w:sz w:val="20"/>
          <w:szCs w:val="20"/>
        </w:rPr>
        <w:t>,418,048</w:t>
      </w:r>
      <w:proofErr w:type="gramEnd"/>
      <w:r w:rsidRPr="000C42E6">
        <w:rPr>
          <w:rFonts w:ascii="Arial" w:hAnsi="Arial" w:cs="Arial"/>
          <w:sz w:val="20"/>
          <w:szCs w:val="20"/>
        </w:rPr>
        <w:t xml:space="preserve"> del ejercicio 2021 e Instituto Tecnológico de Villa La Venta por $1,528,324 del ejercicio 2025.</w:t>
      </w:r>
    </w:p>
    <w:p w14:paraId="5B00B7A1" w14:textId="1B82E329" w:rsidR="00F857F9" w:rsidRPr="000C42E6" w:rsidRDefault="00F857F9" w:rsidP="00F857F9">
      <w:pPr>
        <w:pStyle w:val="Prrafodelista"/>
        <w:numPr>
          <w:ilvl w:val="0"/>
          <w:numId w:val="29"/>
        </w:numPr>
        <w:spacing w:before="240" w:after="0" w:line="240" w:lineRule="auto"/>
        <w:jc w:val="both"/>
        <w:rPr>
          <w:rFonts w:ascii="Arial" w:hAnsi="Arial" w:cs="Arial"/>
          <w:sz w:val="20"/>
          <w:szCs w:val="20"/>
        </w:rPr>
      </w:pPr>
      <w:r w:rsidRPr="000C42E6">
        <w:rPr>
          <w:rFonts w:ascii="Arial" w:hAnsi="Arial" w:cs="Arial"/>
          <w:sz w:val="20"/>
          <w:szCs w:val="20"/>
        </w:rPr>
        <w:t xml:space="preserve">Provisión del ajuste anual de ISR Salarios y </w:t>
      </w:r>
      <w:proofErr w:type="spellStart"/>
      <w:r w:rsidRPr="000C42E6">
        <w:rPr>
          <w:rFonts w:ascii="Arial" w:hAnsi="Arial" w:cs="Arial"/>
          <w:sz w:val="20"/>
          <w:szCs w:val="20"/>
        </w:rPr>
        <w:t>recálculo</w:t>
      </w:r>
      <w:proofErr w:type="spellEnd"/>
      <w:r w:rsidRPr="000C42E6">
        <w:rPr>
          <w:rFonts w:ascii="Arial" w:hAnsi="Arial" w:cs="Arial"/>
          <w:sz w:val="20"/>
          <w:szCs w:val="20"/>
        </w:rPr>
        <w:t xml:space="preserve"> del mes de diciembre 2025 $54</w:t>
      </w:r>
      <w:proofErr w:type="gramStart"/>
      <w:r w:rsidRPr="000C42E6">
        <w:rPr>
          <w:rFonts w:ascii="Arial" w:hAnsi="Arial" w:cs="Arial"/>
          <w:sz w:val="20"/>
          <w:szCs w:val="20"/>
        </w:rPr>
        <w:t>,563,396</w:t>
      </w:r>
      <w:proofErr w:type="gramEnd"/>
      <w:r w:rsidR="00FE3BAC" w:rsidRPr="000C42E6">
        <w:rPr>
          <w:rFonts w:ascii="Arial" w:hAnsi="Arial" w:cs="Arial"/>
          <w:sz w:val="20"/>
          <w:szCs w:val="20"/>
        </w:rPr>
        <w:t>, mismo que se comprueba en enero 2026.</w:t>
      </w:r>
    </w:p>
    <w:p w14:paraId="45918583" w14:textId="77777777" w:rsidR="00F857F9" w:rsidRPr="000C42E6" w:rsidRDefault="00F857F9" w:rsidP="00F857F9">
      <w:pPr>
        <w:pStyle w:val="Prrafodelista"/>
        <w:numPr>
          <w:ilvl w:val="0"/>
          <w:numId w:val="29"/>
        </w:numPr>
        <w:spacing w:before="240" w:after="0" w:line="240" w:lineRule="auto"/>
        <w:jc w:val="both"/>
        <w:rPr>
          <w:rFonts w:ascii="Arial" w:hAnsi="Arial" w:cs="Arial"/>
          <w:sz w:val="20"/>
          <w:szCs w:val="20"/>
        </w:rPr>
      </w:pPr>
      <w:r w:rsidRPr="000C42E6">
        <w:rPr>
          <w:rFonts w:ascii="Arial" w:hAnsi="Arial" w:cs="Arial"/>
          <w:sz w:val="20"/>
          <w:szCs w:val="20"/>
        </w:rPr>
        <w:t>Cajas recaudadoras $8,166,462</w:t>
      </w:r>
    </w:p>
    <w:p w14:paraId="7ABBCD40" w14:textId="77777777" w:rsidR="00F857F9" w:rsidRDefault="00F857F9" w:rsidP="00F857F9">
      <w:pPr>
        <w:spacing w:before="240" w:after="0" w:line="240" w:lineRule="auto"/>
        <w:jc w:val="both"/>
        <w:rPr>
          <w:rFonts w:ascii="Arial" w:hAnsi="Arial" w:cs="Arial"/>
          <w:sz w:val="20"/>
          <w:szCs w:val="20"/>
        </w:rPr>
      </w:pPr>
      <w:r w:rsidRPr="000C42E6">
        <w:rPr>
          <w:rFonts w:ascii="Arial" w:hAnsi="Arial" w:cs="Arial"/>
          <w:sz w:val="20"/>
          <w:szCs w:val="20"/>
        </w:rPr>
        <w:t xml:space="preserve"> Del total del saldo el 88.52% corresponde a 90 días, 1.38% a 180 días y 10.10% mayor a 365 días a los cuales se les está dando seguimiento para su recuperación. Las cifras presentadas fueron conciliadas con las Dependencias y Organismos Descentralizados.</w:t>
      </w:r>
    </w:p>
    <w:p w14:paraId="6C260AD9" w14:textId="77777777" w:rsidR="006A2B01" w:rsidRPr="000C42E6" w:rsidRDefault="006A2B01" w:rsidP="006A2B01">
      <w:pPr>
        <w:spacing w:after="0" w:line="240" w:lineRule="auto"/>
        <w:jc w:val="both"/>
        <w:rPr>
          <w:rFonts w:ascii="Arial" w:hAnsi="Arial" w:cs="Arial"/>
          <w:sz w:val="20"/>
          <w:szCs w:val="20"/>
        </w:rPr>
      </w:pPr>
    </w:p>
    <w:p w14:paraId="424DD21D" w14:textId="77777777" w:rsidR="00F857F9" w:rsidRPr="000C42E6" w:rsidRDefault="00F857F9" w:rsidP="0080602D">
      <w:pPr>
        <w:pStyle w:val="Prrafodelista"/>
        <w:numPr>
          <w:ilvl w:val="0"/>
          <w:numId w:val="42"/>
        </w:numPr>
        <w:spacing w:after="160" w:line="240" w:lineRule="auto"/>
        <w:jc w:val="both"/>
        <w:rPr>
          <w:rFonts w:ascii="Arial" w:hAnsi="Arial" w:cs="Arial"/>
          <w:b/>
          <w:sz w:val="20"/>
          <w:szCs w:val="20"/>
        </w:rPr>
      </w:pPr>
      <w:r w:rsidRPr="000C42E6">
        <w:rPr>
          <w:rFonts w:ascii="Arial" w:hAnsi="Arial" w:cs="Arial"/>
          <w:b/>
          <w:sz w:val="20"/>
          <w:szCs w:val="20"/>
        </w:rPr>
        <w:t>Ingresos por Recuperar a Corto Plazo $1,100,000</w:t>
      </w:r>
    </w:p>
    <w:p w14:paraId="3E827BDA" w14:textId="77777777" w:rsidR="00F857F9" w:rsidRPr="000C42E6" w:rsidRDefault="00F857F9" w:rsidP="00F857F9">
      <w:pPr>
        <w:pStyle w:val="Prrafodelista"/>
        <w:spacing w:line="240" w:lineRule="auto"/>
        <w:ind w:left="360"/>
        <w:jc w:val="both"/>
        <w:rPr>
          <w:rFonts w:ascii="Arial" w:hAnsi="Arial" w:cs="Arial"/>
          <w:b/>
          <w:sz w:val="20"/>
          <w:szCs w:val="20"/>
        </w:rPr>
      </w:pPr>
    </w:p>
    <w:p w14:paraId="2ED62174" w14:textId="01DEA025" w:rsidR="00F857F9" w:rsidRPr="000C42E6" w:rsidRDefault="00A75E3D" w:rsidP="00F857F9">
      <w:pPr>
        <w:pStyle w:val="Prrafodelista"/>
        <w:spacing w:line="240" w:lineRule="auto"/>
        <w:ind w:left="360"/>
        <w:jc w:val="both"/>
        <w:rPr>
          <w:rFonts w:ascii="Arial" w:hAnsi="Arial" w:cs="Arial"/>
          <w:sz w:val="20"/>
          <w:szCs w:val="20"/>
        </w:rPr>
      </w:pPr>
      <w:r w:rsidRPr="000C42E6">
        <w:rPr>
          <w:rFonts w:ascii="Arial" w:hAnsi="Arial" w:cs="Arial"/>
          <w:sz w:val="20"/>
          <w:szCs w:val="20"/>
        </w:rPr>
        <w:t>Este importe</w:t>
      </w:r>
      <w:r w:rsidR="00040063">
        <w:rPr>
          <w:rFonts w:ascii="Arial" w:hAnsi="Arial" w:cs="Arial"/>
          <w:sz w:val="20"/>
          <w:szCs w:val="20"/>
        </w:rPr>
        <w:t xml:space="preserve"> se compensa en el Primer Trimestre 2026</w:t>
      </w:r>
    </w:p>
    <w:p w14:paraId="40C16049" w14:textId="77777777" w:rsidR="00546898" w:rsidRPr="000C42E6" w:rsidRDefault="00546898" w:rsidP="00F857F9">
      <w:pPr>
        <w:pStyle w:val="Prrafodelista"/>
        <w:spacing w:line="240" w:lineRule="auto"/>
        <w:ind w:left="360"/>
        <w:jc w:val="both"/>
        <w:rPr>
          <w:rFonts w:ascii="Arial" w:hAnsi="Arial" w:cs="Arial"/>
          <w:sz w:val="20"/>
          <w:szCs w:val="20"/>
        </w:rPr>
      </w:pPr>
    </w:p>
    <w:p w14:paraId="6BEE780E" w14:textId="77777777" w:rsidR="00F857F9" w:rsidRPr="000C42E6" w:rsidRDefault="00F857F9" w:rsidP="0080602D">
      <w:pPr>
        <w:pStyle w:val="Prrafodelista"/>
        <w:numPr>
          <w:ilvl w:val="0"/>
          <w:numId w:val="42"/>
        </w:numPr>
        <w:spacing w:after="160" w:line="259" w:lineRule="auto"/>
        <w:jc w:val="both"/>
        <w:rPr>
          <w:rFonts w:ascii="Arial" w:hAnsi="Arial" w:cs="Arial"/>
          <w:b/>
          <w:sz w:val="20"/>
          <w:szCs w:val="20"/>
        </w:rPr>
      </w:pPr>
      <w:r w:rsidRPr="000C42E6">
        <w:rPr>
          <w:rFonts w:ascii="Arial" w:hAnsi="Arial" w:cs="Arial"/>
          <w:b/>
          <w:sz w:val="20"/>
          <w:szCs w:val="20"/>
        </w:rPr>
        <w:t>Otros Derechos a Recibir Efectivo o Equivalentes a Corto Plazo por $407,914,832</w:t>
      </w:r>
    </w:p>
    <w:p w14:paraId="3680957E" w14:textId="77777777" w:rsidR="00F857F9" w:rsidRPr="000C42E6" w:rsidRDefault="00F857F9" w:rsidP="00F857F9">
      <w:pPr>
        <w:spacing w:line="240" w:lineRule="auto"/>
        <w:jc w:val="both"/>
        <w:rPr>
          <w:rFonts w:ascii="Arial" w:hAnsi="Arial" w:cs="Arial"/>
          <w:sz w:val="20"/>
          <w:szCs w:val="20"/>
        </w:rPr>
      </w:pPr>
      <w:r w:rsidRPr="000C42E6">
        <w:rPr>
          <w:rFonts w:ascii="Arial" w:hAnsi="Arial" w:cs="Arial"/>
          <w:sz w:val="20"/>
          <w:szCs w:val="20"/>
        </w:rPr>
        <w:t>El saldo de esta cuenta se integra como sigue:</w:t>
      </w:r>
    </w:p>
    <w:p w14:paraId="7DF3C588" w14:textId="64E80416" w:rsidR="00F857F9" w:rsidRPr="000C42E6" w:rsidRDefault="00F857F9" w:rsidP="00F857F9">
      <w:pPr>
        <w:pStyle w:val="Prrafodelista"/>
        <w:numPr>
          <w:ilvl w:val="0"/>
          <w:numId w:val="28"/>
        </w:numPr>
        <w:spacing w:after="160" w:line="240" w:lineRule="auto"/>
        <w:jc w:val="both"/>
        <w:rPr>
          <w:rFonts w:ascii="Arial" w:hAnsi="Arial" w:cs="Arial"/>
          <w:sz w:val="20"/>
          <w:szCs w:val="20"/>
        </w:rPr>
      </w:pPr>
      <w:r w:rsidRPr="000C42E6">
        <w:rPr>
          <w:rFonts w:ascii="Arial" w:hAnsi="Arial" w:cs="Arial"/>
          <w:sz w:val="20"/>
          <w:szCs w:val="20"/>
        </w:rPr>
        <w:t>Combustible donado por parte de Petróleos Mexicanos al Gobierno del Estado, pendientes de comprobar por las dependencias de ejercicios anteriores (2023 y 2024) por $15,707,506 y por el importe de los convenios</w:t>
      </w:r>
      <w:r w:rsidR="00612E6E" w:rsidRPr="000C42E6">
        <w:rPr>
          <w:rFonts w:ascii="Arial" w:hAnsi="Arial" w:cs="Arial"/>
          <w:sz w:val="20"/>
          <w:szCs w:val="20"/>
        </w:rPr>
        <w:t xml:space="preserve"> a otorgarse en el </w:t>
      </w:r>
      <w:r w:rsidRPr="000C42E6">
        <w:rPr>
          <w:rFonts w:ascii="Arial" w:hAnsi="Arial" w:cs="Arial"/>
          <w:sz w:val="20"/>
          <w:szCs w:val="20"/>
        </w:rPr>
        <w:t>ejercicio 2026 por $164,305,645.</w:t>
      </w:r>
    </w:p>
    <w:p w14:paraId="0BEDEC8B" w14:textId="77777777" w:rsidR="00F857F9" w:rsidRPr="000C42E6" w:rsidRDefault="00F857F9" w:rsidP="00F857F9">
      <w:pPr>
        <w:pStyle w:val="Prrafodelista"/>
        <w:numPr>
          <w:ilvl w:val="0"/>
          <w:numId w:val="28"/>
        </w:numPr>
        <w:spacing w:after="160" w:line="240" w:lineRule="auto"/>
        <w:jc w:val="both"/>
        <w:rPr>
          <w:rFonts w:ascii="Arial" w:hAnsi="Arial" w:cs="Arial"/>
          <w:sz w:val="20"/>
          <w:szCs w:val="20"/>
        </w:rPr>
      </w:pPr>
      <w:r w:rsidRPr="000C42E6">
        <w:rPr>
          <w:rFonts w:ascii="Arial" w:hAnsi="Arial" w:cs="Arial"/>
          <w:sz w:val="20"/>
          <w:szCs w:val="20"/>
        </w:rPr>
        <w:t>Ingresos Propios OPDS $227,767,517</w:t>
      </w:r>
    </w:p>
    <w:p w14:paraId="419846F8" w14:textId="77777777" w:rsidR="00F857F9" w:rsidRPr="000C42E6" w:rsidRDefault="00F857F9" w:rsidP="00F857F9">
      <w:pPr>
        <w:pStyle w:val="Prrafodelista"/>
        <w:numPr>
          <w:ilvl w:val="0"/>
          <w:numId w:val="28"/>
        </w:numPr>
        <w:spacing w:after="160" w:line="240" w:lineRule="auto"/>
        <w:jc w:val="both"/>
        <w:rPr>
          <w:rFonts w:ascii="Arial" w:hAnsi="Arial" w:cs="Arial"/>
          <w:sz w:val="20"/>
          <w:szCs w:val="20"/>
        </w:rPr>
      </w:pPr>
      <w:r w:rsidRPr="000C42E6">
        <w:rPr>
          <w:rFonts w:ascii="Arial" w:hAnsi="Arial" w:cs="Arial"/>
          <w:sz w:val="20"/>
          <w:szCs w:val="20"/>
        </w:rPr>
        <w:t>Depósitos en Garantía a la Comisión Federal de Electricidad por nuevos contratos en arrendamientos de oficinas de las Secretarías de Gobierno y Educación $134,164.</w:t>
      </w:r>
    </w:p>
    <w:p w14:paraId="09E773F6" w14:textId="77777777" w:rsidR="00F857F9" w:rsidRPr="000C42E6" w:rsidRDefault="00F857F9" w:rsidP="00F857F9">
      <w:pPr>
        <w:spacing w:line="240" w:lineRule="auto"/>
        <w:jc w:val="both"/>
        <w:rPr>
          <w:rFonts w:ascii="Arial" w:hAnsi="Arial" w:cs="Arial"/>
          <w:sz w:val="20"/>
          <w:szCs w:val="20"/>
        </w:rPr>
      </w:pPr>
      <w:r w:rsidRPr="000C42E6">
        <w:rPr>
          <w:rFonts w:ascii="Arial" w:hAnsi="Arial" w:cs="Arial"/>
          <w:sz w:val="20"/>
          <w:szCs w:val="20"/>
        </w:rPr>
        <w:t xml:space="preserve"> Del total del saldo, el 95% corresponde a 90 días y el 5% mayor a 365 días de antigüedad, todos tienen factibilidad de recuperación del 100%.</w:t>
      </w:r>
    </w:p>
    <w:p w14:paraId="446050B6" w14:textId="77777777" w:rsidR="00CB7883" w:rsidRPr="000C42E6" w:rsidRDefault="00CB7883" w:rsidP="00CB7883">
      <w:pPr>
        <w:spacing w:after="20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 xml:space="preserve">Derechos a Recibir Bienes o Servicios </w:t>
      </w:r>
    </w:p>
    <w:p w14:paraId="3E051EB9" w14:textId="77777777" w:rsidR="00A84DB7" w:rsidRDefault="00DB10C3" w:rsidP="0098342B">
      <w:pPr>
        <w:spacing w:after="200" w:line="360" w:lineRule="auto"/>
        <w:jc w:val="both"/>
        <w:rPr>
          <w:rFonts w:ascii="Arial" w:eastAsia="Calibri" w:hAnsi="Arial" w:cs="Arial"/>
          <w:sz w:val="20"/>
          <w:szCs w:val="20"/>
        </w:rPr>
      </w:pPr>
      <w:r w:rsidRPr="000C42E6">
        <w:rPr>
          <w:rFonts w:ascii="Arial" w:eastAsia="Calibri" w:hAnsi="Arial" w:cs="Arial"/>
          <w:sz w:val="20"/>
          <w:szCs w:val="20"/>
        </w:rPr>
        <w:t>El saldo de este</w:t>
      </w:r>
      <w:r w:rsidR="00A84DB7" w:rsidRPr="000C42E6">
        <w:rPr>
          <w:rFonts w:ascii="Arial" w:eastAsia="Calibri" w:hAnsi="Arial" w:cs="Arial"/>
          <w:sz w:val="20"/>
          <w:szCs w:val="20"/>
        </w:rPr>
        <w:t xml:space="preserve"> rubro</w:t>
      </w:r>
      <w:r w:rsidRPr="000C42E6">
        <w:rPr>
          <w:rFonts w:ascii="Arial" w:eastAsia="Calibri" w:hAnsi="Arial" w:cs="Arial"/>
          <w:sz w:val="20"/>
          <w:szCs w:val="20"/>
        </w:rPr>
        <w:t xml:space="preserve"> es por</w:t>
      </w:r>
      <w:r w:rsidR="00E67FAD" w:rsidRPr="000C42E6">
        <w:rPr>
          <w:rFonts w:ascii="Arial" w:eastAsia="Calibri" w:hAnsi="Arial" w:cs="Arial"/>
          <w:sz w:val="20"/>
          <w:szCs w:val="20"/>
        </w:rPr>
        <w:t xml:space="preserve"> $</w:t>
      </w:r>
      <w:r w:rsidR="00C85571" w:rsidRPr="000C42E6">
        <w:rPr>
          <w:rFonts w:ascii="Arial" w:eastAsia="Calibri" w:hAnsi="Arial" w:cs="Arial"/>
          <w:sz w:val="20"/>
          <w:szCs w:val="20"/>
        </w:rPr>
        <w:t>17</w:t>
      </w:r>
      <w:proofErr w:type="gramStart"/>
      <w:r w:rsidR="00C85571" w:rsidRPr="000C42E6">
        <w:rPr>
          <w:rFonts w:ascii="Arial" w:eastAsia="Calibri" w:hAnsi="Arial" w:cs="Arial"/>
          <w:sz w:val="20"/>
          <w:szCs w:val="20"/>
        </w:rPr>
        <w:t>,856,273</w:t>
      </w:r>
      <w:proofErr w:type="gramEnd"/>
      <w:r w:rsidRPr="000C42E6">
        <w:rPr>
          <w:rFonts w:ascii="Arial" w:eastAsia="Calibri" w:hAnsi="Arial" w:cs="Arial"/>
          <w:sz w:val="20"/>
          <w:szCs w:val="20"/>
        </w:rPr>
        <w:t xml:space="preserve"> </w:t>
      </w:r>
      <w:r w:rsidR="006E4402" w:rsidRPr="000C42E6">
        <w:rPr>
          <w:rFonts w:ascii="Arial" w:eastAsia="Calibri" w:hAnsi="Arial" w:cs="Arial"/>
          <w:sz w:val="20"/>
          <w:szCs w:val="20"/>
        </w:rPr>
        <w:t xml:space="preserve"> y</w:t>
      </w:r>
      <w:r w:rsidR="00A84DB7" w:rsidRPr="000C42E6">
        <w:rPr>
          <w:rFonts w:ascii="Arial" w:eastAsia="Calibri" w:hAnsi="Arial" w:cs="Arial"/>
          <w:sz w:val="20"/>
          <w:szCs w:val="20"/>
        </w:rPr>
        <w:t xml:space="preserve"> se integra como sigue:</w:t>
      </w:r>
    </w:p>
    <w:tbl>
      <w:tblPr>
        <w:tblW w:w="9486" w:type="dxa"/>
        <w:jc w:val="center"/>
        <w:tblCellMar>
          <w:left w:w="70" w:type="dxa"/>
          <w:right w:w="70" w:type="dxa"/>
        </w:tblCellMar>
        <w:tblLook w:val="04A0" w:firstRow="1" w:lastRow="0" w:firstColumn="1" w:lastColumn="0" w:noHBand="0" w:noVBand="1"/>
      </w:tblPr>
      <w:tblGrid>
        <w:gridCol w:w="5826"/>
        <w:gridCol w:w="2560"/>
        <w:gridCol w:w="1100"/>
      </w:tblGrid>
      <w:tr w:rsidR="00D07234" w:rsidRPr="000C42E6" w14:paraId="5597CBEC" w14:textId="77777777" w:rsidTr="00D8734A">
        <w:trPr>
          <w:trHeight w:val="495"/>
          <w:jc w:val="center"/>
        </w:trPr>
        <w:tc>
          <w:tcPr>
            <w:tcW w:w="5826" w:type="dxa"/>
            <w:tcBorders>
              <w:top w:val="single" w:sz="4" w:space="0" w:color="auto"/>
              <w:left w:val="single" w:sz="4" w:space="0" w:color="auto"/>
              <w:bottom w:val="single" w:sz="4" w:space="0" w:color="auto"/>
              <w:right w:val="single" w:sz="4" w:space="0" w:color="auto"/>
            </w:tcBorders>
            <w:shd w:val="clear" w:color="000000" w:fill="AEAAAA"/>
            <w:vAlign w:val="bottom"/>
            <w:hideMark/>
          </w:tcPr>
          <w:p w14:paraId="26B94172" w14:textId="77777777" w:rsidR="00D07234" w:rsidRPr="000C42E6" w:rsidRDefault="00D07234"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Cuentas de mayor que integran  Derechos a recibir bienes o servicios</w:t>
            </w:r>
          </w:p>
        </w:tc>
        <w:tc>
          <w:tcPr>
            <w:tcW w:w="2560" w:type="dxa"/>
            <w:tcBorders>
              <w:top w:val="single" w:sz="4" w:space="0" w:color="auto"/>
              <w:left w:val="nil"/>
              <w:bottom w:val="single" w:sz="4" w:space="0" w:color="auto"/>
              <w:right w:val="single" w:sz="4" w:space="0" w:color="auto"/>
            </w:tcBorders>
            <w:shd w:val="clear" w:color="000000" w:fill="AEAAAA"/>
            <w:noWrap/>
            <w:vAlign w:val="bottom"/>
            <w:hideMark/>
          </w:tcPr>
          <w:p w14:paraId="2C106C09" w14:textId="316C0D87" w:rsidR="00D07234" w:rsidRPr="000C42E6" w:rsidRDefault="00D07234"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Saldos</w:t>
            </w:r>
            <w:r w:rsidR="001D72B9" w:rsidRPr="000C42E6">
              <w:rPr>
                <w:rFonts w:ascii="Arial" w:eastAsia="Times New Roman" w:hAnsi="Arial" w:cs="Arial"/>
                <w:b/>
                <w:bCs/>
                <w:color w:val="000000"/>
                <w:sz w:val="20"/>
                <w:szCs w:val="20"/>
                <w:lang w:eastAsia="es-MX"/>
              </w:rPr>
              <w:t xml:space="preserve"> al 31</w:t>
            </w:r>
            <w:r w:rsidR="000F002F" w:rsidRPr="000C42E6">
              <w:rPr>
                <w:rFonts w:ascii="Arial" w:eastAsia="Times New Roman" w:hAnsi="Arial" w:cs="Arial"/>
                <w:b/>
                <w:bCs/>
                <w:color w:val="000000"/>
                <w:sz w:val="20"/>
                <w:szCs w:val="20"/>
                <w:lang w:eastAsia="es-MX"/>
              </w:rPr>
              <w:t xml:space="preserve"> </w:t>
            </w:r>
            <w:r w:rsidR="001D72B9" w:rsidRPr="000C42E6">
              <w:rPr>
                <w:rFonts w:ascii="Arial" w:eastAsia="Times New Roman" w:hAnsi="Arial" w:cs="Arial"/>
                <w:b/>
                <w:bCs/>
                <w:color w:val="000000"/>
                <w:sz w:val="20"/>
                <w:szCs w:val="20"/>
                <w:lang w:eastAsia="es-MX"/>
              </w:rPr>
              <w:t xml:space="preserve">al diciembre </w:t>
            </w:r>
            <w:r w:rsidRPr="000C42E6">
              <w:rPr>
                <w:rFonts w:ascii="Arial" w:eastAsia="Times New Roman" w:hAnsi="Arial" w:cs="Arial"/>
                <w:b/>
                <w:bCs/>
                <w:color w:val="000000"/>
                <w:sz w:val="20"/>
                <w:szCs w:val="20"/>
                <w:lang w:eastAsia="es-MX"/>
              </w:rPr>
              <w:t>2025</w:t>
            </w:r>
          </w:p>
        </w:tc>
        <w:tc>
          <w:tcPr>
            <w:tcW w:w="1100" w:type="dxa"/>
            <w:tcBorders>
              <w:top w:val="single" w:sz="4" w:space="0" w:color="auto"/>
              <w:left w:val="nil"/>
              <w:bottom w:val="single" w:sz="4" w:space="0" w:color="auto"/>
              <w:right w:val="single" w:sz="4" w:space="0" w:color="auto"/>
            </w:tcBorders>
            <w:shd w:val="clear" w:color="000000" w:fill="AEAAAA"/>
            <w:noWrap/>
            <w:vAlign w:val="bottom"/>
            <w:hideMark/>
          </w:tcPr>
          <w:p w14:paraId="0D0D62E6" w14:textId="77777777" w:rsidR="00D07234" w:rsidRPr="000C42E6" w:rsidRDefault="00D07234"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D07234" w:rsidRPr="000C42E6" w14:paraId="584FC82D" w14:textId="77777777" w:rsidTr="00D8734A">
        <w:trPr>
          <w:trHeight w:val="225"/>
          <w:jc w:val="center"/>
        </w:trPr>
        <w:tc>
          <w:tcPr>
            <w:tcW w:w="5826" w:type="dxa"/>
            <w:tcBorders>
              <w:top w:val="nil"/>
              <w:left w:val="single" w:sz="4" w:space="0" w:color="auto"/>
              <w:bottom w:val="single" w:sz="4" w:space="0" w:color="auto"/>
              <w:right w:val="single" w:sz="4" w:space="0" w:color="auto"/>
            </w:tcBorders>
            <w:shd w:val="clear" w:color="auto" w:fill="auto"/>
            <w:vAlign w:val="bottom"/>
            <w:hideMark/>
          </w:tcPr>
          <w:p w14:paraId="3B7709AE" w14:textId="77777777" w:rsidR="00D07234" w:rsidRPr="000C42E6" w:rsidRDefault="00D07234"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Anticipo a Contratistas por Obras Públicas a Corto Plazo</w:t>
            </w:r>
          </w:p>
        </w:tc>
        <w:tc>
          <w:tcPr>
            <w:tcW w:w="2560" w:type="dxa"/>
            <w:tcBorders>
              <w:top w:val="nil"/>
              <w:left w:val="nil"/>
              <w:bottom w:val="single" w:sz="4" w:space="0" w:color="auto"/>
              <w:right w:val="single" w:sz="4" w:space="0" w:color="auto"/>
            </w:tcBorders>
            <w:shd w:val="clear" w:color="auto" w:fill="auto"/>
            <w:noWrap/>
            <w:vAlign w:val="bottom"/>
            <w:hideMark/>
          </w:tcPr>
          <w:p w14:paraId="60BB3618" w14:textId="77777777" w:rsidR="00D07234" w:rsidRPr="000C42E6" w:rsidRDefault="00D07234"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14,325,552</w:t>
            </w:r>
          </w:p>
        </w:tc>
        <w:tc>
          <w:tcPr>
            <w:tcW w:w="1100" w:type="dxa"/>
            <w:tcBorders>
              <w:top w:val="nil"/>
              <w:left w:val="nil"/>
              <w:bottom w:val="single" w:sz="4" w:space="0" w:color="auto"/>
              <w:right w:val="single" w:sz="4" w:space="0" w:color="auto"/>
            </w:tcBorders>
            <w:shd w:val="clear" w:color="auto" w:fill="auto"/>
            <w:noWrap/>
            <w:vAlign w:val="bottom"/>
            <w:hideMark/>
          </w:tcPr>
          <w:p w14:paraId="0917276A" w14:textId="30A42483" w:rsidR="00D07234" w:rsidRPr="000C42E6" w:rsidRDefault="00D07234" w:rsidP="00D07234">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80.23</w:t>
            </w:r>
          </w:p>
        </w:tc>
      </w:tr>
      <w:tr w:rsidR="00D07234" w:rsidRPr="000C42E6" w14:paraId="09E703DC" w14:textId="77777777" w:rsidTr="00D8734A">
        <w:trPr>
          <w:trHeight w:val="271"/>
          <w:jc w:val="center"/>
        </w:trPr>
        <w:tc>
          <w:tcPr>
            <w:tcW w:w="5826" w:type="dxa"/>
            <w:tcBorders>
              <w:top w:val="nil"/>
              <w:left w:val="single" w:sz="4" w:space="0" w:color="auto"/>
              <w:bottom w:val="single" w:sz="4" w:space="0" w:color="auto"/>
              <w:right w:val="single" w:sz="4" w:space="0" w:color="auto"/>
            </w:tcBorders>
            <w:shd w:val="clear" w:color="auto" w:fill="auto"/>
            <w:vAlign w:val="bottom"/>
            <w:hideMark/>
          </w:tcPr>
          <w:p w14:paraId="07BF48CF" w14:textId="77777777" w:rsidR="00D07234" w:rsidRPr="000C42E6" w:rsidRDefault="00D07234"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Otros Derechos a Recibir Bienes o servicios  a Corto Plazo</w:t>
            </w:r>
          </w:p>
        </w:tc>
        <w:tc>
          <w:tcPr>
            <w:tcW w:w="2560" w:type="dxa"/>
            <w:tcBorders>
              <w:top w:val="nil"/>
              <w:left w:val="nil"/>
              <w:bottom w:val="single" w:sz="4" w:space="0" w:color="auto"/>
              <w:right w:val="single" w:sz="4" w:space="0" w:color="auto"/>
            </w:tcBorders>
            <w:shd w:val="clear" w:color="auto" w:fill="auto"/>
            <w:noWrap/>
            <w:vAlign w:val="bottom"/>
            <w:hideMark/>
          </w:tcPr>
          <w:p w14:paraId="5058D43C" w14:textId="77777777" w:rsidR="00D07234" w:rsidRPr="000C42E6" w:rsidRDefault="00D07234"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3,530,721</w:t>
            </w:r>
          </w:p>
        </w:tc>
        <w:tc>
          <w:tcPr>
            <w:tcW w:w="1100" w:type="dxa"/>
            <w:tcBorders>
              <w:top w:val="nil"/>
              <w:left w:val="nil"/>
              <w:bottom w:val="single" w:sz="4" w:space="0" w:color="auto"/>
              <w:right w:val="single" w:sz="4" w:space="0" w:color="auto"/>
            </w:tcBorders>
            <w:shd w:val="clear" w:color="auto" w:fill="auto"/>
            <w:noWrap/>
            <w:vAlign w:val="bottom"/>
            <w:hideMark/>
          </w:tcPr>
          <w:p w14:paraId="7AD2F3FC" w14:textId="01221D59" w:rsidR="00D07234" w:rsidRPr="000C42E6" w:rsidRDefault="00D07234" w:rsidP="00D07234">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19.77</w:t>
            </w:r>
          </w:p>
        </w:tc>
      </w:tr>
      <w:tr w:rsidR="00D07234" w:rsidRPr="000C42E6" w14:paraId="04CBFF73" w14:textId="77777777" w:rsidTr="00D8734A">
        <w:trPr>
          <w:trHeight w:val="132"/>
          <w:jc w:val="center"/>
        </w:trPr>
        <w:tc>
          <w:tcPr>
            <w:tcW w:w="5826" w:type="dxa"/>
            <w:tcBorders>
              <w:top w:val="nil"/>
              <w:left w:val="single" w:sz="4" w:space="0" w:color="auto"/>
              <w:bottom w:val="single" w:sz="4" w:space="0" w:color="auto"/>
              <w:right w:val="single" w:sz="4" w:space="0" w:color="auto"/>
            </w:tcBorders>
            <w:shd w:val="clear" w:color="auto" w:fill="auto"/>
            <w:noWrap/>
            <w:vAlign w:val="bottom"/>
            <w:hideMark/>
          </w:tcPr>
          <w:p w14:paraId="7E8BC564" w14:textId="77777777" w:rsidR="00D07234" w:rsidRPr="000C42E6" w:rsidRDefault="00D07234"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Total </w:t>
            </w:r>
          </w:p>
        </w:tc>
        <w:tc>
          <w:tcPr>
            <w:tcW w:w="2560" w:type="dxa"/>
            <w:tcBorders>
              <w:top w:val="nil"/>
              <w:left w:val="nil"/>
              <w:bottom w:val="single" w:sz="4" w:space="0" w:color="auto"/>
              <w:right w:val="single" w:sz="4" w:space="0" w:color="auto"/>
            </w:tcBorders>
            <w:shd w:val="clear" w:color="auto" w:fill="auto"/>
            <w:noWrap/>
            <w:vAlign w:val="bottom"/>
            <w:hideMark/>
          </w:tcPr>
          <w:p w14:paraId="53208F8D" w14:textId="77777777" w:rsidR="00D07234" w:rsidRPr="000C42E6" w:rsidRDefault="00D07234"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17,856,273</w:t>
            </w:r>
          </w:p>
        </w:tc>
        <w:tc>
          <w:tcPr>
            <w:tcW w:w="1100" w:type="dxa"/>
            <w:tcBorders>
              <w:top w:val="nil"/>
              <w:left w:val="nil"/>
              <w:bottom w:val="single" w:sz="4" w:space="0" w:color="auto"/>
              <w:right w:val="single" w:sz="4" w:space="0" w:color="auto"/>
            </w:tcBorders>
            <w:shd w:val="clear" w:color="auto" w:fill="auto"/>
            <w:noWrap/>
            <w:vAlign w:val="bottom"/>
            <w:hideMark/>
          </w:tcPr>
          <w:p w14:paraId="233008BD" w14:textId="06B279FD" w:rsidR="00D07234" w:rsidRPr="000C42E6" w:rsidRDefault="00D07234" w:rsidP="00D07234">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37C26345" w14:textId="77777777" w:rsidR="005F7F16" w:rsidRPr="000C42E6" w:rsidRDefault="005F7F16" w:rsidP="0098342B">
      <w:pPr>
        <w:spacing w:after="0" w:line="240" w:lineRule="auto"/>
        <w:jc w:val="both"/>
        <w:rPr>
          <w:rFonts w:ascii="Arial" w:eastAsia="Calibri" w:hAnsi="Arial" w:cs="Arial"/>
          <w:b/>
          <w:sz w:val="20"/>
          <w:szCs w:val="20"/>
        </w:rPr>
      </w:pPr>
    </w:p>
    <w:p w14:paraId="37671EEA" w14:textId="77777777" w:rsidR="005F7F16" w:rsidRPr="000C42E6" w:rsidRDefault="005F7F16" w:rsidP="0098342B">
      <w:pPr>
        <w:spacing w:after="0" w:line="240" w:lineRule="auto"/>
        <w:jc w:val="both"/>
        <w:rPr>
          <w:rFonts w:ascii="Arial" w:eastAsia="Calibri" w:hAnsi="Arial" w:cs="Arial"/>
          <w:b/>
          <w:sz w:val="20"/>
          <w:szCs w:val="20"/>
        </w:rPr>
      </w:pPr>
    </w:p>
    <w:p w14:paraId="0B73C841" w14:textId="77777777" w:rsidR="00D73796" w:rsidRPr="000C42E6" w:rsidRDefault="00D73796" w:rsidP="00D73796">
      <w:pPr>
        <w:pStyle w:val="Prrafodelista"/>
        <w:numPr>
          <w:ilvl w:val="0"/>
          <w:numId w:val="20"/>
        </w:numPr>
        <w:spacing w:after="16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Anticipo a Contratistas por Obras Públicas a Corto Plazo $14,325,552</w:t>
      </w:r>
    </w:p>
    <w:p w14:paraId="73D61C02" w14:textId="77777777" w:rsidR="00D73796" w:rsidRPr="000C42E6" w:rsidRDefault="00D73796" w:rsidP="00D73796">
      <w:pPr>
        <w:spacing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El saldo de esta cuenta corresponde a montos del ejercicio 2015, pendientes por amortizar de los anticipos otorgados a 08 contratistas que se encuentran en procesos jurídicos.</w:t>
      </w:r>
    </w:p>
    <w:p w14:paraId="77FD73FB" w14:textId="77777777" w:rsidR="00D73796" w:rsidRPr="000C42E6" w:rsidRDefault="00D73796" w:rsidP="00D73796">
      <w:pPr>
        <w:pStyle w:val="Prrafodelista"/>
        <w:numPr>
          <w:ilvl w:val="0"/>
          <w:numId w:val="20"/>
        </w:numPr>
        <w:spacing w:after="16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Otros Derechos a Recibir Bienes o Servicios a Corto Plazo por $3,530,721</w:t>
      </w:r>
    </w:p>
    <w:p w14:paraId="51575CBE" w14:textId="77777777" w:rsidR="00D73796" w:rsidRPr="000C42E6" w:rsidRDefault="00D73796" w:rsidP="00D73796">
      <w:pPr>
        <w:spacing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Representa la adquisición de armamento en los ejercicios 2021 y 2025 con números de grupo 21-10682 y 25-4768 a la Secretaría de la Defensa Nacional para actividades operativas, la cual no tiene fecha de entrega determinada, ya que se tiene que ajustar a los tiempos de entrega de la SEDENA, el 79% del saldo es menor a 365 días y el 21% mayor a 365 días de antigüedad.</w:t>
      </w:r>
    </w:p>
    <w:p w14:paraId="1B9F8979" w14:textId="77777777" w:rsidR="00CB7883" w:rsidRPr="000C42E6" w:rsidRDefault="00CB7883" w:rsidP="0098342B">
      <w:pPr>
        <w:spacing w:after="0" w:line="240" w:lineRule="auto"/>
        <w:jc w:val="both"/>
        <w:rPr>
          <w:rFonts w:ascii="Arial" w:eastAsia="Calibri" w:hAnsi="Arial" w:cs="Arial"/>
          <w:b/>
          <w:sz w:val="20"/>
          <w:szCs w:val="20"/>
        </w:rPr>
      </w:pPr>
      <w:r w:rsidRPr="000C42E6">
        <w:rPr>
          <w:rFonts w:ascii="Arial" w:eastAsia="Calibri" w:hAnsi="Arial" w:cs="Arial"/>
          <w:b/>
          <w:sz w:val="20"/>
          <w:szCs w:val="20"/>
        </w:rPr>
        <w:lastRenderedPageBreak/>
        <w:t>Bienes disponibles para su Transformación o Consumo</w:t>
      </w:r>
    </w:p>
    <w:p w14:paraId="5269B76E" w14:textId="77777777" w:rsidR="00CB7883" w:rsidRPr="000C42E6" w:rsidRDefault="00CB7883" w:rsidP="0098342B">
      <w:pPr>
        <w:spacing w:after="0" w:line="240" w:lineRule="auto"/>
        <w:jc w:val="both"/>
        <w:rPr>
          <w:rFonts w:ascii="Arial" w:eastAsia="Calibri" w:hAnsi="Arial" w:cs="Arial"/>
          <w:b/>
          <w:sz w:val="20"/>
          <w:szCs w:val="20"/>
          <w:u w:val="single"/>
        </w:rPr>
      </w:pPr>
    </w:p>
    <w:p w14:paraId="3CAED3F3" w14:textId="77777777" w:rsidR="00CB7883" w:rsidRPr="000C42E6" w:rsidRDefault="00CB7883" w:rsidP="0098342B">
      <w:pPr>
        <w:spacing w:after="200" w:line="240" w:lineRule="auto"/>
        <w:jc w:val="both"/>
        <w:rPr>
          <w:rFonts w:ascii="Arial" w:eastAsia="Times New Roman" w:hAnsi="Arial" w:cs="Arial"/>
          <w:b/>
          <w:color w:val="000000"/>
          <w:sz w:val="20"/>
          <w:szCs w:val="20"/>
          <w:u w:val="single"/>
          <w:lang w:eastAsia="es-MX"/>
        </w:rPr>
      </w:pPr>
      <w:r w:rsidRPr="000C42E6">
        <w:rPr>
          <w:rFonts w:ascii="Arial" w:eastAsia="Times New Roman" w:hAnsi="Arial" w:cs="Arial"/>
          <w:b/>
          <w:color w:val="000000"/>
          <w:sz w:val="20"/>
          <w:szCs w:val="20"/>
          <w:u w:val="single"/>
          <w:lang w:eastAsia="es-MX"/>
        </w:rPr>
        <w:t>Inventarios:</w:t>
      </w:r>
    </w:p>
    <w:p w14:paraId="1A05D4B7" w14:textId="5A9A1AF1" w:rsidR="002477CB" w:rsidRPr="000C42E6" w:rsidRDefault="00CB7883" w:rsidP="002D4E7E">
      <w:pPr>
        <w:jc w:val="both"/>
        <w:rPr>
          <w:rFonts w:ascii="Arial" w:eastAsia="Times New Roman" w:hAnsi="Arial" w:cs="Arial"/>
          <w:b/>
          <w:color w:val="000000"/>
          <w:sz w:val="20"/>
          <w:szCs w:val="20"/>
          <w:lang w:eastAsia="es-MX"/>
        </w:rPr>
      </w:pPr>
      <w:r w:rsidRPr="000C42E6">
        <w:rPr>
          <w:rFonts w:ascii="Arial" w:eastAsia="Calibri" w:hAnsi="Arial" w:cs="Arial"/>
          <w:sz w:val="20"/>
          <w:szCs w:val="20"/>
        </w:rPr>
        <w:t xml:space="preserve">El saldo de este rubro </w:t>
      </w:r>
      <w:r w:rsidR="00F36E10" w:rsidRPr="000C42E6">
        <w:rPr>
          <w:rFonts w:ascii="Arial" w:eastAsia="Calibri" w:hAnsi="Arial" w:cs="Arial"/>
          <w:sz w:val="20"/>
          <w:szCs w:val="20"/>
        </w:rPr>
        <w:t xml:space="preserve">es </w:t>
      </w:r>
      <w:r w:rsidR="00F36E10" w:rsidRPr="000C42E6">
        <w:rPr>
          <w:rFonts w:ascii="Arial" w:eastAsia="Times New Roman" w:hAnsi="Arial" w:cs="Arial"/>
          <w:color w:val="000000"/>
          <w:sz w:val="20"/>
          <w:szCs w:val="20"/>
          <w:lang w:eastAsia="es-MX"/>
        </w:rPr>
        <w:t>$</w:t>
      </w:r>
      <w:r w:rsidR="00EB6913" w:rsidRPr="000C42E6">
        <w:rPr>
          <w:rFonts w:ascii="Arial" w:eastAsia="Times New Roman" w:hAnsi="Arial" w:cs="Arial"/>
          <w:b/>
          <w:color w:val="000000"/>
          <w:sz w:val="20"/>
          <w:szCs w:val="20"/>
          <w:lang w:eastAsia="es-MX"/>
        </w:rPr>
        <w:t>1</w:t>
      </w:r>
      <w:proofErr w:type="gramStart"/>
      <w:r w:rsidR="00EB6913" w:rsidRPr="000C42E6">
        <w:rPr>
          <w:rFonts w:ascii="Arial" w:eastAsia="Times New Roman" w:hAnsi="Arial" w:cs="Arial"/>
          <w:b/>
          <w:color w:val="000000"/>
          <w:sz w:val="20"/>
          <w:szCs w:val="20"/>
          <w:lang w:eastAsia="es-MX"/>
        </w:rPr>
        <w:t>,440,753</w:t>
      </w:r>
      <w:proofErr w:type="gramEnd"/>
      <w:r w:rsidR="00F36E10" w:rsidRPr="000C42E6">
        <w:rPr>
          <w:rFonts w:ascii="Arial" w:eastAsia="Times New Roman" w:hAnsi="Arial" w:cs="Arial"/>
          <w:b/>
          <w:color w:val="000000"/>
          <w:sz w:val="20"/>
          <w:szCs w:val="20"/>
          <w:lang w:eastAsia="es-MX"/>
        </w:rPr>
        <w:t xml:space="preserve"> </w:t>
      </w:r>
      <w:r w:rsidR="00F36E10" w:rsidRPr="000C42E6">
        <w:rPr>
          <w:rFonts w:ascii="Arial" w:eastAsia="Times New Roman" w:hAnsi="Arial" w:cs="Arial"/>
          <w:bCs/>
          <w:color w:val="000000"/>
          <w:sz w:val="20"/>
          <w:szCs w:val="20"/>
          <w:lang w:eastAsia="es-MX"/>
        </w:rPr>
        <w:t xml:space="preserve">y se integra por </w:t>
      </w:r>
      <w:r w:rsidR="00FA6868" w:rsidRPr="000C42E6">
        <w:rPr>
          <w:rFonts w:ascii="Arial" w:eastAsia="Times New Roman" w:hAnsi="Arial" w:cs="Arial"/>
          <w:b/>
          <w:bCs/>
          <w:color w:val="000000"/>
          <w:sz w:val="20"/>
          <w:szCs w:val="20"/>
          <w:lang w:eastAsia="es-MX"/>
        </w:rPr>
        <w:t>$</w:t>
      </w:r>
      <w:r w:rsidR="002D4E7E" w:rsidRPr="000C42E6">
        <w:rPr>
          <w:rFonts w:ascii="Arial" w:eastAsia="Times New Roman" w:hAnsi="Arial" w:cs="Arial"/>
          <w:b/>
          <w:color w:val="000000"/>
          <w:sz w:val="20"/>
          <w:szCs w:val="20"/>
          <w:lang w:eastAsia="es-MX"/>
        </w:rPr>
        <w:t>1,290,915</w:t>
      </w:r>
      <w:r w:rsidR="002D4E7E" w:rsidRPr="000C42E6">
        <w:rPr>
          <w:rFonts w:ascii="Arial" w:eastAsia="Times New Roman" w:hAnsi="Arial" w:cs="Arial"/>
          <w:color w:val="000000"/>
          <w:sz w:val="20"/>
          <w:szCs w:val="20"/>
          <w:lang w:eastAsia="es-MX"/>
        </w:rPr>
        <w:t xml:space="preserve"> más </w:t>
      </w:r>
      <w:r w:rsidR="00EB6913" w:rsidRPr="000C42E6">
        <w:rPr>
          <w:rFonts w:ascii="Arial" w:eastAsia="Times New Roman" w:hAnsi="Arial" w:cs="Arial"/>
          <w:b/>
          <w:color w:val="000000"/>
          <w:sz w:val="20"/>
          <w:szCs w:val="20"/>
          <w:lang w:eastAsia="es-MX"/>
        </w:rPr>
        <w:t>$</w:t>
      </w:r>
      <w:r w:rsidR="002D4E7E" w:rsidRPr="000C42E6">
        <w:rPr>
          <w:rFonts w:ascii="Arial" w:eastAsia="Times New Roman" w:hAnsi="Arial" w:cs="Arial"/>
          <w:b/>
          <w:color w:val="000000"/>
          <w:sz w:val="20"/>
          <w:szCs w:val="20"/>
          <w:lang w:eastAsia="es-MX"/>
        </w:rPr>
        <w:t>149,838</w:t>
      </w:r>
      <w:r w:rsidR="00A84DB7" w:rsidRPr="000C42E6">
        <w:rPr>
          <w:rFonts w:ascii="Arial" w:eastAsia="Times New Roman" w:hAnsi="Arial" w:cs="Arial"/>
          <w:b/>
          <w:bCs/>
          <w:color w:val="000000"/>
          <w:sz w:val="20"/>
          <w:szCs w:val="20"/>
          <w:lang w:eastAsia="es-MX"/>
        </w:rPr>
        <w:t xml:space="preserve"> </w:t>
      </w:r>
      <w:r w:rsidRPr="000C42E6">
        <w:rPr>
          <w:rFonts w:ascii="Arial" w:eastAsia="Times New Roman" w:hAnsi="Arial" w:cs="Arial"/>
          <w:color w:val="000000"/>
          <w:sz w:val="20"/>
          <w:szCs w:val="20"/>
          <w:lang w:eastAsia="es-MX"/>
        </w:rPr>
        <w:t>por</w:t>
      </w:r>
      <w:r w:rsidR="00A016FE" w:rsidRPr="000C42E6">
        <w:rPr>
          <w:rFonts w:ascii="Arial" w:eastAsia="Times New Roman" w:hAnsi="Arial" w:cs="Arial"/>
          <w:color w:val="000000"/>
          <w:sz w:val="20"/>
          <w:szCs w:val="20"/>
          <w:lang w:eastAsia="es-MX"/>
        </w:rPr>
        <w:t xml:space="preserve"> el </w:t>
      </w:r>
      <w:r w:rsidRPr="000C42E6">
        <w:rPr>
          <w:rFonts w:ascii="Arial" w:eastAsia="Calibri" w:hAnsi="Arial" w:cs="Arial"/>
          <w:sz w:val="20"/>
          <w:szCs w:val="20"/>
        </w:rPr>
        <w:t xml:space="preserve"> Inventario de Materias Primas, Materiales y Suministros para </w:t>
      </w:r>
      <w:r w:rsidR="00197B85" w:rsidRPr="000C42E6">
        <w:rPr>
          <w:rFonts w:ascii="Arial" w:eastAsia="Calibri" w:hAnsi="Arial" w:cs="Arial"/>
          <w:sz w:val="20"/>
          <w:szCs w:val="20"/>
        </w:rPr>
        <w:t xml:space="preserve">la </w:t>
      </w:r>
      <w:r w:rsidRPr="000C42E6">
        <w:rPr>
          <w:rFonts w:ascii="Arial" w:eastAsia="Calibri" w:hAnsi="Arial" w:cs="Arial"/>
          <w:sz w:val="20"/>
          <w:szCs w:val="20"/>
        </w:rPr>
        <w:t xml:space="preserve">Producción de </w:t>
      </w:r>
      <w:r w:rsidR="00A84DB7" w:rsidRPr="000C42E6">
        <w:rPr>
          <w:rFonts w:ascii="Arial" w:eastAsia="Calibri" w:hAnsi="Arial" w:cs="Arial"/>
          <w:sz w:val="20"/>
          <w:szCs w:val="20"/>
        </w:rPr>
        <w:t xml:space="preserve">la </w:t>
      </w:r>
      <w:r w:rsidR="002D4E7E" w:rsidRPr="000C42E6">
        <w:rPr>
          <w:rFonts w:ascii="Arial" w:eastAsia="Times New Roman" w:hAnsi="Arial" w:cs="Arial"/>
          <w:color w:val="000000"/>
          <w:sz w:val="20"/>
          <w:szCs w:val="20"/>
          <w:lang w:eastAsia="es-MX"/>
        </w:rPr>
        <w:t>Comisión Estatal Forestal y la Secretaría de Bienestar respectivamente.</w:t>
      </w:r>
    </w:p>
    <w:p w14:paraId="6CBE363C" w14:textId="77777777" w:rsidR="00CB7883" w:rsidRPr="000C42E6" w:rsidRDefault="00CB7883" w:rsidP="0098342B">
      <w:pPr>
        <w:spacing w:after="0" w:line="240" w:lineRule="auto"/>
        <w:jc w:val="both"/>
        <w:rPr>
          <w:rFonts w:ascii="Arial" w:eastAsia="Times New Roman" w:hAnsi="Arial" w:cs="Arial"/>
          <w:b/>
          <w:bCs/>
          <w:color w:val="000000"/>
          <w:sz w:val="20"/>
          <w:szCs w:val="20"/>
          <w:u w:val="single"/>
          <w:lang w:eastAsia="es-MX"/>
        </w:rPr>
      </w:pPr>
      <w:r w:rsidRPr="000C42E6">
        <w:rPr>
          <w:rFonts w:ascii="Arial" w:eastAsia="Times New Roman" w:hAnsi="Arial" w:cs="Arial"/>
          <w:b/>
          <w:bCs/>
          <w:color w:val="000000"/>
          <w:sz w:val="20"/>
          <w:szCs w:val="20"/>
          <w:u w:val="single"/>
          <w:lang w:eastAsia="es-MX"/>
        </w:rPr>
        <w:t xml:space="preserve">Almacenes: </w:t>
      </w:r>
    </w:p>
    <w:p w14:paraId="5833A01E" w14:textId="77777777" w:rsidR="00CB7883" w:rsidRPr="000C42E6" w:rsidRDefault="00CB7883" w:rsidP="0098342B">
      <w:pPr>
        <w:spacing w:after="0" w:line="240" w:lineRule="auto"/>
        <w:jc w:val="both"/>
        <w:rPr>
          <w:rFonts w:ascii="Arial" w:eastAsia="Times New Roman" w:hAnsi="Arial" w:cs="Arial"/>
          <w:b/>
          <w:bCs/>
          <w:color w:val="000000"/>
          <w:sz w:val="20"/>
          <w:szCs w:val="20"/>
          <w:u w:val="single"/>
          <w:lang w:eastAsia="es-MX"/>
        </w:rPr>
      </w:pPr>
    </w:p>
    <w:p w14:paraId="4F9296B5" w14:textId="52774966" w:rsidR="00CB7883" w:rsidRPr="000C42E6" w:rsidRDefault="00CB7883" w:rsidP="0098342B">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color w:val="000000"/>
          <w:sz w:val="20"/>
          <w:szCs w:val="20"/>
          <w:lang w:eastAsia="es-MX"/>
        </w:rPr>
        <w:t>El saldo de este rubro</w:t>
      </w:r>
      <w:r w:rsidR="00DB10C3" w:rsidRPr="000C42E6">
        <w:rPr>
          <w:rFonts w:ascii="Arial" w:eastAsia="Times New Roman" w:hAnsi="Arial" w:cs="Arial"/>
          <w:color w:val="000000"/>
          <w:sz w:val="20"/>
          <w:szCs w:val="20"/>
          <w:lang w:eastAsia="es-MX"/>
        </w:rPr>
        <w:t xml:space="preserve"> es por </w:t>
      </w:r>
      <w:r w:rsidR="00DB10C3" w:rsidRPr="000C42E6">
        <w:rPr>
          <w:rFonts w:ascii="Arial" w:eastAsia="Times New Roman" w:hAnsi="Arial" w:cs="Arial"/>
          <w:b/>
          <w:color w:val="000000"/>
          <w:sz w:val="20"/>
          <w:szCs w:val="20"/>
          <w:lang w:eastAsia="es-MX"/>
        </w:rPr>
        <w:t>$</w:t>
      </w:r>
      <w:r w:rsidR="004F63CE" w:rsidRPr="000C42E6">
        <w:rPr>
          <w:rFonts w:ascii="Arial" w:eastAsia="Times New Roman" w:hAnsi="Arial" w:cs="Arial"/>
          <w:b/>
          <w:bCs/>
          <w:color w:val="000000"/>
          <w:sz w:val="20"/>
          <w:szCs w:val="20"/>
          <w:lang w:eastAsia="es-MX"/>
        </w:rPr>
        <w:t>1</w:t>
      </w:r>
      <w:proofErr w:type="gramStart"/>
      <w:r w:rsidR="004F63CE" w:rsidRPr="000C42E6">
        <w:rPr>
          <w:rFonts w:ascii="Arial" w:eastAsia="Times New Roman" w:hAnsi="Arial" w:cs="Arial"/>
          <w:b/>
          <w:bCs/>
          <w:color w:val="000000"/>
          <w:sz w:val="20"/>
          <w:szCs w:val="20"/>
          <w:lang w:eastAsia="es-MX"/>
        </w:rPr>
        <w:t>,389,728,858</w:t>
      </w:r>
      <w:proofErr w:type="gramEnd"/>
    </w:p>
    <w:p w14:paraId="0F435F5D" w14:textId="77777777" w:rsidR="00077516" w:rsidRPr="000C42E6" w:rsidRDefault="00077516" w:rsidP="0098342B">
      <w:pPr>
        <w:spacing w:after="0" w:line="240" w:lineRule="auto"/>
        <w:jc w:val="both"/>
        <w:rPr>
          <w:rFonts w:ascii="Arial" w:eastAsia="Times New Roman" w:hAnsi="Arial" w:cs="Arial"/>
          <w:b/>
          <w:bCs/>
          <w:color w:val="000000"/>
          <w:sz w:val="20"/>
          <w:szCs w:val="20"/>
          <w:lang w:eastAsia="es-MX"/>
        </w:rPr>
      </w:pPr>
    </w:p>
    <w:tbl>
      <w:tblPr>
        <w:tblW w:w="9480" w:type="dxa"/>
        <w:jc w:val="center"/>
        <w:tblCellMar>
          <w:left w:w="70" w:type="dxa"/>
          <w:right w:w="70" w:type="dxa"/>
        </w:tblCellMar>
        <w:tblLook w:val="04A0" w:firstRow="1" w:lastRow="0" w:firstColumn="1" w:lastColumn="0" w:noHBand="0" w:noVBand="1"/>
      </w:tblPr>
      <w:tblGrid>
        <w:gridCol w:w="7860"/>
        <w:gridCol w:w="1620"/>
      </w:tblGrid>
      <w:tr w:rsidR="00A40EBA" w:rsidRPr="000C42E6" w14:paraId="16764F21" w14:textId="77777777" w:rsidTr="00D8734A">
        <w:trPr>
          <w:trHeight w:val="540"/>
          <w:jc w:val="center"/>
        </w:trPr>
        <w:tc>
          <w:tcPr>
            <w:tcW w:w="7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B17B70" w14:textId="77777777" w:rsidR="00A40EBA" w:rsidRPr="000C42E6" w:rsidRDefault="00A40EBA" w:rsidP="00A40EB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Dependencia u Órgano Desconcentrado</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3BD93295" w14:textId="77777777" w:rsidR="00A40EBA" w:rsidRPr="000C42E6" w:rsidRDefault="00A40EBA" w:rsidP="00A40EB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 al 31 de diciembre 2025 </w:t>
            </w:r>
          </w:p>
        </w:tc>
      </w:tr>
      <w:tr w:rsidR="00A40EBA" w:rsidRPr="000C42E6" w14:paraId="5771BB84" w14:textId="77777777" w:rsidTr="00D8734A">
        <w:trPr>
          <w:trHeight w:val="153"/>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53C66606"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Gobierno</w:t>
            </w:r>
          </w:p>
        </w:tc>
        <w:tc>
          <w:tcPr>
            <w:tcW w:w="1620" w:type="dxa"/>
            <w:tcBorders>
              <w:top w:val="nil"/>
              <w:left w:val="nil"/>
              <w:bottom w:val="single" w:sz="8" w:space="0" w:color="auto"/>
              <w:right w:val="single" w:sz="8" w:space="0" w:color="auto"/>
            </w:tcBorders>
            <w:shd w:val="clear" w:color="auto" w:fill="auto"/>
            <w:noWrap/>
            <w:vAlign w:val="center"/>
            <w:hideMark/>
          </w:tcPr>
          <w:p w14:paraId="7D44E77E"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5,863,880</w:t>
            </w:r>
          </w:p>
        </w:tc>
      </w:tr>
      <w:tr w:rsidR="00A40EBA" w:rsidRPr="000C42E6" w14:paraId="79AF6104" w14:textId="77777777" w:rsidTr="00D8734A">
        <w:trPr>
          <w:trHeight w:val="186"/>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4133A2C6"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Oficina de la Gubernatura</w:t>
            </w:r>
          </w:p>
        </w:tc>
        <w:tc>
          <w:tcPr>
            <w:tcW w:w="1620" w:type="dxa"/>
            <w:tcBorders>
              <w:top w:val="nil"/>
              <w:left w:val="nil"/>
              <w:bottom w:val="single" w:sz="8" w:space="0" w:color="auto"/>
              <w:right w:val="single" w:sz="8" w:space="0" w:color="auto"/>
            </w:tcBorders>
            <w:shd w:val="clear" w:color="auto" w:fill="auto"/>
            <w:noWrap/>
            <w:vAlign w:val="center"/>
            <w:hideMark/>
          </w:tcPr>
          <w:p w14:paraId="74F86E60"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808,679</w:t>
            </w:r>
          </w:p>
        </w:tc>
      </w:tr>
      <w:tr w:rsidR="00A40EBA" w:rsidRPr="000C42E6" w14:paraId="5B90183E" w14:textId="77777777" w:rsidTr="00D8734A">
        <w:trPr>
          <w:trHeight w:val="203"/>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5829D84D"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Consejería Jurídica del Poder Ejecutivo del Estado</w:t>
            </w:r>
          </w:p>
        </w:tc>
        <w:tc>
          <w:tcPr>
            <w:tcW w:w="1620" w:type="dxa"/>
            <w:tcBorders>
              <w:top w:val="nil"/>
              <w:left w:val="nil"/>
              <w:bottom w:val="single" w:sz="8" w:space="0" w:color="auto"/>
              <w:right w:val="single" w:sz="8" w:space="0" w:color="auto"/>
            </w:tcBorders>
            <w:shd w:val="clear" w:color="auto" w:fill="auto"/>
            <w:noWrap/>
            <w:vAlign w:val="center"/>
            <w:hideMark/>
          </w:tcPr>
          <w:p w14:paraId="585BF9EF"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1,407,381</w:t>
            </w:r>
          </w:p>
        </w:tc>
      </w:tr>
      <w:tr w:rsidR="00A40EBA" w:rsidRPr="000C42E6" w14:paraId="0355A5DA" w14:textId="77777777" w:rsidTr="00D8734A">
        <w:trPr>
          <w:trHeight w:val="108"/>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41FEFB3C"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Seguridad y Protección Ciudadana</w:t>
            </w:r>
          </w:p>
        </w:tc>
        <w:tc>
          <w:tcPr>
            <w:tcW w:w="1620" w:type="dxa"/>
            <w:tcBorders>
              <w:top w:val="nil"/>
              <w:left w:val="nil"/>
              <w:bottom w:val="single" w:sz="8" w:space="0" w:color="auto"/>
              <w:right w:val="single" w:sz="8" w:space="0" w:color="auto"/>
            </w:tcBorders>
            <w:shd w:val="clear" w:color="auto" w:fill="auto"/>
            <w:noWrap/>
            <w:vAlign w:val="center"/>
            <w:hideMark/>
          </w:tcPr>
          <w:p w14:paraId="6DF8F82C"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218,124</w:t>
            </w:r>
          </w:p>
        </w:tc>
      </w:tr>
      <w:tr w:rsidR="00A40EBA" w:rsidRPr="000C42E6" w14:paraId="77325A72" w14:textId="77777777" w:rsidTr="00D8734A">
        <w:trPr>
          <w:trHeight w:val="14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07C84509"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Bienestar</w:t>
            </w:r>
          </w:p>
        </w:tc>
        <w:tc>
          <w:tcPr>
            <w:tcW w:w="1620" w:type="dxa"/>
            <w:tcBorders>
              <w:top w:val="nil"/>
              <w:left w:val="nil"/>
              <w:bottom w:val="single" w:sz="8" w:space="0" w:color="auto"/>
              <w:right w:val="single" w:sz="8" w:space="0" w:color="auto"/>
            </w:tcBorders>
            <w:shd w:val="clear" w:color="auto" w:fill="auto"/>
            <w:noWrap/>
            <w:vAlign w:val="center"/>
            <w:hideMark/>
          </w:tcPr>
          <w:p w14:paraId="290D1D86"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5,262,850</w:t>
            </w:r>
          </w:p>
        </w:tc>
      </w:tr>
      <w:tr w:rsidR="00A40EBA" w:rsidRPr="000C42E6" w14:paraId="5684AA44" w14:textId="77777777" w:rsidTr="00D8734A">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61C4AD2A"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Medio Ambiente y Desarrollo Sustentable</w:t>
            </w:r>
          </w:p>
        </w:tc>
        <w:tc>
          <w:tcPr>
            <w:tcW w:w="1620" w:type="dxa"/>
            <w:tcBorders>
              <w:top w:val="nil"/>
              <w:left w:val="nil"/>
              <w:bottom w:val="single" w:sz="8" w:space="0" w:color="auto"/>
              <w:right w:val="single" w:sz="8" w:space="0" w:color="auto"/>
            </w:tcBorders>
            <w:shd w:val="clear" w:color="auto" w:fill="auto"/>
            <w:noWrap/>
            <w:vAlign w:val="center"/>
            <w:hideMark/>
          </w:tcPr>
          <w:p w14:paraId="513417DF"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702,187</w:t>
            </w:r>
          </w:p>
        </w:tc>
      </w:tr>
      <w:tr w:rsidR="00A40EBA" w:rsidRPr="000C42E6" w14:paraId="66C4370A" w14:textId="77777777" w:rsidTr="00D8734A">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3A84CDE4"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Educación</w:t>
            </w:r>
          </w:p>
        </w:tc>
        <w:tc>
          <w:tcPr>
            <w:tcW w:w="1620" w:type="dxa"/>
            <w:tcBorders>
              <w:top w:val="nil"/>
              <w:left w:val="nil"/>
              <w:bottom w:val="single" w:sz="8" w:space="0" w:color="auto"/>
              <w:right w:val="single" w:sz="8" w:space="0" w:color="auto"/>
            </w:tcBorders>
            <w:shd w:val="clear" w:color="auto" w:fill="auto"/>
            <w:noWrap/>
            <w:vAlign w:val="center"/>
            <w:hideMark/>
          </w:tcPr>
          <w:p w14:paraId="13DB7FD8"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69,018,723</w:t>
            </w:r>
          </w:p>
        </w:tc>
      </w:tr>
      <w:tr w:rsidR="00A40EBA" w:rsidRPr="000C42E6" w14:paraId="792E1A00" w14:textId="77777777" w:rsidTr="00D8734A">
        <w:trPr>
          <w:trHeight w:val="94"/>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108075F8"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Salud</w:t>
            </w:r>
          </w:p>
        </w:tc>
        <w:tc>
          <w:tcPr>
            <w:tcW w:w="1620" w:type="dxa"/>
            <w:tcBorders>
              <w:top w:val="nil"/>
              <w:left w:val="nil"/>
              <w:bottom w:val="single" w:sz="8" w:space="0" w:color="auto"/>
              <w:right w:val="single" w:sz="8" w:space="0" w:color="auto"/>
            </w:tcBorders>
            <w:shd w:val="clear" w:color="auto" w:fill="auto"/>
            <w:noWrap/>
            <w:vAlign w:val="center"/>
            <w:hideMark/>
          </w:tcPr>
          <w:p w14:paraId="2B3A5DD2"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1,268,994,981</w:t>
            </w:r>
          </w:p>
        </w:tc>
      </w:tr>
      <w:tr w:rsidR="00A40EBA" w:rsidRPr="000C42E6" w14:paraId="7002B825" w14:textId="77777777" w:rsidTr="00D8734A">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78A87499"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Cultura</w:t>
            </w:r>
          </w:p>
        </w:tc>
        <w:tc>
          <w:tcPr>
            <w:tcW w:w="1620" w:type="dxa"/>
            <w:tcBorders>
              <w:top w:val="nil"/>
              <w:left w:val="nil"/>
              <w:bottom w:val="single" w:sz="8" w:space="0" w:color="auto"/>
              <w:right w:val="single" w:sz="8" w:space="0" w:color="auto"/>
            </w:tcBorders>
            <w:shd w:val="clear" w:color="auto" w:fill="auto"/>
            <w:noWrap/>
            <w:vAlign w:val="center"/>
            <w:hideMark/>
          </w:tcPr>
          <w:p w14:paraId="718E027F"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240,296</w:t>
            </w:r>
          </w:p>
        </w:tc>
      </w:tr>
      <w:tr w:rsidR="00A40EBA" w:rsidRPr="000C42E6" w14:paraId="1D82AD7D" w14:textId="77777777" w:rsidTr="00D8734A">
        <w:trPr>
          <w:trHeight w:val="342"/>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335F66F1"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Turismo y Desarrollo Económico</w:t>
            </w:r>
          </w:p>
        </w:tc>
        <w:tc>
          <w:tcPr>
            <w:tcW w:w="1620" w:type="dxa"/>
            <w:tcBorders>
              <w:top w:val="nil"/>
              <w:left w:val="nil"/>
              <w:bottom w:val="single" w:sz="8" w:space="0" w:color="auto"/>
              <w:right w:val="single" w:sz="8" w:space="0" w:color="auto"/>
            </w:tcBorders>
            <w:shd w:val="clear" w:color="auto" w:fill="auto"/>
            <w:noWrap/>
            <w:vAlign w:val="center"/>
            <w:hideMark/>
          </w:tcPr>
          <w:p w14:paraId="6DFCFCFF"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987,518</w:t>
            </w:r>
          </w:p>
        </w:tc>
      </w:tr>
      <w:tr w:rsidR="00A40EBA" w:rsidRPr="000C42E6" w14:paraId="6DBF8BCA" w14:textId="77777777" w:rsidTr="00D8734A">
        <w:trPr>
          <w:trHeight w:val="151"/>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394648C9"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Desarrollo Agropecuario y Pesca</w:t>
            </w:r>
          </w:p>
        </w:tc>
        <w:tc>
          <w:tcPr>
            <w:tcW w:w="1620" w:type="dxa"/>
            <w:tcBorders>
              <w:top w:val="nil"/>
              <w:left w:val="nil"/>
              <w:bottom w:val="single" w:sz="8" w:space="0" w:color="auto"/>
              <w:right w:val="single" w:sz="8" w:space="0" w:color="auto"/>
            </w:tcBorders>
            <w:shd w:val="clear" w:color="auto" w:fill="auto"/>
            <w:noWrap/>
            <w:vAlign w:val="center"/>
            <w:hideMark/>
          </w:tcPr>
          <w:p w14:paraId="58631F95"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615,873</w:t>
            </w:r>
          </w:p>
        </w:tc>
      </w:tr>
      <w:tr w:rsidR="00A40EBA" w:rsidRPr="000C42E6" w14:paraId="644C5908" w14:textId="77777777" w:rsidTr="00D8734A">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6862BD77"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Movilidad</w:t>
            </w:r>
          </w:p>
        </w:tc>
        <w:tc>
          <w:tcPr>
            <w:tcW w:w="1620" w:type="dxa"/>
            <w:tcBorders>
              <w:top w:val="nil"/>
              <w:left w:val="nil"/>
              <w:bottom w:val="single" w:sz="8" w:space="0" w:color="auto"/>
              <w:right w:val="single" w:sz="8" w:space="0" w:color="auto"/>
            </w:tcBorders>
            <w:shd w:val="clear" w:color="auto" w:fill="auto"/>
            <w:noWrap/>
            <w:vAlign w:val="center"/>
            <w:hideMark/>
          </w:tcPr>
          <w:p w14:paraId="2F0B6C74"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275,189</w:t>
            </w:r>
          </w:p>
        </w:tc>
      </w:tr>
      <w:tr w:rsidR="00A40EBA" w:rsidRPr="000C42E6" w14:paraId="5F2B47C2" w14:textId="77777777" w:rsidTr="00D8734A">
        <w:trPr>
          <w:trHeight w:val="69"/>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60007F44"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Ordenamiento Territorial y Obras Publicas</w:t>
            </w:r>
          </w:p>
        </w:tc>
        <w:tc>
          <w:tcPr>
            <w:tcW w:w="1620" w:type="dxa"/>
            <w:tcBorders>
              <w:top w:val="nil"/>
              <w:left w:val="nil"/>
              <w:bottom w:val="single" w:sz="8" w:space="0" w:color="auto"/>
              <w:right w:val="single" w:sz="8" w:space="0" w:color="auto"/>
            </w:tcBorders>
            <w:shd w:val="clear" w:color="auto" w:fill="auto"/>
            <w:noWrap/>
            <w:vAlign w:val="center"/>
            <w:hideMark/>
          </w:tcPr>
          <w:p w14:paraId="0E1F3B1C"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381,853</w:t>
            </w:r>
          </w:p>
        </w:tc>
      </w:tr>
      <w:tr w:rsidR="00A40EBA" w:rsidRPr="000C42E6" w14:paraId="61B3AFF7" w14:textId="77777777" w:rsidTr="00A23566">
        <w:trPr>
          <w:trHeight w:val="101"/>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1A6CCC39"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de Administración y Finanzas</w:t>
            </w:r>
          </w:p>
        </w:tc>
        <w:tc>
          <w:tcPr>
            <w:tcW w:w="1620" w:type="dxa"/>
            <w:tcBorders>
              <w:top w:val="nil"/>
              <w:left w:val="nil"/>
              <w:bottom w:val="single" w:sz="8" w:space="0" w:color="auto"/>
              <w:right w:val="single" w:sz="8" w:space="0" w:color="auto"/>
            </w:tcBorders>
            <w:shd w:val="clear" w:color="auto" w:fill="auto"/>
            <w:noWrap/>
            <w:vAlign w:val="center"/>
            <w:hideMark/>
          </w:tcPr>
          <w:p w14:paraId="5AE36C04"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17,970,615</w:t>
            </w:r>
          </w:p>
        </w:tc>
      </w:tr>
      <w:tr w:rsidR="00A40EBA" w:rsidRPr="000C42E6" w14:paraId="3C2211E4" w14:textId="77777777" w:rsidTr="00A23566">
        <w:trPr>
          <w:trHeight w:val="133"/>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457280C1"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 Anticorrupción y Buen Gobierno</w:t>
            </w:r>
          </w:p>
        </w:tc>
        <w:tc>
          <w:tcPr>
            <w:tcW w:w="1620" w:type="dxa"/>
            <w:tcBorders>
              <w:top w:val="nil"/>
              <w:left w:val="nil"/>
              <w:bottom w:val="single" w:sz="8" w:space="0" w:color="auto"/>
              <w:right w:val="single" w:sz="8" w:space="0" w:color="auto"/>
            </w:tcBorders>
            <w:shd w:val="clear" w:color="auto" w:fill="auto"/>
            <w:noWrap/>
            <w:vAlign w:val="center"/>
            <w:hideMark/>
          </w:tcPr>
          <w:p w14:paraId="54C246C7"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5,722,104</w:t>
            </w:r>
          </w:p>
        </w:tc>
      </w:tr>
      <w:tr w:rsidR="00A40EBA" w:rsidRPr="000C42E6" w14:paraId="5E7DD7F6" w14:textId="77777777" w:rsidTr="00A23566">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02152A41"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Comisión Estatal de Búsqueda de Personas</w:t>
            </w:r>
          </w:p>
        </w:tc>
        <w:tc>
          <w:tcPr>
            <w:tcW w:w="1620" w:type="dxa"/>
            <w:tcBorders>
              <w:top w:val="nil"/>
              <w:left w:val="nil"/>
              <w:bottom w:val="single" w:sz="8" w:space="0" w:color="auto"/>
              <w:right w:val="single" w:sz="8" w:space="0" w:color="auto"/>
            </w:tcBorders>
            <w:shd w:val="clear" w:color="auto" w:fill="auto"/>
            <w:noWrap/>
            <w:vAlign w:val="center"/>
            <w:hideMark/>
          </w:tcPr>
          <w:p w14:paraId="0102AB9A"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135,224</w:t>
            </w:r>
          </w:p>
        </w:tc>
      </w:tr>
      <w:tr w:rsidR="00A40EBA" w:rsidRPr="000C42E6" w14:paraId="3EF6E434" w14:textId="77777777" w:rsidTr="00A23566">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1CD2DEDE"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Comisión Estatal Forestal</w:t>
            </w:r>
          </w:p>
        </w:tc>
        <w:tc>
          <w:tcPr>
            <w:tcW w:w="1620" w:type="dxa"/>
            <w:tcBorders>
              <w:top w:val="nil"/>
              <w:left w:val="nil"/>
              <w:bottom w:val="single" w:sz="8" w:space="0" w:color="auto"/>
              <w:right w:val="single" w:sz="8" w:space="0" w:color="auto"/>
            </w:tcBorders>
            <w:shd w:val="clear" w:color="auto" w:fill="auto"/>
            <w:noWrap/>
            <w:vAlign w:val="center"/>
            <w:hideMark/>
          </w:tcPr>
          <w:p w14:paraId="60BC9D99"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2,347,813</w:t>
            </w:r>
          </w:p>
        </w:tc>
      </w:tr>
      <w:tr w:rsidR="00A40EBA" w:rsidRPr="000C42E6" w14:paraId="238A633E" w14:textId="77777777" w:rsidTr="00A23566">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209D6EC4"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Secretariado Ejecutivo del Sistema Estatal de Seguridad Publica</w:t>
            </w:r>
          </w:p>
        </w:tc>
        <w:tc>
          <w:tcPr>
            <w:tcW w:w="1620" w:type="dxa"/>
            <w:tcBorders>
              <w:top w:val="nil"/>
              <w:left w:val="nil"/>
              <w:bottom w:val="single" w:sz="8" w:space="0" w:color="auto"/>
              <w:right w:val="single" w:sz="8" w:space="0" w:color="auto"/>
            </w:tcBorders>
            <w:shd w:val="clear" w:color="auto" w:fill="auto"/>
            <w:noWrap/>
            <w:vAlign w:val="center"/>
            <w:hideMark/>
          </w:tcPr>
          <w:p w14:paraId="52AF20CE"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2,261,170</w:t>
            </w:r>
          </w:p>
        </w:tc>
      </w:tr>
      <w:tr w:rsidR="00A40EBA" w:rsidRPr="000C42E6" w14:paraId="20C74B92" w14:textId="77777777" w:rsidTr="00A23566">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0F0E044A"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Servicio Estatal de Empleo</w:t>
            </w:r>
          </w:p>
        </w:tc>
        <w:tc>
          <w:tcPr>
            <w:tcW w:w="1620" w:type="dxa"/>
            <w:tcBorders>
              <w:top w:val="nil"/>
              <w:left w:val="nil"/>
              <w:bottom w:val="single" w:sz="8" w:space="0" w:color="auto"/>
              <w:right w:val="single" w:sz="8" w:space="0" w:color="auto"/>
            </w:tcBorders>
            <w:shd w:val="clear" w:color="auto" w:fill="auto"/>
            <w:noWrap/>
            <w:vAlign w:val="center"/>
            <w:hideMark/>
          </w:tcPr>
          <w:p w14:paraId="27C7384B"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286,522</w:t>
            </w:r>
          </w:p>
        </w:tc>
      </w:tr>
      <w:tr w:rsidR="00A40EBA" w:rsidRPr="000C42E6" w14:paraId="44B116EB" w14:textId="77777777" w:rsidTr="00A23566">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18AAEDF8" w14:textId="77777777" w:rsidR="00A40EBA" w:rsidRPr="000C42E6" w:rsidRDefault="00A40EBA" w:rsidP="00A40EBA">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Junta Estatal de Caminos</w:t>
            </w:r>
          </w:p>
        </w:tc>
        <w:tc>
          <w:tcPr>
            <w:tcW w:w="1620" w:type="dxa"/>
            <w:tcBorders>
              <w:top w:val="nil"/>
              <w:left w:val="nil"/>
              <w:bottom w:val="single" w:sz="8" w:space="0" w:color="auto"/>
              <w:right w:val="single" w:sz="8" w:space="0" w:color="auto"/>
            </w:tcBorders>
            <w:shd w:val="clear" w:color="auto" w:fill="auto"/>
            <w:noWrap/>
            <w:vAlign w:val="center"/>
            <w:hideMark/>
          </w:tcPr>
          <w:p w14:paraId="7077F2F8" w14:textId="77777777" w:rsidR="00A40EBA" w:rsidRPr="000C42E6" w:rsidRDefault="00A40EBA" w:rsidP="00A40EB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6,227,876</w:t>
            </w:r>
          </w:p>
        </w:tc>
      </w:tr>
      <w:tr w:rsidR="00A40EBA" w:rsidRPr="000C42E6" w14:paraId="201DCBF7" w14:textId="77777777" w:rsidTr="00A23566">
        <w:trPr>
          <w:trHeight w:val="60"/>
          <w:jc w:val="center"/>
        </w:trPr>
        <w:tc>
          <w:tcPr>
            <w:tcW w:w="7860" w:type="dxa"/>
            <w:tcBorders>
              <w:top w:val="nil"/>
              <w:left w:val="single" w:sz="8" w:space="0" w:color="auto"/>
              <w:bottom w:val="single" w:sz="8" w:space="0" w:color="auto"/>
              <w:right w:val="single" w:sz="8" w:space="0" w:color="auto"/>
            </w:tcBorders>
            <w:shd w:val="clear" w:color="auto" w:fill="auto"/>
            <w:vAlign w:val="center"/>
            <w:hideMark/>
          </w:tcPr>
          <w:p w14:paraId="58C914E7" w14:textId="77777777" w:rsidR="00A40EBA" w:rsidRPr="000C42E6" w:rsidRDefault="00A40EBA" w:rsidP="00A40EBA">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620" w:type="dxa"/>
            <w:tcBorders>
              <w:top w:val="nil"/>
              <w:left w:val="nil"/>
              <w:bottom w:val="single" w:sz="8" w:space="0" w:color="auto"/>
              <w:right w:val="single" w:sz="8" w:space="0" w:color="auto"/>
            </w:tcBorders>
            <w:shd w:val="clear" w:color="auto" w:fill="auto"/>
            <w:noWrap/>
            <w:vAlign w:val="center"/>
            <w:hideMark/>
          </w:tcPr>
          <w:p w14:paraId="3533D276" w14:textId="77777777" w:rsidR="00A40EBA" w:rsidRPr="000C42E6" w:rsidRDefault="00A40EBA" w:rsidP="00A40EBA">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1,389,728,858</w:t>
            </w:r>
          </w:p>
        </w:tc>
      </w:tr>
    </w:tbl>
    <w:p w14:paraId="0C978A23" w14:textId="77777777" w:rsidR="00335858" w:rsidRDefault="00335858" w:rsidP="0098342B">
      <w:pPr>
        <w:spacing w:after="0" w:line="240" w:lineRule="auto"/>
        <w:jc w:val="both"/>
        <w:rPr>
          <w:rFonts w:ascii="Arial" w:eastAsia="Times New Roman" w:hAnsi="Arial" w:cs="Arial"/>
          <w:color w:val="000000"/>
          <w:sz w:val="20"/>
          <w:szCs w:val="20"/>
          <w:lang w:eastAsia="es-MX"/>
        </w:rPr>
      </w:pPr>
    </w:p>
    <w:p w14:paraId="14837177" w14:textId="77777777" w:rsidR="00491349" w:rsidRDefault="00491349" w:rsidP="0098342B">
      <w:pPr>
        <w:spacing w:after="0" w:line="240" w:lineRule="auto"/>
        <w:jc w:val="both"/>
        <w:rPr>
          <w:rFonts w:ascii="Arial" w:eastAsia="Times New Roman" w:hAnsi="Arial" w:cs="Arial"/>
          <w:color w:val="000000"/>
          <w:sz w:val="20"/>
          <w:szCs w:val="20"/>
          <w:lang w:eastAsia="es-MX"/>
        </w:rPr>
      </w:pPr>
    </w:p>
    <w:p w14:paraId="059170B0" w14:textId="77777777" w:rsidR="00CB7883" w:rsidRPr="000C42E6" w:rsidRDefault="00CB7883" w:rsidP="00CB7883">
      <w:pPr>
        <w:spacing w:after="200" w:line="240" w:lineRule="auto"/>
        <w:jc w:val="both"/>
        <w:rPr>
          <w:rFonts w:ascii="Arial" w:eastAsia="Calibri" w:hAnsi="Arial" w:cs="Arial"/>
          <w:bCs/>
          <w:sz w:val="20"/>
          <w:szCs w:val="20"/>
          <w:lang w:eastAsia="es-MX"/>
        </w:rPr>
      </w:pPr>
      <w:r w:rsidRPr="000C42E6">
        <w:rPr>
          <w:rFonts w:ascii="Arial" w:eastAsia="Calibri" w:hAnsi="Arial" w:cs="Arial"/>
          <w:bCs/>
          <w:sz w:val="20"/>
          <w:szCs w:val="20"/>
          <w:lang w:eastAsia="es-MX"/>
        </w:rPr>
        <w:t>Saldos conciliados con las Dependencias y Órganos Desconcentrados sin RFC.</w:t>
      </w:r>
    </w:p>
    <w:p w14:paraId="379CD3E6" w14:textId="77777777" w:rsidR="00CB7883" w:rsidRPr="000C42E6" w:rsidRDefault="00CB7883" w:rsidP="00CB7883">
      <w:pPr>
        <w:spacing w:after="0" w:line="240" w:lineRule="auto"/>
        <w:jc w:val="both"/>
        <w:rPr>
          <w:rFonts w:ascii="Arial" w:eastAsia="Calibri" w:hAnsi="Arial" w:cs="Arial"/>
          <w:b/>
          <w:sz w:val="20"/>
          <w:szCs w:val="20"/>
        </w:rPr>
      </w:pPr>
      <w:r w:rsidRPr="000C42E6">
        <w:rPr>
          <w:rFonts w:ascii="Arial" w:eastAsia="Calibri" w:hAnsi="Arial" w:cs="Arial"/>
          <w:b/>
          <w:bCs/>
          <w:sz w:val="20"/>
          <w:szCs w:val="20"/>
          <w:u w:val="single"/>
          <w:lang w:eastAsia="es-MX"/>
        </w:rPr>
        <w:t xml:space="preserve">Inversiones Financieras a Largo Plazo  </w:t>
      </w:r>
    </w:p>
    <w:p w14:paraId="1679EEBB" w14:textId="77777777" w:rsidR="00CB7883" w:rsidRPr="000C42E6" w:rsidRDefault="00CB7883" w:rsidP="00CB7883">
      <w:pPr>
        <w:spacing w:after="0" w:line="276" w:lineRule="auto"/>
        <w:jc w:val="both"/>
        <w:rPr>
          <w:rFonts w:ascii="Arial" w:eastAsia="Calibri" w:hAnsi="Arial" w:cs="Arial"/>
          <w:b/>
          <w:sz w:val="20"/>
          <w:szCs w:val="20"/>
        </w:rPr>
      </w:pPr>
    </w:p>
    <w:p w14:paraId="5EC83D0B" w14:textId="650082FB" w:rsidR="00CB7883" w:rsidRPr="000C42E6" w:rsidRDefault="00FD0AD3" w:rsidP="00CB7883">
      <w:pPr>
        <w:spacing w:after="200" w:line="276" w:lineRule="auto"/>
        <w:rPr>
          <w:rFonts w:ascii="Arial" w:eastAsia="Times New Roman" w:hAnsi="Arial" w:cs="Arial"/>
          <w:bCs/>
          <w:color w:val="000000"/>
          <w:sz w:val="20"/>
          <w:szCs w:val="20"/>
          <w:lang w:eastAsia="es-MX"/>
        </w:rPr>
      </w:pPr>
      <w:r w:rsidRPr="000C42E6">
        <w:rPr>
          <w:rFonts w:ascii="Arial" w:eastAsia="Calibri" w:hAnsi="Arial" w:cs="Arial"/>
          <w:sz w:val="20"/>
          <w:szCs w:val="20"/>
        </w:rPr>
        <w:t xml:space="preserve">El saldo de este </w:t>
      </w:r>
      <w:r w:rsidR="00CB7883" w:rsidRPr="000C42E6">
        <w:rPr>
          <w:rFonts w:ascii="Arial" w:eastAsia="Calibri" w:hAnsi="Arial" w:cs="Arial"/>
          <w:sz w:val="20"/>
          <w:szCs w:val="20"/>
        </w:rPr>
        <w:t xml:space="preserve">rubro es por </w:t>
      </w:r>
      <w:r w:rsidR="00CB7883" w:rsidRPr="000C42E6">
        <w:rPr>
          <w:rFonts w:ascii="Arial" w:eastAsia="Calibri" w:hAnsi="Arial" w:cs="Arial"/>
          <w:b/>
          <w:sz w:val="20"/>
          <w:szCs w:val="20"/>
        </w:rPr>
        <w:t>$</w:t>
      </w:r>
      <w:r w:rsidR="005D150A" w:rsidRPr="000C42E6">
        <w:rPr>
          <w:rFonts w:ascii="Arial" w:eastAsia="Times New Roman" w:hAnsi="Arial" w:cs="Arial"/>
          <w:b/>
          <w:bCs/>
          <w:color w:val="000000"/>
          <w:sz w:val="20"/>
          <w:szCs w:val="20"/>
          <w:lang w:eastAsia="es-MX"/>
        </w:rPr>
        <w:t>490</w:t>
      </w:r>
      <w:proofErr w:type="gramStart"/>
      <w:r w:rsidR="005D150A" w:rsidRPr="000C42E6">
        <w:rPr>
          <w:rFonts w:ascii="Arial" w:eastAsia="Times New Roman" w:hAnsi="Arial" w:cs="Arial"/>
          <w:b/>
          <w:bCs/>
          <w:color w:val="000000"/>
          <w:sz w:val="20"/>
          <w:szCs w:val="20"/>
          <w:lang w:eastAsia="es-MX"/>
        </w:rPr>
        <w:t>,515,916</w:t>
      </w:r>
      <w:proofErr w:type="gramEnd"/>
      <w:r w:rsidRPr="000C42E6">
        <w:rPr>
          <w:rFonts w:ascii="Arial" w:eastAsia="Times New Roman" w:hAnsi="Arial" w:cs="Arial"/>
          <w:bCs/>
          <w:color w:val="000000"/>
          <w:sz w:val="20"/>
          <w:szCs w:val="20"/>
          <w:lang w:eastAsia="es-MX"/>
        </w:rPr>
        <w:t xml:space="preserve"> y se integra como sigue:</w:t>
      </w:r>
    </w:p>
    <w:p w14:paraId="42DAC947" w14:textId="7F12BE34" w:rsidR="00A61C93" w:rsidRDefault="00CB7883" w:rsidP="00A61C93">
      <w:pPr>
        <w:jc w:val="both"/>
        <w:rPr>
          <w:rFonts w:ascii="Arial" w:eastAsia="Times New Roman" w:hAnsi="Arial" w:cs="Arial"/>
          <w:b/>
          <w:color w:val="000000"/>
          <w:sz w:val="20"/>
          <w:szCs w:val="20"/>
          <w:lang w:eastAsia="es-MX"/>
        </w:rPr>
      </w:pPr>
      <w:r w:rsidRPr="000C42E6">
        <w:rPr>
          <w:rFonts w:ascii="Arial" w:eastAsia="Times New Roman" w:hAnsi="Arial" w:cs="Arial"/>
          <w:color w:val="000000"/>
          <w:sz w:val="20"/>
          <w:szCs w:val="20"/>
          <w:lang w:eastAsia="es-MX"/>
        </w:rPr>
        <w:lastRenderedPageBreak/>
        <w:t xml:space="preserve"> </w:t>
      </w:r>
      <w:r w:rsidRPr="000C42E6">
        <w:rPr>
          <w:rFonts w:ascii="Arial" w:eastAsia="Calibri" w:hAnsi="Arial" w:cs="Arial"/>
          <w:color w:val="000000"/>
          <w:sz w:val="20"/>
          <w:szCs w:val="20"/>
          <w:lang w:eastAsia="es-MX"/>
        </w:rPr>
        <w:t>Fideicomisos, Mandatos y Contratos Análogos</w:t>
      </w:r>
      <w:r w:rsidRPr="000C42E6">
        <w:rPr>
          <w:rFonts w:ascii="Arial" w:eastAsia="Calibri" w:hAnsi="Arial" w:cs="Arial"/>
          <w:b/>
          <w:color w:val="000000"/>
          <w:sz w:val="20"/>
          <w:szCs w:val="20"/>
          <w:lang w:eastAsia="es-MX"/>
        </w:rPr>
        <w:t>: $</w:t>
      </w:r>
      <w:r w:rsidR="005D150A" w:rsidRPr="000C42E6">
        <w:rPr>
          <w:rFonts w:ascii="Arial" w:eastAsia="Times New Roman" w:hAnsi="Arial" w:cs="Arial"/>
          <w:b/>
          <w:color w:val="000000"/>
          <w:sz w:val="20"/>
          <w:szCs w:val="20"/>
          <w:lang w:eastAsia="es-MX"/>
        </w:rPr>
        <w:t>445</w:t>
      </w:r>
      <w:proofErr w:type="gramStart"/>
      <w:r w:rsidR="005D150A" w:rsidRPr="000C42E6">
        <w:rPr>
          <w:rFonts w:ascii="Arial" w:eastAsia="Times New Roman" w:hAnsi="Arial" w:cs="Arial"/>
          <w:b/>
          <w:color w:val="000000"/>
          <w:sz w:val="20"/>
          <w:szCs w:val="20"/>
          <w:lang w:eastAsia="es-MX"/>
        </w:rPr>
        <w:t>,710,902</w:t>
      </w:r>
      <w:proofErr w:type="gramEnd"/>
    </w:p>
    <w:p w14:paraId="6CEC358D" w14:textId="4E7CC055" w:rsidR="00CB7883" w:rsidRPr="000C42E6" w:rsidRDefault="00CB7883" w:rsidP="0057668A">
      <w:pPr>
        <w:pStyle w:val="Prrafodelista"/>
        <w:numPr>
          <w:ilvl w:val="0"/>
          <w:numId w:val="26"/>
        </w:numPr>
        <w:jc w:val="both"/>
        <w:rPr>
          <w:rFonts w:ascii="Arial" w:eastAsia="Calibri" w:hAnsi="Arial" w:cs="Arial"/>
          <w:color w:val="000000"/>
          <w:sz w:val="20"/>
          <w:szCs w:val="20"/>
          <w:lang w:eastAsia="es-MX"/>
        </w:rPr>
      </w:pPr>
      <w:r w:rsidRPr="000C42E6">
        <w:rPr>
          <w:rFonts w:ascii="Arial" w:eastAsia="Calibri" w:hAnsi="Arial" w:cs="Arial"/>
          <w:color w:val="000000"/>
          <w:sz w:val="20"/>
          <w:szCs w:val="20"/>
          <w:lang w:eastAsia="es-MX"/>
        </w:rPr>
        <w:t xml:space="preserve"> cuyo desglose está en el numeral </w:t>
      </w:r>
      <w:r w:rsidR="0096095A" w:rsidRPr="000C42E6">
        <w:rPr>
          <w:rFonts w:ascii="Arial" w:eastAsia="Calibri" w:hAnsi="Arial" w:cs="Arial"/>
          <w:b/>
          <w:color w:val="000000"/>
          <w:sz w:val="20"/>
          <w:szCs w:val="20"/>
          <w:lang w:eastAsia="es-MX"/>
        </w:rPr>
        <w:t>3</w:t>
      </w:r>
      <w:r w:rsidR="0096095A" w:rsidRPr="000C42E6">
        <w:rPr>
          <w:rFonts w:ascii="Arial" w:eastAsia="Calibri" w:hAnsi="Arial" w:cs="Arial"/>
          <w:color w:val="000000"/>
          <w:sz w:val="20"/>
          <w:szCs w:val="20"/>
          <w:lang w:eastAsia="es-MX"/>
        </w:rPr>
        <w:t xml:space="preserve"> </w:t>
      </w:r>
      <w:proofErr w:type="gramStart"/>
      <w:r w:rsidR="00703AB5" w:rsidRPr="000C42E6">
        <w:rPr>
          <w:rFonts w:ascii="Arial" w:eastAsia="Calibri" w:hAnsi="Arial" w:cs="Arial"/>
          <w:color w:val="000000"/>
          <w:sz w:val="20"/>
          <w:szCs w:val="20"/>
          <w:lang w:eastAsia="es-MX"/>
        </w:rPr>
        <w:t>inciso</w:t>
      </w:r>
      <w:proofErr w:type="gramEnd"/>
      <w:r w:rsidR="0096095A" w:rsidRPr="000C42E6">
        <w:rPr>
          <w:rFonts w:ascii="Arial" w:eastAsia="Calibri" w:hAnsi="Arial" w:cs="Arial"/>
          <w:color w:val="000000"/>
          <w:sz w:val="20"/>
          <w:szCs w:val="20"/>
          <w:lang w:eastAsia="es-MX"/>
        </w:rPr>
        <w:t xml:space="preserve"> </w:t>
      </w:r>
      <w:proofErr w:type="spellStart"/>
      <w:r w:rsidR="0096095A" w:rsidRPr="000C42E6">
        <w:rPr>
          <w:rFonts w:ascii="Arial" w:eastAsia="Calibri" w:hAnsi="Arial" w:cs="Arial"/>
          <w:color w:val="000000"/>
          <w:sz w:val="20"/>
          <w:szCs w:val="20"/>
          <w:lang w:eastAsia="es-MX"/>
        </w:rPr>
        <w:t>g.a</w:t>
      </w:r>
      <w:proofErr w:type="spellEnd"/>
      <w:r w:rsidRPr="000C42E6">
        <w:rPr>
          <w:rFonts w:ascii="Arial" w:eastAsia="Calibri" w:hAnsi="Arial" w:cs="Arial"/>
          <w:color w:val="000000"/>
          <w:sz w:val="20"/>
          <w:szCs w:val="20"/>
          <w:lang w:eastAsia="es-MX"/>
        </w:rPr>
        <w:t xml:space="preserve"> de las Notas de Gestión Administrativa.</w:t>
      </w:r>
    </w:p>
    <w:p w14:paraId="3CCF5F94" w14:textId="77777777" w:rsidR="00CC137B" w:rsidRPr="000C42E6" w:rsidRDefault="00CB7883" w:rsidP="008218DB">
      <w:pPr>
        <w:numPr>
          <w:ilvl w:val="0"/>
          <w:numId w:val="14"/>
        </w:numPr>
        <w:spacing w:after="0" w:line="240" w:lineRule="auto"/>
        <w:contextualSpacing/>
        <w:jc w:val="both"/>
        <w:rPr>
          <w:rFonts w:ascii="Arial" w:eastAsia="Calibri" w:hAnsi="Arial" w:cs="Arial"/>
          <w:b/>
          <w:color w:val="000000"/>
          <w:sz w:val="20"/>
          <w:szCs w:val="20"/>
          <w:lang w:eastAsia="es-MX"/>
        </w:rPr>
      </w:pPr>
      <w:r w:rsidRPr="000C42E6">
        <w:rPr>
          <w:rFonts w:ascii="Arial" w:eastAsia="Calibri" w:hAnsi="Arial" w:cs="Arial"/>
          <w:color w:val="000000"/>
          <w:sz w:val="20"/>
          <w:szCs w:val="20"/>
          <w:lang w:eastAsia="es-MX"/>
        </w:rPr>
        <w:t xml:space="preserve">Participaciones y Aportaciones de Capital: </w:t>
      </w:r>
      <w:r w:rsidR="002D7BFB" w:rsidRPr="000C42E6">
        <w:rPr>
          <w:rFonts w:ascii="Arial" w:eastAsia="Calibri" w:hAnsi="Arial" w:cs="Arial"/>
          <w:b/>
          <w:color w:val="000000"/>
          <w:sz w:val="20"/>
          <w:szCs w:val="20"/>
          <w:lang w:eastAsia="es-MX"/>
        </w:rPr>
        <w:t>$44,805,014</w:t>
      </w:r>
    </w:p>
    <w:p w14:paraId="53B7B7B8" w14:textId="77777777" w:rsidR="00135E1D" w:rsidRPr="000C42E6" w:rsidRDefault="00135E1D" w:rsidP="00135E1D">
      <w:pPr>
        <w:spacing w:after="0" w:line="240" w:lineRule="auto"/>
        <w:ind w:left="720"/>
        <w:contextualSpacing/>
        <w:jc w:val="both"/>
        <w:rPr>
          <w:rFonts w:ascii="Arial" w:eastAsia="Calibri" w:hAnsi="Arial" w:cs="Arial"/>
          <w:b/>
          <w:color w:val="000000"/>
          <w:sz w:val="20"/>
          <w:szCs w:val="20"/>
          <w:lang w:eastAsia="es-MX"/>
        </w:rPr>
      </w:pPr>
    </w:p>
    <w:p w14:paraId="5147F754" w14:textId="77777777" w:rsidR="00077516" w:rsidRPr="000C42E6" w:rsidRDefault="00077516" w:rsidP="006B4F1C">
      <w:pPr>
        <w:spacing w:after="0" w:line="240" w:lineRule="auto"/>
        <w:ind w:left="720"/>
        <w:contextualSpacing/>
        <w:jc w:val="both"/>
        <w:rPr>
          <w:rFonts w:ascii="Arial" w:eastAsia="Calibri" w:hAnsi="Arial" w:cs="Arial"/>
          <w:b/>
          <w:color w:val="000000"/>
          <w:sz w:val="20"/>
          <w:szCs w:val="20"/>
          <w:lang w:eastAsia="es-MX"/>
        </w:rPr>
      </w:pPr>
    </w:p>
    <w:tbl>
      <w:tblPr>
        <w:tblW w:w="9869" w:type="dxa"/>
        <w:jc w:val="center"/>
        <w:tblCellMar>
          <w:left w:w="70" w:type="dxa"/>
          <w:right w:w="70" w:type="dxa"/>
        </w:tblCellMar>
        <w:tblLook w:val="04A0" w:firstRow="1" w:lastRow="0" w:firstColumn="1" w:lastColumn="0" w:noHBand="0" w:noVBand="1"/>
      </w:tblPr>
      <w:tblGrid>
        <w:gridCol w:w="5973"/>
        <w:gridCol w:w="1838"/>
        <w:gridCol w:w="1417"/>
        <w:gridCol w:w="641"/>
      </w:tblGrid>
      <w:tr w:rsidR="00D06F7A" w:rsidRPr="000C42E6" w14:paraId="1DFEF201" w14:textId="77777777" w:rsidTr="00A23566">
        <w:trPr>
          <w:trHeight w:val="741"/>
          <w:jc w:val="center"/>
        </w:trPr>
        <w:tc>
          <w:tcPr>
            <w:tcW w:w="597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235757B" w14:textId="77777777" w:rsidR="00D06F7A" w:rsidRPr="000C42E6" w:rsidRDefault="00D06F7A" w:rsidP="00D06F7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Participaciones y Aportaciones de Capital</w:t>
            </w:r>
          </w:p>
        </w:tc>
        <w:tc>
          <w:tcPr>
            <w:tcW w:w="1838" w:type="dxa"/>
            <w:tcBorders>
              <w:top w:val="single" w:sz="4" w:space="0" w:color="auto"/>
              <w:left w:val="nil"/>
              <w:bottom w:val="single" w:sz="4" w:space="0" w:color="auto"/>
              <w:right w:val="single" w:sz="4" w:space="0" w:color="auto"/>
            </w:tcBorders>
            <w:shd w:val="clear" w:color="000000" w:fill="A6A6A6"/>
            <w:vAlign w:val="center"/>
            <w:hideMark/>
          </w:tcPr>
          <w:p w14:paraId="37E8D1EA" w14:textId="77777777" w:rsidR="00D06F7A" w:rsidRPr="000C42E6" w:rsidRDefault="00D06F7A" w:rsidP="00D06F7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Porcentaje de Participación del Gobierno del Estado</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14:paraId="79C9DCDD" w14:textId="7BFC7F03" w:rsidR="00D06F7A" w:rsidRPr="000C42E6" w:rsidRDefault="00710741" w:rsidP="00D06F7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Saldos al 31 de diciembre 2025</w:t>
            </w:r>
          </w:p>
        </w:tc>
        <w:tc>
          <w:tcPr>
            <w:tcW w:w="641" w:type="dxa"/>
            <w:tcBorders>
              <w:top w:val="single" w:sz="4" w:space="0" w:color="auto"/>
              <w:left w:val="nil"/>
              <w:bottom w:val="single" w:sz="4" w:space="0" w:color="auto"/>
              <w:right w:val="single" w:sz="4" w:space="0" w:color="auto"/>
            </w:tcBorders>
            <w:shd w:val="clear" w:color="000000" w:fill="A6A6A6"/>
            <w:vAlign w:val="center"/>
            <w:hideMark/>
          </w:tcPr>
          <w:p w14:paraId="502B08D7" w14:textId="77777777" w:rsidR="00D06F7A" w:rsidRPr="000C42E6" w:rsidRDefault="00D06F7A" w:rsidP="00D06F7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D06F7A" w:rsidRPr="000C42E6" w14:paraId="3C1B5DF6" w14:textId="77777777" w:rsidTr="00A23566">
        <w:trPr>
          <w:trHeight w:val="219"/>
          <w:jc w:val="center"/>
        </w:trPr>
        <w:tc>
          <w:tcPr>
            <w:tcW w:w="5973" w:type="dxa"/>
            <w:tcBorders>
              <w:top w:val="nil"/>
              <w:left w:val="single" w:sz="4" w:space="0" w:color="auto"/>
              <w:bottom w:val="single" w:sz="4" w:space="0" w:color="auto"/>
              <w:right w:val="single" w:sz="4" w:space="0" w:color="auto"/>
            </w:tcBorders>
            <w:vAlign w:val="center"/>
            <w:hideMark/>
          </w:tcPr>
          <w:p w14:paraId="5896D84B" w14:textId="77777777" w:rsidR="00D06F7A" w:rsidRPr="000C42E6" w:rsidRDefault="00D06F7A" w:rsidP="00D06F7A">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Televisión Tabasqueña S.A de C.V.</w:t>
            </w:r>
          </w:p>
        </w:tc>
        <w:tc>
          <w:tcPr>
            <w:tcW w:w="1838" w:type="dxa"/>
            <w:tcBorders>
              <w:top w:val="nil"/>
              <w:left w:val="nil"/>
              <w:bottom w:val="single" w:sz="4" w:space="0" w:color="auto"/>
              <w:right w:val="single" w:sz="4" w:space="0" w:color="auto"/>
            </w:tcBorders>
            <w:vAlign w:val="center"/>
            <w:hideMark/>
          </w:tcPr>
          <w:p w14:paraId="2DF49D79"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99.93</w:t>
            </w:r>
          </w:p>
        </w:tc>
        <w:tc>
          <w:tcPr>
            <w:tcW w:w="1417" w:type="dxa"/>
            <w:tcBorders>
              <w:top w:val="nil"/>
              <w:left w:val="nil"/>
              <w:bottom w:val="single" w:sz="4" w:space="0" w:color="auto"/>
              <w:right w:val="single" w:sz="4" w:space="0" w:color="auto"/>
            </w:tcBorders>
            <w:vAlign w:val="center"/>
            <w:hideMark/>
          </w:tcPr>
          <w:p w14:paraId="1C49F7D6" w14:textId="77777777" w:rsidR="00D06F7A" w:rsidRPr="000C42E6" w:rsidRDefault="00D06F7A" w:rsidP="00D06F7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1,399,000</w:t>
            </w:r>
          </w:p>
        </w:tc>
        <w:tc>
          <w:tcPr>
            <w:tcW w:w="641" w:type="dxa"/>
            <w:tcBorders>
              <w:top w:val="nil"/>
              <w:left w:val="nil"/>
              <w:bottom w:val="single" w:sz="4" w:space="0" w:color="auto"/>
              <w:right w:val="single" w:sz="4" w:space="0" w:color="auto"/>
            </w:tcBorders>
            <w:vAlign w:val="center"/>
            <w:hideMark/>
          </w:tcPr>
          <w:p w14:paraId="5CB58E27"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3.12</w:t>
            </w:r>
          </w:p>
        </w:tc>
      </w:tr>
      <w:tr w:rsidR="00D06F7A" w:rsidRPr="000C42E6" w14:paraId="5D9EE697" w14:textId="77777777" w:rsidTr="00A23566">
        <w:trPr>
          <w:trHeight w:val="300"/>
          <w:jc w:val="center"/>
        </w:trPr>
        <w:tc>
          <w:tcPr>
            <w:tcW w:w="5973" w:type="dxa"/>
            <w:tcBorders>
              <w:top w:val="nil"/>
              <w:left w:val="single" w:sz="4" w:space="0" w:color="auto"/>
              <w:bottom w:val="single" w:sz="4" w:space="0" w:color="auto"/>
              <w:right w:val="single" w:sz="4" w:space="0" w:color="auto"/>
            </w:tcBorders>
            <w:vAlign w:val="center"/>
            <w:hideMark/>
          </w:tcPr>
          <w:p w14:paraId="00F08083" w14:textId="77777777" w:rsidR="00D06F7A" w:rsidRPr="000C42E6" w:rsidRDefault="00D06F7A" w:rsidP="00D06F7A">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Espectáculos Deportivos de Tabasco S.A de C.V.</w:t>
            </w:r>
          </w:p>
        </w:tc>
        <w:tc>
          <w:tcPr>
            <w:tcW w:w="1838" w:type="dxa"/>
            <w:tcBorders>
              <w:top w:val="nil"/>
              <w:left w:val="nil"/>
              <w:bottom w:val="single" w:sz="4" w:space="0" w:color="auto"/>
              <w:right w:val="single" w:sz="4" w:space="0" w:color="auto"/>
            </w:tcBorders>
            <w:vAlign w:val="center"/>
            <w:hideMark/>
          </w:tcPr>
          <w:p w14:paraId="257EC269"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99.99</w:t>
            </w:r>
          </w:p>
        </w:tc>
        <w:tc>
          <w:tcPr>
            <w:tcW w:w="1417" w:type="dxa"/>
            <w:tcBorders>
              <w:top w:val="nil"/>
              <w:left w:val="nil"/>
              <w:bottom w:val="single" w:sz="4" w:space="0" w:color="auto"/>
              <w:right w:val="single" w:sz="4" w:space="0" w:color="auto"/>
            </w:tcBorders>
            <w:vAlign w:val="center"/>
            <w:hideMark/>
          </w:tcPr>
          <w:p w14:paraId="0AF4FF0E" w14:textId="77777777" w:rsidR="00D06F7A" w:rsidRPr="000C42E6" w:rsidRDefault="00D06F7A" w:rsidP="00D06F7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20,138,466</w:t>
            </w:r>
          </w:p>
        </w:tc>
        <w:tc>
          <w:tcPr>
            <w:tcW w:w="641" w:type="dxa"/>
            <w:tcBorders>
              <w:top w:val="nil"/>
              <w:left w:val="nil"/>
              <w:bottom w:val="single" w:sz="4" w:space="0" w:color="auto"/>
              <w:right w:val="single" w:sz="4" w:space="0" w:color="auto"/>
            </w:tcBorders>
            <w:vAlign w:val="center"/>
            <w:hideMark/>
          </w:tcPr>
          <w:p w14:paraId="73E970F2"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44.95</w:t>
            </w:r>
          </w:p>
        </w:tc>
      </w:tr>
      <w:tr w:rsidR="00D06F7A" w:rsidRPr="000C42E6" w14:paraId="4D051338" w14:textId="77777777" w:rsidTr="00A23566">
        <w:trPr>
          <w:trHeight w:val="113"/>
          <w:jc w:val="center"/>
        </w:trPr>
        <w:tc>
          <w:tcPr>
            <w:tcW w:w="5973" w:type="dxa"/>
            <w:tcBorders>
              <w:top w:val="nil"/>
              <w:left w:val="single" w:sz="4" w:space="0" w:color="auto"/>
              <w:bottom w:val="single" w:sz="4" w:space="0" w:color="auto"/>
              <w:right w:val="single" w:sz="4" w:space="0" w:color="auto"/>
            </w:tcBorders>
            <w:vAlign w:val="center"/>
            <w:hideMark/>
          </w:tcPr>
          <w:p w14:paraId="34011C07" w14:textId="77777777" w:rsidR="00D06F7A" w:rsidRPr="000C42E6" w:rsidRDefault="00D06F7A" w:rsidP="00D06F7A">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Administración Portuaria Integral de Tabasco S.A de C.V.</w:t>
            </w:r>
          </w:p>
        </w:tc>
        <w:tc>
          <w:tcPr>
            <w:tcW w:w="1838" w:type="dxa"/>
            <w:tcBorders>
              <w:top w:val="nil"/>
              <w:left w:val="nil"/>
              <w:bottom w:val="single" w:sz="4" w:space="0" w:color="auto"/>
              <w:right w:val="single" w:sz="4" w:space="0" w:color="auto"/>
            </w:tcBorders>
            <w:vAlign w:val="center"/>
            <w:hideMark/>
          </w:tcPr>
          <w:p w14:paraId="299D04F9"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99.96</w:t>
            </w:r>
          </w:p>
        </w:tc>
        <w:tc>
          <w:tcPr>
            <w:tcW w:w="1417" w:type="dxa"/>
            <w:tcBorders>
              <w:top w:val="nil"/>
              <w:left w:val="nil"/>
              <w:bottom w:val="single" w:sz="4" w:space="0" w:color="auto"/>
              <w:right w:val="single" w:sz="4" w:space="0" w:color="auto"/>
            </w:tcBorders>
            <w:vAlign w:val="center"/>
            <w:hideMark/>
          </w:tcPr>
          <w:p w14:paraId="07D4826D" w14:textId="77777777" w:rsidR="00D06F7A" w:rsidRPr="000C42E6" w:rsidRDefault="00D06F7A" w:rsidP="00D06F7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7,058,318</w:t>
            </w:r>
          </w:p>
        </w:tc>
        <w:tc>
          <w:tcPr>
            <w:tcW w:w="641" w:type="dxa"/>
            <w:tcBorders>
              <w:top w:val="nil"/>
              <w:left w:val="nil"/>
              <w:bottom w:val="single" w:sz="4" w:space="0" w:color="auto"/>
              <w:right w:val="single" w:sz="4" w:space="0" w:color="auto"/>
            </w:tcBorders>
            <w:vAlign w:val="center"/>
            <w:hideMark/>
          </w:tcPr>
          <w:p w14:paraId="7E9C4B63"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15.75</w:t>
            </w:r>
          </w:p>
        </w:tc>
      </w:tr>
      <w:tr w:rsidR="00D06F7A" w:rsidRPr="000C42E6" w14:paraId="61170D7C" w14:textId="77777777" w:rsidTr="00A23566">
        <w:trPr>
          <w:trHeight w:val="146"/>
          <w:jc w:val="center"/>
        </w:trPr>
        <w:tc>
          <w:tcPr>
            <w:tcW w:w="5973" w:type="dxa"/>
            <w:tcBorders>
              <w:top w:val="nil"/>
              <w:left w:val="single" w:sz="4" w:space="0" w:color="auto"/>
              <w:bottom w:val="single" w:sz="4" w:space="0" w:color="auto"/>
              <w:right w:val="single" w:sz="4" w:space="0" w:color="auto"/>
            </w:tcBorders>
            <w:vAlign w:val="center"/>
            <w:hideMark/>
          </w:tcPr>
          <w:p w14:paraId="56BF27BB" w14:textId="77777777" w:rsidR="00D06F7A" w:rsidRPr="000C42E6" w:rsidRDefault="00D06F7A" w:rsidP="00D06F7A">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Movilidad Integral de Tabasco, S.A de C.V.</w:t>
            </w:r>
          </w:p>
        </w:tc>
        <w:tc>
          <w:tcPr>
            <w:tcW w:w="1838" w:type="dxa"/>
            <w:tcBorders>
              <w:top w:val="nil"/>
              <w:left w:val="nil"/>
              <w:bottom w:val="single" w:sz="4" w:space="0" w:color="auto"/>
              <w:right w:val="single" w:sz="4" w:space="0" w:color="auto"/>
            </w:tcBorders>
            <w:vAlign w:val="center"/>
            <w:hideMark/>
          </w:tcPr>
          <w:p w14:paraId="7E640958"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99</w:t>
            </w:r>
          </w:p>
        </w:tc>
        <w:tc>
          <w:tcPr>
            <w:tcW w:w="1417" w:type="dxa"/>
            <w:tcBorders>
              <w:top w:val="nil"/>
              <w:left w:val="nil"/>
              <w:bottom w:val="single" w:sz="4" w:space="0" w:color="auto"/>
              <w:right w:val="single" w:sz="4" w:space="0" w:color="auto"/>
            </w:tcBorders>
            <w:vAlign w:val="center"/>
            <w:hideMark/>
          </w:tcPr>
          <w:p w14:paraId="5EC7820F" w14:textId="77777777" w:rsidR="00D06F7A" w:rsidRPr="000C42E6" w:rsidRDefault="00D06F7A" w:rsidP="00D06F7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5,015,872</w:t>
            </w:r>
          </w:p>
        </w:tc>
        <w:tc>
          <w:tcPr>
            <w:tcW w:w="641" w:type="dxa"/>
            <w:tcBorders>
              <w:top w:val="nil"/>
              <w:left w:val="nil"/>
              <w:bottom w:val="single" w:sz="4" w:space="0" w:color="auto"/>
              <w:right w:val="single" w:sz="4" w:space="0" w:color="auto"/>
            </w:tcBorders>
            <w:vAlign w:val="center"/>
            <w:hideMark/>
          </w:tcPr>
          <w:p w14:paraId="26D5547D"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11.19</w:t>
            </w:r>
          </w:p>
        </w:tc>
      </w:tr>
      <w:tr w:rsidR="00D06F7A" w:rsidRPr="000C42E6" w14:paraId="39124CF2" w14:textId="77777777" w:rsidTr="00A23566">
        <w:trPr>
          <w:trHeight w:val="300"/>
          <w:jc w:val="center"/>
        </w:trPr>
        <w:tc>
          <w:tcPr>
            <w:tcW w:w="5973" w:type="dxa"/>
            <w:tcBorders>
              <w:top w:val="nil"/>
              <w:left w:val="single" w:sz="4" w:space="0" w:color="auto"/>
              <w:bottom w:val="single" w:sz="4" w:space="0" w:color="auto"/>
              <w:right w:val="single" w:sz="4" w:space="0" w:color="auto"/>
            </w:tcBorders>
            <w:vAlign w:val="center"/>
            <w:hideMark/>
          </w:tcPr>
          <w:p w14:paraId="4C6D323A" w14:textId="77777777" w:rsidR="00D06F7A" w:rsidRPr="000C42E6" w:rsidRDefault="00D06F7A" w:rsidP="00D06F7A">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Puerto Industrial Frontera Tabasco, S.A.P.I. de C.V.</w:t>
            </w:r>
          </w:p>
        </w:tc>
        <w:tc>
          <w:tcPr>
            <w:tcW w:w="1838" w:type="dxa"/>
            <w:tcBorders>
              <w:top w:val="nil"/>
              <w:left w:val="nil"/>
              <w:bottom w:val="single" w:sz="4" w:space="0" w:color="auto"/>
              <w:right w:val="single" w:sz="4" w:space="0" w:color="auto"/>
            </w:tcBorders>
            <w:vAlign w:val="center"/>
            <w:hideMark/>
          </w:tcPr>
          <w:p w14:paraId="142CAF4B" w14:textId="77777777" w:rsidR="00D06F7A" w:rsidRPr="000C42E6" w:rsidRDefault="00D06F7A"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100</w:t>
            </w:r>
          </w:p>
        </w:tc>
        <w:tc>
          <w:tcPr>
            <w:tcW w:w="1417" w:type="dxa"/>
            <w:tcBorders>
              <w:top w:val="nil"/>
              <w:left w:val="nil"/>
              <w:bottom w:val="single" w:sz="4" w:space="0" w:color="auto"/>
              <w:right w:val="single" w:sz="4" w:space="0" w:color="auto"/>
            </w:tcBorders>
            <w:vAlign w:val="center"/>
            <w:hideMark/>
          </w:tcPr>
          <w:p w14:paraId="114D8A05" w14:textId="77777777" w:rsidR="00D06F7A" w:rsidRPr="000C42E6" w:rsidRDefault="00D06F7A" w:rsidP="00D06F7A">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11,193,358</w:t>
            </w:r>
          </w:p>
        </w:tc>
        <w:tc>
          <w:tcPr>
            <w:tcW w:w="641" w:type="dxa"/>
            <w:tcBorders>
              <w:top w:val="nil"/>
              <w:left w:val="nil"/>
              <w:bottom w:val="single" w:sz="4" w:space="0" w:color="auto"/>
              <w:right w:val="single" w:sz="4" w:space="0" w:color="auto"/>
            </w:tcBorders>
            <w:vAlign w:val="center"/>
            <w:hideMark/>
          </w:tcPr>
          <w:p w14:paraId="66B49703" w14:textId="77777777" w:rsidR="00D06F7A" w:rsidRPr="000C42E6" w:rsidRDefault="009538C4" w:rsidP="00D06F7A">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24.99</w:t>
            </w:r>
          </w:p>
        </w:tc>
      </w:tr>
      <w:tr w:rsidR="00D06F7A" w:rsidRPr="000C42E6" w14:paraId="4F96D01F" w14:textId="77777777" w:rsidTr="00A23566">
        <w:trPr>
          <w:trHeight w:val="300"/>
          <w:jc w:val="center"/>
        </w:trPr>
        <w:tc>
          <w:tcPr>
            <w:tcW w:w="5973" w:type="dxa"/>
            <w:tcBorders>
              <w:top w:val="nil"/>
              <w:left w:val="single" w:sz="4" w:space="0" w:color="auto"/>
              <w:bottom w:val="single" w:sz="4" w:space="0" w:color="auto"/>
              <w:right w:val="single" w:sz="4" w:space="0" w:color="auto"/>
            </w:tcBorders>
            <w:vAlign w:val="center"/>
            <w:hideMark/>
          </w:tcPr>
          <w:p w14:paraId="0E1EA740" w14:textId="77777777" w:rsidR="00D06F7A" w:rsidRPr="000C42E6" w:rsidRDefault="00D06F7A" w:rsidP="00D06F7A">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838" w:type="dxa"/>
            <w:tcBorders>
              <w:top w:val="nil"/>
              <w:left w:val="nil"/>
              <w:bottom w:val="single" w:sz="4" w:space="0" w:color="auto"/>
              <w:right w:val="single" w:sz="4" w:space="0" w:color="auto"/>
            </w:tcBorders>
            <w:vAlign w:val="center"/>
            <w:hideMark/>
          </w:tcPr>
          <w:p w14:paraId="4902F2BA" w14:textId="77777777" w:rsidR="00D06F7A" w:rsidRPr="000C42E6" w:rsidRDefault="00D06F7A" w:rsidP="00D06F7A">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w:t>
            </w:r>
          </w:p>
        </w:tc>
        <w:tc>
          <w:tcPr>
            <w:tcW w:w="1417" w:type="dxa"/>
            <w:tcBorders>
              <w:top w:val="nil"/>
              <w:left w:val="nil"/>
              <w:bottom w:val="single" w:sz="4" w:space="0" w:color="auto"/>
              <w:right w:val="single" w:sz="4" w:space="0" w:color="auto"/>
            </w:tcBorders>
            <w:vAlign w:val="center"/>
            <w:hideMark/>
          </w:tcPr>
          <w:p w14:paraId="1126B76B" w14:textId="77777777" w:rsidR="00D06F7A" w:rsidRPr="000C42E6" w:rsidRDefault="00D06F7A" w:rsidP="00D06F7A">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44,805,014</w:t>
            </w:r>
          </w:p>
        </w:tc>
        <w:tc>
          <w:tcPr>
            <w:tcW w:w="641" w:type="dxa"/>
            <w:tcBorders>
              <w:top w:val="nil"/>
              <w:left w:val="nil"/>
              <w:bottom w:val="single" w:sz="4" w:space="0" w:color="auto"/>
              <w:right w:val="single" w:sz="4" w:space="0" w:color="auto"/>
            </w:tcBorders>
            <w:vAlign w:val="center"/>
            <w:hideMark/>
          </w:tcPr>
          <w:p w14:paraId="1557424A" w14:textId="77777777" w:rsidR="00D06F7A" w:rsidRPr="000C42E6" w:rsidRDefault="009264F3" w:rsidP="00D06F7A">
            <w:pPr>
              <w:spacing w:after="0" w:line="240" w:lineRule="auto"/>
              <w:jc w:val="center"/>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100</w:t>
            </w:r>
          </w:p>
        </w:tc>
      </w:tr>
    </w:tbl>
    <w:p w14:paraId="5A565B94" w14:textId="77777777" w:rsidR="006A2B01" w:rsidRDefault="006A2B01" w:rsidP="00CB7883">
      <w:pPr>
        <w:spacing w:after="200" w:line="240" w:lineRule="auto"/>
        <w:jc w:val="both"/>
        <w:rPr>
          <w:rFonts w:ascii="Arial" w:eastAsia="Times New Roman" w:hAnsi="Arial" w:cs="Arial"/>
          <w:b/>
          <w:color w:val="000000"/>
          <w:sz w:val="20"/>
          <w:szCs w:val="20"/>
          <w:u w:val="single"/>
          <w:lang w:eastAsia="es-MX"/>
        </w:rPr>
      </w:pPr>
    </w:p>
    <w:p w14:paraId="0FFF95F2" w14:textId="77777777" w:rsidR="00CB7883" w:rsidRPr="000C42E6" w:rsidRDefault="00CB7883" w:rsidP="00CB7883">
      <w:pPr>
        <w:spacing w:after="200" w:line="240" w:lineRule="auto"/>
        <w:jc w:val="both"/>
        <w:rPr>
          <w:rFonts w:ascii="Arial" w:eastAsia="Times New Roman" w:hAnsi="Arial" w:cs="Arial"/>
          <w:b/>
          <w:color w:val="000000"/>
          <w:sz w:val="20"/>
          <w:szCs w:val="20"/>
          <w:u w:val="single"/>
          <w:lang w:eastAsia="es-MX"/>
        </w:rPr>
      </w:pPr>
      <w:r w:rsidRPr="000C42E6">
        <w:rPr>
          <w:rFonts w:ascii="Arial" w:eastAsia="Times New Roman" w:hAnsi="Arial" w:cs="Arial"/>
          <w:b/>
          <w:color w:val="000000"/>
          <w:sz w:val="20"/>
          <w:szCs w:val="20"/>
          <w:u w:val="single"/>
          <w:lang w:eastAsia="es-MX"/>
        </w:rPr>
        <w:t xml:space="preserve">Derechos a Recibir Efectivo o Equivalentes a Largo Plazo </w:t>
      </w:r>
    </w:p>
    <w:p w14:paraId="5B28213B" w14:textId="77777777" w:rsidR="00CB7883" w:rsidRPr="000C42E6" w:rsidRDefault="00CB7883" w:rsidP="00CB7883">
      <w:pPr>
        <w:spacing w:after="0" w:line="240" w:lineRule="auto"/>
        <w:jc w:val="both"/>
        <w:rPr>
          <w:rFonts w:ascii="Arial" w:eastAsia="Calibri" w:hAnsi="Arial" w:cs="Arial"/>
          <w:sz w:val="20"/>
          <w:szCs w:val="20"/>
        </w:rPr>
      </w:pPr>
      <w:r w:rsidRPr="000C42E6">
        <w:rPr>
          <w:rFonts w:ascii="Arial" w:eastAsia="Calibri" w:hAnsi="Arial" w:cs="Arial"/>
          <w:sz w:val="20"/>
          <w:szCs w:val="20"/>
        </w:rPr>
        <w:t>No se tienen Derechos a Recibir Efectivo o Equivalentes a Largo Plazo</w:t>
      </w:r>
    </w:p>
    <w:p w14:paraId="7D62567C" w14:textId="77777777" w:rsidR="00CB7883" w:rsidRPr="000C42E6" w:rsidRDefault="00CB7883" w:rsidP="00CB7883">
      <w:pPr>
        <w:spacing w:after="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Bienes Inmuebles, Infraestructura y Construcciones en Proceso</w:t>
      </w:r>
    </w:p>
    <w:p w14:paraId="409CCD7B" w14:textId="77777777" w:rsidR="00CB7883" w:rsidRPr="000C42E6" w:rsidRDefault="00CB7883" w:rsidP="00CB7883">
      <w:pPr>
        <w:spacing w:after="0" w:line="240" w:lineRule="auto"/>
        <w:jc w:val="both"/>
        <w:rPr>
          <w:rFonts w:ascii="Arial" w:eastAsia="Calibri" w:hAnsi="Arial" w:cs="Arial"/>
          <w:b/>
          <w:sz w:val="20"/>
          <w:szCs w:val="20"/>
          <w:u w:val="single"/>
        </w:rPr>
      </w:pPr>
    </w:p>
    <w:p w14:paraId="5A83BA07" w14:textId="4028B341" w:rsidR="00CB7883" w:rsidRPr="000C42E6" w:rsidRDefault="00CB7883" w:rsidP="00CB7883">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El saldo de este rubro</w:t>
      </w:r>
      <w:r w:rsidR="00A84015" w:rsidRPr="000C42E6">
        <w:rPr>
          <w:rFonts w:ascii="Arial" w:eastAsia="Times New Roman" w:hAnsi="Arial" w:cs="Arial"/>
          <w:color w:val="000000"/>
          <w:sz w:val="20"/>
          <w:szCs w:val="20"/>
          <w:lang w:eastAsia="es-MX"/>
        </w:rPr>
        <w:t xml:space="preserve"> es por </w:t>
      </w:r>
      <w:r w:rsidR="00AF103E" w:rsidRPr="000C42E6">
        <w:rPr>
          <w:rFonts w:ascii="Arial" w:eastAsia="Times New Roman" w:hAnsi="Arial" w:cs="Arial"/>
          <w:b/>
          <w:color w:val="000000"/>
          <w:sz w:val="20"/>
          <w:szCs w:val="20"/>
          <w:lang w:eastAsia="es-MX"/>
        </w:rPr>
        <w:t>$</w:t>
      </w:r>
      <w:r w:rsidR="0081419D" w:rsidRPr="000C42E6">
        <w:rPr>
          <w:rFonts w:ascii="Arial" w:eastAsia="Times New Roman" w:hAnsi="Arial" w:cs="Arial"/>
          <w:b/>
          <w:color w:val="000000"/>
          <w:sz w:val="20"/>
          <w:szCs w:val="20"/>
          <w:lang w:eastAsia="es-MX"/>
        </w:rPr>
        <w:t>29</w:t>
      </w:r>
      <w:proofErr w:type="gramStart"/>
      <w:r w:rsidR="0081419D" w:rsidRPr="000C42E6">
        <w:rPr>
          <w:rFonts w:ascii="Arial" w:eastAsia="Times New Roman" w:hAnsi="Arial" w:cs="Arial"/>
          <w:b/>
          <w:color w:val="000000"/>
          <w:sz w:val="20"/>
          <w:szCs w:val="20"/>
          <w:lang w:eastAsia="es-MX"/>
        </w:rPr>
        <w:t>,385,388,200</w:t>
      </w:r>
      <w:proofErr w:type="gramEnd"/>
      <w:r w:rsidR="007D37FE" w:rsidRPr="000C42E6">
        <w:rPr>
          <w:rFonts w:ascii="Arial" w:eastAsia="Times New Roman" w:hAnsi="Arial" w:cs="Arial"/>
          <w:color w:val="000000"/>
          <w:sz w:val="20"/>
          <w:szCs w:val="20"/>
          <w:lang w:eastAsia="es-MX"/>
        </w:rPr>
        <w:t xml:space="preserve"> y se </w:t>
      </w:r>
      <w:r w:rsidRPr="000C42E6">
        <w:rPr>
          <w:rFonts w:ascii="Arial" w:eastAsia="Times New Roman" w:hAnsi="Arial" w:cs="Arial"/>
          <w:color w:val="000000"/>
          <w:sz w:val="20"/>
          <w:szCs w:val="20"/>
          <w:lang w:eastAsia="es-MX"/>
        </w:rPr>
        <w:t>integra como sigue:</w:t>
      </w:r>
    </w:p>
    <w:p w14:paraId="636F2249" w14:textId="77777777" w:rsidR="00D43966" w:rsidRPr="000C42E6" w:rsidRDefault="00D43966" w:rsidP="00CB7883">
      <w:pPr>
        <w:spacing w:after="0" w:line="240" w:lineRule="auto"/>
        <w:jc w:val="both"/>
        <w:rPr>
          <w:rFonts w:ascii="Arial" w:eastAsia="Times New Roman" w:hAnsi="Arial" w:cs="Arial"/>
          <w:color w:val="000000"/>
          <w:sz w:val="20"/>
          <w:szCs w:val="20"/>
          <w:lang w:eastAsia="es-MX"/>
        </w:rPr>
      </w:pPr>
    </w:p>
    <w:p w14:paraId="39832ACE" w14:textId="77777777" w:rsidR="00D43966" w:rsidRPr="000C42E6" w:rsidRDefault="00D43966" w:rsidP="00CB7883">
      <w:pPr>
        <w:spacing w:after="0" w:line="240" w:lineRule="auto"/>
        <w:jc w:val="both"/>
        <w:rPr>
          <w:rFonts w:ascii="Arial" w:eastAsia="Times New Roman" w:hAnsi="Arial" w:cs="Arial"/>
          <w:color w:val="000000"/>
          <w:sz w:val="20"/>
          <w:szCs w:val="20"/>
          <w:lang w:eastAsia="es-MX"/>
        </w:rPr>
      </w:pPr>
    </w:p>
    <w:tbl>
      <w:tblPr>
        <w:tblW w:w="10013" w:type="dxa"/>
        <w:jc w:val="center"/>
        <w:tblCellMar>
          <w:left w:w="70" w:type="dxa"/>
          <w:right w:w="70" w:type="dxa"/>
        </w:tblCellMar>
        <w:tblLook w:val="04A0" w:firstRow="1" w:lastRow="0" w:firstColumn="1" w:lastColumn="0" w:noHBand="0" w:noVBand="1"/>
      </w:tblPr>
      <w:tblGrid>
        <w:gridCol w:w="4641"/>
        <w:gridCol w:w="1600"/>
        <w:gridCol w:w="1460"/>
        <w:gridCol w:w="1652"/>
        <w:gridCol w:w="660"/>
      </w:tblGrid>
      <w:tr w:rsidR="00653F23" w:rsidRPr="000C42E6" w14:paraId="772955DC" w14:textId="77777777" w:rsidTr="00A23566">
        <w:trPr>
          <w:trHeight w:val="1096"/>
          <w:jc w:val="center"/>
        </w:trPr>
        <w:tc>
          <w:tcPr>
            <w:tcW w:w="464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7A0FFC8" w14:textId="77777777" w:rsidR="00653F23" w:rsidRPr="000C42E6" w:rsidRDefault="00653F23" w:rsidP="00653F2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Concepto</w:t>
            </w:r>
          </w:p>
        </w:tc>
        <w:tc>
          <w:tcPr>
            <w:tcW w:w="1600" w:type="dxa"/>
            <w:tcBorders>
              <w:top w:val="single" w:sz="4" w:space="0" w:color="auto"/>
              <w:left w:val="nil"/>
              <w:bottom w:val="single" w:sz="4" w:space="0" w:color="auto"/>
              <w:right w:val="single" w:sz="4" w:space="0" w:color="auto"/>
            </w:tcBorders>
            <w:shd w:val="clear" w:color="000000" w:fill="D0CECE"/>
            <w:vAlign w:val="center"/>
            <w:hideMark/>
          </w:tcPr>
          <w:p w14:paraId="568191D1" w14:textId="77777777" w:rsidR="00653F23" w:rsidRPr="000C42E6" w:rsidRDefault="00653F23" w:rsidP="00653F2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Bienes Inmuebles e Infraestructura   </w:t>
            </w:r>
          </w:p>
        </w:tc>
        <w:tc>
          <w:tcPr>
            <w:tcW w:w="1460" w:type="dxa"/>
            <w:tcBorders>
              <w:top w:val="single" w:sz="4" w:space="0" w:color="auto"/>
              <w:left w:val="nil"/>
              <w:bottom w:val="single" w:sz="4" w:space="0" w:color="auto"/>
              <w:right w:val="single" w:sz="4" w:space="0" w:color="auto"/>
            </w:tcBorders>
            <w:shd w:val="clear" w:color="000000" w:fill="D0CECE"/>
            <w:vAlign w:val="center"/>
            <w:hideMark/>
          </w:tcPr>
          <w:p w14:paraId="43C3E9EC" w14:textId="77777777" w:rsidR="00653F23" w:rsidRPr="000C42E6" w:rsidRDefault="00653F23" w:rsidP="00653F2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Obras en Proceso   </w:t>
            </w:r>
          </w:p>
        </w:tc>
        <w:tc>
          <w:tcPr>
            <w:tcW w:w="1652" w:type="dxa"/>
            <w:tcBorders>
              <w:top w:val="single" w:sz="4" w:space="0" w:color="auto"/>
              <w:left w:val="nil"/>
              <w:bottom w:val="single" w:sz="4" w:space="0" w:color="auto"/>
              <w:right w:val="single" w:sz="4" w:space="0" w:color="auto"/>
            </w:tcBorders>
            <w:shd w:val="clear" w:color="000000" w:fill="D0CECE"/>
            <w:vAlign w:val="center"/>
            <w:hideMark/>
          </w:tcPr>
          <w:p w14:paraId="4DF1EB42" w14:textId="77777777" w:rsidR="00653F23" w:rsidRPr="000C42E6" w:rsidRDefault="00653F23" w:rsidP="00653F2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Inmuebles, Infraestructura y Construcciones en Proceso  </w:t>
            </w:r>
          </w:p>
        </w:tc>
        <w:tc>
          <w:tcPr>
            <w:tcW w:w="660" w:type="dxa"/>
            <w:tcBorders>
              <w:top w:val="single" w:sz="4" w:space="0" w:color="auto"/>
              <w:left w:val="nil"/>
              <w:bottom w:val="single" w:sz="4" w:space="0" w:color="auto"/>
              <w:right w:val="single" w:sz="4" w:space="0" w:color="auto"/>
            </w:tcBorders>
            <w:shd w:val="clear" w:color="000000" w:fill="D0CECE"/>
            <w:vAlign w:val="center"/>
            <w:hideMark/>
          </w:tcPr>
          <w:p w14:paraId="54DB2BBA" w14:textId="77777777" w:rsidR="00653F23" w:rsidRPr="000C42E6" w:rsidRDefault="00653F23" w:rsidP="00653F2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653F23" w:rsidRPr="000C42E6" w14:paraId="287D7540" w14:textId="77777777" w:rsidTr="00A23566">
        <w:trPr>
          <w:trHeight w:val="300"/>
          <w:jc w:val="center"/>
        </w:trPr>
        <w:tc>
          <w:tcPr>
            <w:tcW w:w="4641" w:type="dxa"/>
            <w:tcBorders>
              <w:top w:val="nil"/>
              <w:left w:val="single" w:sz="4" w:space="0" w:color="auto"/>
              <w:bottom w:val="single" w:sz="4" w:space="0" w:color="auto"/>
              <w:right w:val="single" w:sz="4" w:space="0" w:color="auto"/>
            </w:tcBorders>
            <w:shd w:val="clear" w:color="auto" w:fill="auto"/>
            <w:noWrap/>
            <w:vAlign w:val="center"/>
            <w:hideMark/>
          </w:tcPr>
          <w:p w14:paraId="07CFCA38"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Terrenos </w:t>
            </w:r>
          </w:p>
        </w:tc>
        <w:tc>
          <w:tcPr>
            <w:tcW w:w="1600" w:type="dxa"/>
            <w:tcBorders>
              <w:top w:val="nil"/>
              <w:left w:val="nil"/>
              <w:bottom w:val="single" w:sz="4" w:space="0" w:color="auto"/>
              <w:right w:val="single" w:sz="4" w:space="0" w:color="auto"/>
            </w:tcBorders>
            <w:shd w:val="clear" w:color="auto" w:fill="auto"/>
            <w:noWrap/>
            <w:vAlign w:val="center"/>
            <w:hideMark/>
          </w:tcPr>
          <w:p w14:paraId="498D6C08" w14:textId="39767701"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16,111,527,236 </w:t>
            </w:r>
          </w:p>
        </w:tc>
        <w:tc>
          <w:tcPr>
            <w:tcW w:w="1460" w:type="dxa"/>
            <w:tcBorders>
              <w:top w:val="nil"/>
              <w:left w:val="nil"/>
              <w:bottom w:val="single" w:sz="4" w:space="0" w:color="auto"/>
              <w:right w:val="single" w:sz="4" w:space="0" w:color="auto"/>
            </w:tcBorders>
            <w:shd w:val="clear" w:color="auto" w:fill="auto"/>
            <w:noWrap/>
            <w:vAlign w:val="center"/>
            <w:hideMark/>
          </w:tcPr>
          <w:p w14:paraId="517656C2"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652" w:type="dxa"/>
            <w:tcBorders>
              <w:top w:val="nil"/>
              <w:left w:val="nil"/>
              <w:bottom w:val="single" w:sz="4" w:space="0" w:color="auto"/>
              <w:right w:val="single" w:sz="4" w:space="0" w:color="auto"/>
            </w:tcBorders>
            <w:shd w:val="clear" w:color="auto" w:fill="auto"/>
            <w:noWrap/>
            <w:vAlign w:val="center"/>
            <w:hideMark/>
          </w:tcPr>
          <w:p w14:paraId="43EB20E0"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16,111,527,236 </w:t>
            </w:r>
          </w:p>
        </w:tc>
        <w:tc>
          <w:tcPr>
            <w:tcW w:w="660" w:type="dxa"/>
            <w:tcBorders>
              <w:top w:val="nil"/>
              <w:left w:val="nil"/>
              <w:bottom w:val="single" w:sz="4" w:space="0" w:color="auto"/>
              <w:right w:val="single" w:sz="4" w:space="0" w:color="auto"/>
            </w:tcBorders>
            <w:shd w:val="clear" w:color="auto" w:fill="auto"/>
            <w:noWrap/>
            <w:vAlign w:val="center"/>
            <w:hideMark/>
          </w:tcPr>
          <w:p w14:paraId="2E590765" w14:textId="77777777" w:rsidR="00653F23" w:rsidRPr="000C42E6" w:rsidRDefault="00653F23" w:rsidP="00653F2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54.83</w:t>
            </w:r>
          </w:p>
        </w:tc>
      </w:tr>
      <w:tr w:rsidR="00653F23" w:rsidRPr="000C42E6" w14:paraId="09A758F0" w14:textId="77777777" w:rsidTr="00A23566">
        <w:trPr>
          <w:trHeight w:val="300"/>
          <w:jc w:val="center"/>
        </w:trPr>
        <w:tc>
          <w:tcPr>
            <w:tcW w:w="4641" w:type="dxa"/>
            <w:tcBorders>
              <w:top w:val="nil"/>
              <w:left w:val="single" w:sz="4" w:space="0" w:color="auto"/>
              <w:bottom w:val="single" w:sz="4" w:space="0" w:color="auto"/>
              <w:right w:val="single" w:sz="4" w:space="0" w:color="auto"/>
            </w:tcBorders>
            <w:shd w:val="clear" w:color="auto" w:fill="auto"/>
            <w:noWrap/>
            <w:vAlign w:val="center"/>
            <w:hideMark/>
          </w:tcPr>
          <w:p w14:paraId="7007DDA2"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Viviendas </w:t>
            </w:r>
          </w:p>
        </w:tc>
        <w:tc>
          <w:tcPr>
            <w:tcW w:w="1600" w:type="dxa"/>
            <w:tcBorders>
              <w:top w:val="nil"/>
              <w:left w:val="nil"/>
              <w:bottom w:val="single" w:sz="4" w:space="0" w:color="auto"/>
              <w:right w:val="single" w:sz="4" w:space="0" w:color="auto"/>
            </w:tcBorders>
            <w:shd w:val="clear" w:color="auto" w:fill="auto"/>
            <w:noWrap/>
            <w:vAlign w:val="center"/>
            <w:hideMark/>
          </w:tcPr>
          <w:p w14:paraId="78CE7155"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57,616,576 </w:t>
            </w:r>
          </w:p>
        </w:tc>
        <w:tc>
          <w:tcPr>
            <w:tcW w:w="1460" w:type="dxa"/>
            <w:tcBorders>
              <w:top w:val="nil"/>
              <w:left w:val="nil"/>
              <w:bottom w:val="single" w:sz="4" w:space="0" w:color="auto"/>
              <w:right w:val="single" w:sz="4" w:space="0" w:color="auto"/>
            </w:tcBorders>
            <w:shd w:val="clear" w:color="auto" w:fill="auto"/>
            <w:noWrap/>
            <w:vAlign w:val="center"/>
            <w:hideMark/>
          </w:tcPr>
          <w:p w14:paraId="22DEAFDC"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652" w:type="dxa"/>
            <w:tcBorders>
              <w:top w:val="nil"/>
              <w:left w:val="nil"/>
              <w:bottom w:val="single" w:sz="4" w:space="0" w:color="auto"/>
              <w:right w:val="single" w:sz="4" w:space="0" w:color="auto"/>
            </w:tcBorders>
            <w:shd w:val="clear" w:color="auto" w:fill="auto"/>
            <w:noWrap/>
            <w:vAlign w:val="center"/>
            <w:hideMark/>
          </w:tcPr>
          <w:p w14:paraId="540D46A4"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57,616,576 </w:t>
            </w:r>
          </w:p>
        </w:tc>
        <w:tc>
          <w:tcPr>
            <w:tcW w:w="660" w:type="dxa"/>
            <w:tcBorders>
              <w:top w:val="nil"/>
              <w:left w:val="nil"/>
              <w:bottom w:val="single" w:sz="4" w:space="0" w:color="auto"/>
              <w:right w:val="single" w:sz="4" w:space="0" w:color="auto"/>
            </w:tcBorders>
            <w:shd w:val="clear" w:color="auto" w:fill="auto"/>
            <w:noWrap/>
            <w:vAlign w:val="center"/>
            <w:hideMark/>
          </w:tcPr>
          <w:p w14:paraId="1C5BD281" w14:textId="77777777" w:rsidR="00653F23" w:rsidRPr="000C42E6" w:rsidRDefault="00653F23" w:rsidP="00653F2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0.20</w:t>
            </w:r>
          </w:p>
        </w:tc>
      </w:tr>
      <w:tr w:rsidR="00653F23" w:rsidRPr="000C42E6" w14:paraId="6BF88A6D" w14:textId="77777777" w:rsidTr="00A23566">
        <w:trPr>
          <w:trHeight w:val="300"/>
          <w:jc w:val="center"/>
        </w:trPr>
        <w:tc>
          <w:tcPr>
            <w:tcW w:w="4641" w:type="dxa"/>
            <w:tcBorders>
              <w:top w:val="nil"/>
              <w:left w:val="single" w:sz="4" w:space="0" w:color="auto"/>
              <w:bottom w:val="single" w:sz="4" w:space="0" w:color="auto"/>
              <w:right w:val="single" w:sz="4" w:space="0" w:color="auto"/>
            </w:tcBorders>
            <w:shd w:val="clear" w:color="auto" w:fill="auto"/>
            <w:noWrap/>
            <w:vAlign w:val="center"/>
            <w:hideMark/>
          </w:tcPr>
          <w:p w14:paraId="740B99E5"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Edificios no Habitacionales</w:t>
            </w:r>
          </w:p>
        </w:tc>
        <w:tc>
          <w:tcPr>
            <w:tcW w:w="1600" w:type="dxa"/>
            <w:tcBorders>
              <w:top w:val="nil"/>
              <w:left w:val="nil"/>
              <w:bottom w:val="single" w:sz="4" w:space="0" w:color="auto"/>
              <w:right w:val="single" w:sz="4" w:space="0" w:color="auto"/>
            </w:tcBorders>
            <w:shd w:val="clear" w:color="auto" w:fill="auto"/>
            <w:noWrap/>
            <w:vAlign w:val="center"/>
            <w:hideMark/>
          </w:tcPr>
          <w:p w14:paraId="7C1BD48F" w14:textId="10C03F6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9,785,036,149 </w:t>
            </w:r>
          </w:p>
        </w:tc>
        <w:tc>
          <w:tcPr>
            <w:tcW w:w="1460" w:type="dxa"/>
            <w:tcBorders>
              <w:top w:val="nil"/>
              <w:left w:val="nil"/>
              <w:bottom w:val="single" w:sz="4" w:space="0" w:color="auto"/>
              <w:right w:val="single" w:sz="4" w:space="0" w:color="auto"/>
            </w:tcBorders>
            <w:shd w:val="clear" w:color="auto" w:fill="auto"/>
            <w:noWrap/>
            <w:vAlign w:val="center"/>
            <w:hideMark/>
          </w:tcPr>
          <w:p w14:paraId="52B66138"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652" w:type="dxa"/>
            <w:tcBorders>
              <w:top w:val="nil"/>
              <w:left w:val="nil"/>
              <w:bottom w:val="single" w:sz="4" w:space="0" w:color="auto"/>
              <w:right w:val="single" w:sz="4" w:space="0" w:color="auto"/>
            </w:tcBorders>
            <w:shd w:val="clear" w:color="auto" w:fill="auto"/>
            <w:noWrap/>
            <w:vAlign w:val="center"/>
            <w:hideMark/>
          </w:tcPr>
          <w:p w14:paraId="39BC7125"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9,785,036,149 </w:t>
            </w:r>
          </w:p>
        </w:tc>
        <w:tc>
          <w:tcPr>
            <w:tcW w:w="660" w:type="dxa"/>
            <w:tcBorders>
              <w:top w:val="nil"/>
              <w:left w:val="nil"/>
              <w:bottom w:val="single" w:sz="4" w:space="0" w:color="auto"/>
              <w:right w:val="single" w:sz="4" w:space="0" w:color="auto"/>
            </w:tcBorders>
            <w:shd w:val="clear" w:color="auto" w:fill="auto"/>
            <w:noWrap/>
            <w:vAlign w:val="center"/>
            <w:hideMark/>
          </w:tcPr>
          <w:p w14:paraId="0D4D5D14" w14:textId="77777777" w:rsidR="00653F23" w:rsidRPr="000C42E6" w:rsidRDefault="00653F23" w:rsidP="00653F2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33.30</w:t>
            </w:r>
          </w:p>
        </w:tc>
      </w:tr>
      <w:tr w:rsidR="00653F23" w:rsidRPr="000C42E6" w14:paraId="167F2AAF" w14:textId="77777777" w:rsidTr="00A23566">
        <w:trPr>
          <w:trHeight w:val="300"/>
          <w:jc w:val="center"/>
        </w:trPr>
        <w:tc>
          <w:tcPr>
            <w:tcW w:w="4641" w:type="dxa"/>
            <w:tcBorders>
              <w:top w:val="nil"/>
              <w:left w:val="single" w:sz="4" w:space="0" w:color="auto"/>
              <w:bottom w:val="single" w:sz="4" w:space="0" w:color="auto"/>
              <w:right w:val="single" w:sz="4" w:space="0" w:color="auto"/>
            </w:tcBorders>
            <w:shd w:val="clear" w:color="auto" w:fill="auto"/>
            <w:noWrap/>
            <w:vAlign w:val="center"/>
            <w:hideMark/>
          </w:tcPr>
          <w:p w14:paraId="38E36059"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Infraestructura</w:t>
            </w:r>
          </w:p>
        </w:tc>
        <w:tc>
          <w:tcPr>
            <w:tcW w:w="1600" w:type="dxa"/>
            <w:tcBorders>
              <w:top w:val="nil"/>
              <w:left w:val="nil"/>
              <w:bottom w:val="single" w:sz="4" w:space="0" w:color="auto"/>
              <w:right w:val="single" w:sz="4" w:space="0" w:color="auto"/>
            </w:tcBorders>
            <w:shd w:val="clear" w:color="auto" w:fill="auto"/>
            <w:noWrap/>
            <w:vAlign w:val="center"/>
            <w:hideMark/>
          </w:tcPr>
          <w:p w14:paraId="05F40DC7" w14:textId="76D77DD5" w:rsidR="00653F23" w:rsidRPr="000C42E6" w:rsidRDefault="004B267A" w:rsidP="004B267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10,125,766</w:t>
            </w:r>
            <w:r w:rsidR="00653F23" w:rsidRPr="000C42E6">
              <w:rPr>
                <w:rFonts w:ascii="Arial" w:eastAsia="Times New Roman" w:hAnsi="Arial" w:cs="Arial"/>
                <w:color w:val="000000"/>
                <w:sz w:val="20"/>
                <w:szCs w:val="20"/>
                <w:lang w:eastAsia="es-MX"/>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14:paraId="7EC13DCB"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652" w:type="dxa"/>
            <w:tcBorders>
              <w:top w:val="nil"/>
              <w:left w:val="nil"/>
              <w:bottom w:val="single" w:sz="4" w:space="0" w:color="auto"/>
              <w:right w:val="single" w:sz="4" w:space="0" w:color="auto"/>
            </w:tcBorders>
            <w:shd w:val="clear" w:color="auto" w:fill="auto"/>
            <w:noWrap/>
            <w:vAlign w:val="center"/>
            <w:hideMark/>
          </w:tcPr>
          <w:p w14:paraId="566C7EEB"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10,125,766 </w:t>
            </w:r>
          </w:p>
        </w:tc>
        <w:tc>
          <w:tcPr>
            <w:tcW w:w="660" w:type="dxa"/>
            <w:tcBorders>
              <w:top w:val="nil"/>
              <w:left w:val="nil"/>
              <w:bottom w:val="single" w:sz="4" w:space="0" w:color="auto"/>
              <w:right w:val="single" w:sz="4" w:space="0" w:color="auto"/>
            </w:tcBorders>
            <w:shd w:val="clear" w:color="auto" w:fill="auto"/>
            <w:noWrap/>
            <w:vAlign w:val="center"/>
            <w:hideMark/>
          </w:tcPr>
          <w:p w14:paraId="1B4DE60C" w14:textId="77777777" w:rsidR="00653F23" w:rsidRPr="000C42E6" w:rsidRDefault="00653F23" w:rsidP="00653F2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0.03</w:t>
            </w:r>
          </w:p>
        </w:tc>
      </w:tr>
      <w:tr w:rsidR="00653F23" w:rsidRPr="000C42E6" w14:paraId="6BDC3D9C" w14:textId="77777777" w:rsidTr="00A23566">
        <w:trPr>
          <w:trHeight w:val="540"/>
          <w:jc w:val="center"/>
        </w:trPr>
        <w:tc>
          <w:tcPr>
            <w:tcW w:w="4641" w:type="dxa"/>
            <w:tcBorders>
              <w:top w:val="nil"/>
              <w:left w:val="single" w:sz="4" w:space="0" w:color="auto"/>
              <w:bottom w:val="single" w:sz="4" w:space="0" w:color="auto"/>
              <w:right w:val="single" w:sz="4" w:space="0" w:color="auto"/>
            </w:tcBorders>
            <w:shd w:val="clear" w:color="auto" w:fill="auto"/>
            <w:vAlign w:val="center"/>
            <w:hideMark/>
          </w:tcPr>
          <w:p w14:paraId="27954AA0"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Construcciones en Proceso en Bienes de Dominio Público</w:t>
            </w:r>
          </w:p>
        </w:tc>
        <w:tc>
          <w:tcPr>
            <w:tcW w:w="1600" w:type="dxa"/>
            <w:tcBorders>
              <w:top w:val="nil"/>
              <w:left w:val="nil"/>
              <w:bottom w:val="single" w:sz="4" w:space="0" w:color="auto"/>
              <w:right w:val="single" w:sz="4" w:space="0" w:color="auto"/>
            </w:tcBorders>
            <w:shd w:val="clear" w:color="auto" w:fill="auto"/>
            <w:noWrap/>
            <w:vAlign w:val="bottom"/>
            <w:hideMark/>
          </w:tcPr>
          <w:p w14:paraId="255CA7CE"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460" w:type="dxa"/>
            <w:tcBorders>
              <w:top w:val="nil"/>
              <w:left w:val="nil"/>
              <w:bottom w:val="single" w:sz="4" w:space="0" w:color="auto"/>
              <w:right w:val="single" w:sz="4" w:space="0" w:color="auto"/>
            </w:tcBorders>
            <w:shd w:val="clear" w:color="auto" w:fill="auto"/>
            <w:noWrap/>
            <w:vAlign w:val="center"/>
            <w:hideMark/>
          </w:tcPr>
          <w:p w14:paraId="6E9E4ED8" w14:textId="37AB9694"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589,810,942 </w:t>
            </w:r>
          </w:p>
        </w:tc>
        <w:tc>
          <w:tcPr>
            <w:tcW w:w="1652" w:type="dxa"/>
            <w:tcBorders>
              <w:top w:val="nil"/>
              <w:left w:val="nil"/>
              <w:bottom w:val="single" w:sz="4" w:space="0" w:color="auto"/>
              <w:right w:val="single" w:sz="4" w:space="0" w:color="auto"/>
            </w:tcBorders>
            <w:shd w:val="clear" w:color="auto" w:fill="auto"/>
            <w:noWrap/>
            <w:vAlign w:val="center"/>
            <w:hideMark/>
          </w:tcPr>
          <w:p w14:paraId="4A439979"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589,810,942 </w:t>
            </w:r>
          </w:p>
        </w:tc>
        <w:tc>
          <w:tcPr>
            <w:tcW w:w="660" w:type="dxa"/>
            <w:tcBorders>
              <w:top w:val="nil"/>
              <w:left w:val="nil"/>
              <w:bottom w:val="single" w:sz="4" w:space="0" w:color="auto"/>
              <w:right w:val="single" w:sz="4" w:space="0" w:color="auto"/>
            </w:tcBorders>
            <w:shd w:val="clear" w:color="auto" w:fill="auto"/>
            <w:noWrap/>
            <w:vAlign w:val="center"/>
            <w:hideMark/>
          </w:tcPr>
          <w:p w14:paraId="1E638B1B" w14:textId="77777777" w:rsidR="00653F23" w:rsidRPr="000C42E6" w:rsidRDefault="00653F23" w:rsidP="00653F2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2.01</w:t>
            </w:r>
          </w:p>
        </w:tc>
      </w:tr>
      <w:tr w:rsidR="00653F23" w:rsidRPr="000C42E6" w14:paraId="650FD38E" w14:textId="77777777" w:rsidTr="00A23566">
        <w:trPr>
          <w:trHeight w:val="290"/>
          <w:jc w:val="center"/>
        </w:trPr>
        <w:tc>
          <w:tcPr>
            <w:tcW w:w="4641" w:type="dxa"/>
            <w:tcBorders>
              <w:top w:val="nil"/>
              <w:left w:val="single" w:sz="4" w:space="0" w:color="auto"/>
              <w:bottom w:val="single" w:sz="4" w:space="0" w:color="auto"/>
              <w:right w:val="single" w:sz="4" w:space="0" w:color="auto"/>
            </w:tcBorders>
            <w:shd w:val="clear" w:color="auto" w:fill="auto"/>
            <w:vAlign w:val="center"/>
            <w:hideMark/>
          </w:tcPr>
          <w:p w14:paraId="7B34695A"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Construcciones en Proceso en Bienes Propios</w:t>
            </w:r>
          </w:p>
        </w:tc>
        <w:tc>
          <w:tcPr>
            <w:tcW w:w="1600" w:type="dxa"/>
            <w:tcBorders>
              <w:top w:val="nil"/>
              <w:left w:val="nil"/>
              <w:bottom w:val="single" w:sz="4" w:space="0" w:color="auto"/>
              <w:right w:val="single" w:sz="4" w:space="0" w:color="auto"/>
            </w:tcBorders>
            <w:shd w:val="clear" w:color="auto" w:fill="auto"/>
            <w:noWrap/>
            <w:vAlign w:val="bottom"/>
            <w:hideMark/>
          </w:tcPr>
          <w:p w14:paraId="24BAA040" w14:textId="77777777" w:rsidR="00653F23" w:rsidRPr="000C42E6" w:rsidRDefault="00653F23" w:rsidP="00653F2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460" w:type="dxa"/>
            <w:tcBorders>
              <w:top w:val="nil"/>
              <w:left w:val="nil"/>
              <w:bottom w:val="single" w:sz="4" w:space="0" w:color="auto"/>
              <w:right w:val="single" w:sz="4" w:space="0" w:color="auto"/>
            </w:tcBorders>
            <w:shd w:val="clear" w:color="auto" w:fill="auto"/>
            <w:noWrap/>
            <w:vAlign w:val="center"/>
            <w:hideMark/>
          </w:tcPr>
          <w:p w14:paraId="26A28926" w14:textId="4CBC8EF8"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2,831,271,530 </w:t>
            </w:r>
          </w:p>
        </w:tc>
        <w:tc>
          <w:tcPr>
            <w:tcW w:w="1652" w:type="dxa"/>
            <w:tcBorders>
              <w:top w:val="nil"/>
              <w:left w:val="nil"/>
              <w:bottom w:val="single" w:sz="4" w:space="0" w:color="auto"/>
              <w:right w:val="single" w:sz="4" w:space="0" w:color="auto"/>
            </w:tcBorders>
            <w:shd w:val="clear" w:color="auto" w:fill="auto"/>
            <w:noWrap/>
            <w:vAlign w:val="center"/>
            <w:hideMark/>
          </w:tcPr>
          <w:p w14:paraId="44743EBC" w14:textId="77777777" w:rsidR="00653F23" w:rsidRPr="000C42E6" w:rsidRDefault="00653F23" w:rsidP="00653F2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2,831,271,530 </w:t>
            </w:r>
          </w:p>
        </w:tc>
        <w:tc>
          <w:tcPr>
            <w:tcW w:w="660" w:type="dxa"/>
            <w:tcBorders>
              <w:top w:val="nil"/>
              <w:left w:val="nil"/>
              <w:bottom w:val="single" w:sz="4" w:space="0" w:color="auto"/>
              <w:right w:val="single" w:sz="4" w:space="0" w:color="auto"/>
            </w:tcBorders>
            <w:shd w:val="clear" w:color="auto" w:fill="auto"/>
            <w:noWrap/>
            <w:vAlign w:val="center"/>
            <w:hideMark/>
          </w:tcPr>
          <w:p w14:paraId="3A979A86" w14:textId="77777777" w:rsidR="00653F23" w:rsidRPr="000C42E6" w:rsidRDefault="00653F23" w:rsidP="00653F2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9.63</w:t>
            </w:r>
          </w:p>
        </w:tc>
      </w:tr>
      <w:tr w:rsidR="00653F23" w:rsidRPr="000C42E6" w14:paraId="53259467" w14:textId="77777777" w:rsidTr="00A23566">
        <w:trPr>
          <w:trHeight w:val="421"/>
          <w:jc w:val="center"/>
        </w:trPr>
        <w:tc>
          <w:tcPr>
            <w:tcW w:w="4641" w:type="dxa"/>
            <w:tcBorders>
              <w:top w:val="nil"/>
              <w:left w:val="single" w:sz="4" w:space="0" w:color="auto"/>
              <w:bottom w:val="single" w:sz="4" w:space="0" w:color="auto"/>
              <w:right w:val="single" w:sz="4" w:space="0" w:color="auto"/>
            </w:tcBorders>
            <w:shd w:val="clear" w:color="auto" w:fill="auto"/>
            <w:vAlign w:val="center"/>
            <w:hideMark/>
          </w:tcPr>
          <w:p w14:paraId="2B33D65D" w14:textId="77777777" w:rsidR="00653F23" w:rsidRPr="000C42E6" w:rsidRDefault="00653F23" w:rsidP="00653F23">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 de Bienes Inmuebles, Infraestructura y Construcciones en Proceso</w:t>
            </w:r>
          </w:p>
        </w:tc>
        <w:tc>
          <w:tcPr>
            <w:tcW w:w="1600" w:type="dxa"/>
            <w:tcBorders>
              <w:top w:val="nil"/>
              <w:left w:val="nil"/>
              <w:bottom w:val="single" w:sz="4" w:space="0" w:color="auto"/>
              <w:right w:val="single" w:sz="4" w:space="0" w:color="auto"/>
            </w:tcBorders>
            <w:shd w:val="clear" w:color="auto" w:fill="auto"/>
            <w:noWrap/>
            <w:vAlign w:val="center"/>
            <w:hideMark/>
          </w:tcPr>
          <w:p w14:paraId="7EB37736" w14:textId="77777777" w:rsidR="00653F23" w:rsidRPr="000C42E6" w:rsidRDefault="00653F23" w:rsidP="00653F23">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25,964,305,728</w:t>
            </w:r>
          </w:p>
        </w:tc>
        <w:tc>
          <w:tcPr>
            <w:tcW w:w="1460" w:type="dxa"/>
            <w:tcBorders>
              <w:top w:val="nil"/>
              <w:left w:val="nil"/>
              <w:bottom w:val="single" w:sz="4" w:space="0" w:color="auto"/>
              <w:right w:val="single" w:sz="4" w:space="0" w:color="auto"/>
            </w:tcBorders>
            <w:shd w:val="clear" w:color="auto" w:fill="auto"/>
            <w:noWrap/>
            <w:vAlign w:val="center"/>
            <w:hideMark/>
          </w:tcPr>
          <w:p w14:paraId="45F1531F" w14:textId="77777777" w:rsidR="00653F23" w:rsidRPr="000C42E6" w:rsidRDefault="00653F23" w:rsidP="00653F23">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3,421,082,472</w:t>
            </w:r>
          </w:p>
        </w:tc>
        <w:tc>
          <w:tcPr>
            <w:tcW w:w="1652" w:type="dxa"/>
            <w:tcBorders>
              <w:top w:val="nil"/>
              <w:left w:val="nil"/>
              <w:bottom w:val="single" w:sz="4" w:space="0" w:color="auto"/>
              <w:right w:val="single" w:sz="4" w:space="0" w:color="auto"/>
            </w:tcBorders>
            <w:shd w:val="clear" w:color="auto" w:fill="auto"/>
            <w:noWrap/>
            <w:vAlign w:val="center"/>
            <w:hideMark/>
          </w:tcPr>
          <w:p w14:paraId="560E9384" w14:textId="77777777" w:rsidR="00653F23" w:rsidRPr="000C42E6" w:rsidRDefault="00653F23" w:rsidP="00653F23">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29,385,388,200 </w:t>
            </w:r>
          </w:p>
        </w:tc>
        <w:tc>
          <w:tcPr>
            <w:tcW w:w="660" w:type="dxa"/>
            <w:tcBorders>
              <w:top w:val="nil"/>
              <w:left w:val="nil"/>
              <w:bottom w:val="single" w:sz="4" w:space="0" w:color="auto"/>
              <w:right w:val="single" w:sz="4" w:space="0" w:color="auto"/>
            </w:tcBorders>
            <w:shd w:val="clear" w:color="auto" w:fill="auto"/>
            <w:noWrap/>
            <w:vAlign w:val="center"/>
            <w:hideMark/>
          </w:tcPr>
          <w:p w14:paraId="083E2532" w14:textId="77777777" w:rsidR="00653F23" w:rsidRPr="000C42E6" w:rsidRDefault="00653F23" w:rsidP="00653F2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5D4A7B03" w14:textId="77777777" w:rsidR="00CB7883" w:rsidRPr="000C42E6" w:rsidRDefault="00CB7883" w:rsidP="00CB7883">
      <w:pPr>
        <w:spacing w:after="0" w:line="240" w:lineRule="auto"/>
        <w:rPr>
          <w:rFonts w:ascii="Arial" w:eastAsia="Calibri" w:hAnsi="Arial" w:cs="Arial"/>
          <w:b/>
          <w:sz w:val="20"/>
          <w:szCs w:val="20"/>
          <w:u w:val="single"/>
        </w:rPr>
      </w:pPr>
      <w:r w:rsidRPr="000C42E6">
        <w:rPr>
          <w:rFonts w:ascii="Arial" w:eastAsia="Calibri" w:hAnsi="Arial" w:cs="Arial"/>
          <w:b/>
          <w:sz w:val="20"/>
          <w:szCs w:val="20"/>
          <w:u w:val="single"/>
        </w:rPr>
        <w:lastRenderedPageBreak/>
        <w:t>Bienes Muebles</w:t>
      </w:r>
    </w:p>
    <w:p w14:paraId="0D5E05E6" w14:textId="77777777" w:rsidR="00CB7883" w:rsidRPr="000C42E6" w:rsidRDefault="00CB7883" w:rsidP="00CB7883">
      <w:pPr>
        <w:spacing w:after="0" w:line="240" w:lineRule="auto"/>
        <w:rPr>
          <w:rFonts w:ascii="Arial" w:eastAsia="Calibri" w:hAnsi="Arial" w:cs="Arial"/>
          <w:b/>
          <w:sz w:val="20"/>
          <w:szCs w:val="20"/>
          <w:u w:val="single"/>
        </w:rPr>
      </w:pPr>
    </w:p>
    <w:p w14:paraId="6B14F9EE" w14:textId="77777777" w:rsidR="00CB7883" w:rsidRPr="000C42E6" w:rsidRDefault="00CB7883" w:rsidP="00CB788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El saldo de este rubro</w:t>
      </w:r>
      <w:r w:rsidR="007D37FE" w:rsidRPr="000C42E6">
        <w:rPr>
          <w:rFonts w:ascii="Arial" w:eastAsia="Times New Roman" w:hAnsi="Arial" w:cs="Arial"/>
          <w:color w:val="000000"/>
          <w:sz w:val="20"/>
          <w:szCs w:val="20"/>
          <w:lang w:eastAsia="es-MX"/>
        </w:rPr>
        <w:t xml:space="preserve"> es </w:t>
      </w:r>
      <w:r w:rsidRPr="000C42E6">
        <w:rPr>
          <w:rFonts w:ascii="Arial" w:eastAsia="Times New Roman" w:hAnsi="Arial" w:cs="Arial"/>
          <w:color w:val="000000"/>
          <w:sz w:val="20"/>
          <w:szCs w:val="20"/>
          <w:lang w:eastAsia="es-MX"/>
        </w:rPr>
        <w:t xml:space="preserve"> </w:t>
      </w:r>
      <w:r w:rsidR="00E75802" w:rsidRPr="000C42E6">
        <w:rPr>
          <w:rFonts w:ascii="Arial" w:eastAsia="Times New Roman" w:hAnsi="Arial" w:cs="Arial"/>
          <w:color w:val="000000"/>
          <w:sz w:val="20"/>
          <w:szCs w:val="20"/>
          <w:lang w:eastAsia="es-MX"/>
        </w:rPr>
        <w:t xml:space="preserve">por </w:t>
      </w:r>
      <w:r w:rsidR="005933F2" w:rsidRPr="000C42E6">
        <w:rPr>
          <w:rFonts w:ascii="Arial" w:eastAsia="Times New Roman" w:hAnsi="Arial" w:cs="Arial"/>
          <w:b/>
          <w:color w:val="000000"/>
          <w:sz w:val="20"/>
          <w:szCs w:val="20"/>
          <w:lang w:eastAsia="es-MX"/>
        </w:rPr>
        <w:t>$</w:t>
      </w:r>
      <w:r w:rsidR="005652F5" w:rsidRPr="000C42E6">
        <w:rPr>
          <w:rFonts w:ascii="Arial" w:eastAsia="Times New Roman" w:hAnsi="Arial" w:cs="Arial"/>
          <w:b/>
          <w:color w:val="000000"/>
          <w:sz w:val="20"/>
          <w:szCs w:val="20"/>
          <w:lang w:eastAsia="es-MX"/>
        </w:rPr>
        <w:t>4</w:t>
      </w:r>
      <w:proofErr w:type="gramStart"/>
      <w:r w:rsidR="00A37D86" w:rsidRPr="000C42E6">
        <w:rPr>
          <w:rFonts w:ascii="Arial" w:eastAsia="Times New Roman" w:hAnsi="Arial" w:cs="Arial"/>
          <w:b/>
          <w:color w:val="000000"/>
          <w:sz w:val="20"/>
          <w:szCs w:val="20"/>
          <w:lang w:eastAsia="es-MX"/>
        </w:rPr>
        <w:t>,669,545,423</w:t>
      </w:r>
      <w:proofErr w:type="gramEnd"/>
      <w:r w:rsidR="005933F2" w:rsidRPr="000C42E6">
        <w:rPr>
          <w:rFonts w:ascii="Arial" w:eastAsia="Times New Roman" w:hAnsi="Arial" w:cs="Arial"/>
          <w:b/>
          <w:color w:val="000000"/>
          <w:sz w:val="20"/>
          <w:szCs w:val="20"/>
          <w:lang w:eastAsia="es-MX"/>
        </w:rPr>
        <w:t xml:space="preserve"> </w:t>
      </w:r>
      <w:r w:rsidR="007D37FE" w:rsidRPr="000C42E6">
        <w:rPr>
          <w:rFonts w:ascii="Arial" w:eastAsia="Times New Roman" w:hAnsi="Arial" w:cs="Arial"/>
          <w:color w:val="000000"/>
          <w:sz w:val="20"/>
          <w:szCs w:val="20"/>
          <w:lang w:eastAsia="es-MX"/>
        </w:rPr>
        <w:t>y e</w:t>
      </w:r>
      <w:r w:rsidRPr="000C42E6">
        <w:rPr>
          <w:rFonts w:ascii="Arial" w:eastAsia="Times New Roman" w:hAnsi="Arial" w:cs="Arial"/>
          <w:color w:val="000000"/>
          <w:sz w:val="20"/>
          <w:szCs w:val="20"/>
          <w:lang w:eastAsia="es-MX"/>
        </w:rPr>
        <w:t xml:space="preserve">se integra como sigue: </w:t>
      </w:r>
    </w:p>
    <w:p w14:paraId="1EC51434" w14:textId="77777777" w:rsidR="00CB7883" w:rsidRPr="000C42E6" w:rsidRDefault="00CB7883" w:rsidP="00CB7883">
      <w:pPr>
        <w:spacing w:after="0" w:line="240" w:lineRule="auto"/>
        <w:rPr>
          <w:rFonts w:ascii="Arial" w:eastAsia="Times New Roman" w:hAnsi="Arial" w:cs="Arial"/>
          <w:color w:val="000000"/>
          <w:sz w:val="20"/>
          <w:szCs w:val="20"/>
          <w:lang w:eastAsia="es-MX"/>
        </w:rPr>
      </w:pPr>
    </w:p>
    <w:tbl>
      <w:tblPr>
        <w:tblW w:w="9934" w:type="dxa"/>
        <w:jc w:val="center"/>
        <w:tblCellMar>
          <w:left w:w="70" w:type="dxa"/>
          <w:right w:w="70" w:type="dxa"/>
        </w:tblCellMar>
        <w:tblLook w:val="04A0" w:firstRow="1" w:lastRow="0" w:firstColumn="1" w:lastColumn="0" w:noHBand="0" w:noVBand="1"/>
      </w:tblPr>
      <w:tblGrid>
        <w:gridCol w:w="6868"/>
        <w:gridCol w:w="1580"/>
        <w:gridCol w:w="1486"/>
      </w:tblGrid>
      <w:tr w:rsidR="005506A3" w:rsidRPr="000C42E6" w14:paraId="5CF8E6B0" w14:textId="77777777" w:rsidTr="00A23566">
        <w:trPr>
          <w:trHeight w:val="300"/>
          <w:jc w:val="center"/>
        </w:trPr>
        <w:tc>
          <w:tcPr>
            <w:tcW w:w="686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AB674F" w14:textId="77777777" w:rsidR="005506A3" w:rsidRPr="000C42E6" w:rsidRDefault="005506A3" w:rsidP="005506A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Concepto</w:t>
            </w:r>
          </w:p>
        </w:tc>
        <w:tc>
          <w:tcPr>
            <w:tcW w:w="1580" w:type="dxa"/>
            <w:tcBorders>
              <w:top w:val="single" w:sz="4" w:space="0" w:color="auto"/>
              <w:left w:val="nil"/>
              <w:bottom w:val="single" w:sz="4" w:space="0" w:color="auto"/>
              <w:right w:val="single" w:sz="4" w:space="0" w:color="auto"/>
            </w:tcBorders>
            <w:shd w:val="clear" w:color="000000" w:fill="D9D9D9"/>
            <w:noWrap/>
            <w:vAlign w:val="center"/>
            <w:hideMark/>
          </w:tcPr>
          <w:p w14:paraId="72A712FE" w14:textId="7F42862B" w:rsidR="005506A3" w:rsidRPr="000C42E6" w:rsidRDefault="00710741" w:rsidP="005506A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Saldos al 31 de diciembre 2025</w:t>
            </w:r>
          </w:p>
        </w:tc>
        <w:tc>
          <w:tcPr>
            <w:tcW w:w="1486" w:type="dxa"/>
            <w:tcBorders>
              <w:top w:val="single" w:sz="4" w:space="0" w:color="auto"/>
              <w:left w:val="nil"/>
              <w:bottom w:val="single" w:sz="4" w:space="0" w:color="auto"/>
              <w:right w:val="single" w:sz="4" w:space="0" w:color="auto"/>
            </w:tcBorders>
            <w:shd w:val="clear" w:color="000000" w:fill="D0CECE"/>
            <w:noWrap/>
            <w:vAlign w:val="center"/>
            <w:hideMark/>
          </w:tcPr>
          <w:p w14:paraId="0E909D8D" w14:textId="77777777" w:rsidR="005506A3" w:rsidRPr="000C42E6" w:rsidRDefault="005506A3" w:rsidP="005506A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5506A3" w:rsidRPr="000C42E6" w14:paraId="1BF9471E" w14:textId="77777777" w:rsidTr="00A23566">
        <w:trPr>
          <w:trHeight w:val="228"/>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3B6DE2E"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Mobiliario y Equipo de Administración</w:t>
            </w:r>
          </w:p>
        </w:tc>
        <w:tc>
          <w:tcPr>
            <w:tcW w:w="1580" w:type="dxa"/>
            <w:tcBorders>
              <w:top w:val="nil"/>
              <w:left w:val="nil"/>
              <w:bottom w:val="single" w:sz="4" w:space="0" w:color="auto"/>
              <w:right w:val="single" w:sz="4" w:space="0" w:color="auto"/>
            </w:tcBorders>
            <w:shd w:val="clear" w:color="auto" w:fill="auto"/>
            <w:noWrap/>
            <w:vAlign w:val="center"/>
            <w:hideMark/>
          </w:tcPr>
          <w:p w14:paraId="2976684C"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1,027,172,829</w:t>
            </w:r>
          </w:p>
        </w:tc>
        <w:tc>
          <w:tcPr>
            <w:tcW w:w="1486" w:type="dxa"/>
            <w:tcBorders>
              <w:top w:val="nil"/>
              <w:left w:val="nil"/>
              <w:bottom w:val="single" w:sz="4" w:space="0" w:color="auto"/>
              <w:right w:val="single" w:sz="4" w:space="0" w:color="auto"/>
            </w:tcBorders>
            <w:shd w:val="clear" w:color="auto" w:fill="auto"/>
            <w:noWrap/>
            <w:vAlign w:val="center"/>
            <w:hideMark/>
          </w:tcPr>
          <w:p w14:paraId="3E8C006E"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22.00</w:t>
            </w:r>
          </w:p>
        </w:tc>
      </w:tr>
      <w:tr w:rsidR="005506A3" w:rsidRPr="000C42E6" w14:paraId="0D63F1BE" w14:textId="77777777" w:rsidTr="00A23566">
        <w:trPr>
          <w:trHeight w:val="175"/>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52A047E"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Mobiliario y Equipo Educacional y Recreativo</w:t>
            </w:r>
          </w:p>
        </w:tc>
        <w:tc>
          <w:tcPr>
            <w:tcW w:w="1580" w:type="dxa"/>
            <w:tcBorders>
              <w:top w:val="nil"/>
              <w:left w:val="nil"/>
              <w:bottom w:val="single" w:sz="4" w:space="0" w:color="auto"/>
              <w:right w:val="single" w:sz="4" w:space="0" w:color="auto"/>
            </w:tcBorders>
            <w:shd w:val="clear" w:color="auto" w:fill="auto"/>
            <w:noWrap/>
            <w:vAlign w:val="center"/>
            <w:hideMark/>
          </w:tcPr>
          <w:p w14:paraId="77FB3142"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247,180,500</w:t>
            </w:r>
          </w:p>
        </w:tc>
        <w:tc>
          <w:tcPr>
            <w:tcW w:w="1486" w:type="dxa"/>
            <w:tcBorders>
              <w:top w:val="nil"/>
              <w:left w:val="nil"/>
              <w:bottom w:val="single" w:sz="4" w:space="0" w:color="auto"/>
              <w:right w:val="single" w:sz="4" w:space="0" w:color="auto"/>
            </w:tcBorders>
            <w:shd w:val="clear" w:color="auto" w:fill="auto"/>
            <w:noWrap/>
            <w:vAlign w:val="center"/>
            <w:hideMark/>
          </w:tcPr>
          <w:p w14:paraId="7A9DA8DC"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5.29</w:t>
            </w:r>
          </w:p>
        </w:tc>
      </w:tr>
      <w:tr w:rsidR="005506A3" w:rsidRPr="000C42E6" w14:paraId="69B0122D" w14:textId="77777777" w:rsidTr="00A23566">
        <w:trPr>
          <w:trHeight w:val="238"/>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E3DB634"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Equipo e Instrumental Médico y de Laboratorio</w:t>
            </w:r>
          </w:p>
        </w:tc>
        <w:tc>
          <w:tcPr>
            <w:tcW w:w="1580" w:type="dxa"/>
            <w:tcBorders>
              <w:top w:val="nil"/>
              <w:left w:val="nil"/>
              <w:bottom w:val="single" w:sz="4" w:space="0" w:color="auto"/>
              <w:right w:val="single" w:sz="4" w:space="0" w:color="auto"/>
            </w:tcBorders>
            <w:shd w:val="clear" w:color="auto" w:fill="auto"/>
            <w:noWrap/>
            <w:vAlign w:val="center"/>
            <w:hideMark/>
          </w:tcPr>
          <w:p w14:paraId="3083BADD"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1,011,006,982</w:t>
            </w:r>
          </w:p>
        </w:tc>
        <w:tc>
          <w:tcPr>
            <w:tcW w:w="1486" w:type="dxa"/>
            <w:tcBorders>
              <w:top w:val="nil"/>
              <w:left w:val="nil"/>
              <w:bottom w:val="single" w:sz="4" w:space="0" w:color="auto"/>
              <w:right w:val="single" w:sz="4" w:space="0" w:color="auto"/>
            </w:tcBorders>
            <w:shd w:val="clear" w:color="auto" w:fill="auto"/>
            <w:noWrap/>
            <w:vAlign w:val="center"/>
            <w:hideMark/>
          </w:tcPr>
          <w:p w14:paraId="48A47F2F"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21.65</w:t>
            </w:r>
          </w:p>
        </w:tc>
      </w:tr>
      <w:tr w:rsidR="005506A3" w:rsidRPr="000C42E6" w14:paraId="2A8D2C4A" w14:textId="77777777" w:rsidTr="00A23566">
        <w:trPr>
          <w:trHeight w:val="171"/>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2B63BF7"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Vehículos y Equipo de Transporte</w:t>
            </w:r>
          </w:p>
        </w:tc>
        <w:tc>
          <w:tcPr>
            <w:tcW w:w="1580" w:type="dxa"/>
            <w:tcBorders>
              <w:top w:val="nil"/>
              <w:left w:val="nil"/>
              <w:bottom w:val="single" w:sz="4" w:space="0" w:color="auto"/>
              <w:right w:val="single" w:sz="4" w:space="0" w:color="auto"/>
            </w:tcBorders>
            <w:shd w:val="clear" w:color="auto" w:fill="auto"/>
            <w:noWrap/>
            <w:vAlign w:val="center"/>
            <w:hideMark/>
          </w:tcPr>
          <w:p w14:paraId="4427309F"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1,106,515,498</w:t>
            </w:r>
          </w:p>
        </w:tc>
        <w:tc>
          <w:tcPr>
            <w:tcW w:w="1486" w:type="dxa"/>
            <w:tcBorders>
              <w:top w:val="nil"/>
              <w:left w:val="nil"/>
              <w:bottom w:val="single" w:sz="4" w:space="0" w:color="auto"/>
              <w:right w:val="single" w:sz="4" w:space="0" w:color="auto"/>
            </w:tcBorders>
            <w:shd w:val="clear" w:color="auto" w:fill="auto"/>
            <w:noWrap/>
            <w:vAlign w:val="center"/>
            <w:hideMark/>
          </w:tcPr>
          <w:p w14:paraId="2E811EF3"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23.70</w:t>
            </w:r>
          </w:p>
        </w:tc>
      </w:tr>
      <w:tr w:rsidR="005506A3" w:rsidRPr="000C42E6" w14:paraId="0C7E28F8" w14:textId="77777777" w:rsidTr="00A23566">
        <w:trPr>
          <w:trHeight w:val="92"/>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4E8EED3"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Equipo de Defensa y Seguridad</w:t>
            </w:r>
          </w:p>
        </w:tc>
        <w:tc>
          <w:tcPr>
            <w:tcW w:w="1580" w:type="dxa"/>
            <w:tcBorders>
              <w:top w:val="nil"/>
              <w:left w:val="nil"/>
              <w:bottom w:val="single" w:sz="4" w:space="0" w:color="auto"/>
              <w:right w:val="single" w:sz="4" w:space="0" w:color="auto"/>
            </w:tcBorders>
            <w:shd w:val="clear" w:color="auto" w:fill="auto"/>
            <w:noWrap/>
            <w:vAlign w:val="center"/>
            <w:hideMark/>
          </w:tcPr>
          <w:p w14:paraId="771EC341"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145,390,194</w:t>
            </w:r>
          </w:p>
        </w:tc>
        <w:tc>
          <w:tcPr>
            <w:tcW w:w="1486" w:type="dxa"/>
            <w:tcBorders>
              <w:top w:val="nil"/>
              <w:left w:val="nil"/>
              <w:bottom w:val="single" w:sz="4" w:space="0" w:color="auto"/>
              <w:right w:val="single" w:sz="4" w:space="0" w:color="auto"/>
            </w:tcBorders>
            <w:shd w:val="clear" w:color="auto" w:fill="auto"/>
            <w:noWrap/>
            <w:vAlign w:val="center"/>
            <w:hideMark/>
          </w:tcPr>
          <w:p w14:paraId="72359410"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3.11</w:t>
            </w:r>
          </w:p>
        </w:tc>
      </w:tr>
      <w:tr w:rsidR="005506A3" w:rsidRPr="000C42E6" w14:paraId="5F3CC100" w14:textId="77777777" w:rsidTr="00A23566">
        <w:trPr>
          <w:trHeight w:val="182"/>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EF66F02"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Maquinaria, Otros Equipos y Herramientas</w:t>
            </w:r>
          </w:p>
        </w:tc>
        <w:tc>
          <w:tcPr>
            <w:tcW w:w="1580" w:type="dxa"/>
            <w:tcBorders>
              <w:top w:val="nil"/>
              <w:left w:val="nil"/>
              <w:bottom w:val="single" w:sz="4" w:space="0" w:color="auto"/>
              <w:right w:val="single" w:sz="4" w:space="0" w:color="auto"/>
            </w:tcBorders>
            <w:shd w:val="clear" w:color="auto" w:fill="auto"/>
            <w:noWrap/>
            <w:vAlign w:val="center"/>
            <w:hideMark/>
          </w:tcPr>
          <w:p w14:paraId="2F0D936B"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1,125,468,032</w:t>
            </w:r>
          </w:p>
        </w:tc>
        <w:tc>
          <w:tcPr>
            <w:tcW w:w="1486" w:type="dxa"/>
            <w:tcBorders>
              <w:top w:val="nil"/>
              <w:left w:val="nil"/>
              <w:bottom w:val="single" w:sz="4" w:space="0" w:color="auto"/>
              <w:right w:val="single" w:sz="4" w:space="0" w:color="auto"/>
            </w:tcBorders>
            <w:shd w:val="clear" w:color="auto" w:fill="auto"/>
            <w:noWrap/>
            <w:vAlign w:val="center"/>
            <w:hideMark/>
          </w:tcPr>
          <w:p w14:paraId="36DD34BB"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24.10</w:t>
            </w:r>
          </w:p>
        </w:tc>
      </w:tr>
      <w:tr w:rsidR="005506A3" w:rsidRPr="000C42E6" w14:paraId="4A35ACC5" w14:textId="77777777" w:rsidTr="00A23566">
        <w:trPr>
          <w:trHeight w:val="257"/>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8C4F963"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Colecciones, Obras de Arte y Objetos Valiosos</w:t>
            </w:r>
          </w:p>
        </w:tc>
        <w:tc>
          <w:tcPr>
            <w:tcW w:w="1580" w:type="dxa"/>
            <w:tcBorders>
              <w:top w:val="nil"/>
              <w:left w:val="nil"/>
              <w:bottom w:val="single" w:sz="4" w:space="0" w:color="auto"/>
              <w:right w:val="single" w:sz="4" w:space="0" w:color="auto"/>
            </w:tcBorders>
            <w:shd w:val="clear" w:color="auto" w:fill="auto"/>
            <w:noWrap/>
            <w:vAlign w:val="center"/>
            <w:hideMark/>
          </w:tcPr>
          <w:p w14:paraId="77A02361"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6,156,458</w:t>
            </w:r>
          </w:p>
        </w:tc>
        <w:tc>
          <w:tcPr>
            <w:tcW w:w="1486" w:type="dxa"/>
            <w:tcBorders>
              <w:top w:val="nil"/>
              <w:left w:val="nil"/>
              <w:bottom w:val="single" w:sz="4" w:space="0" w:color="auto"/>
              <w:right w:val="single" w:sz="4" w:space="0" w:color="auto"/>
            </w:tcBorders>
            <w:shd w:val="clear" w:color="auto" w:fill="auto"/>
            <w:noWrap/>
            <w:vAlign w:val="center"/>
            <w:hideMark/>
          </w:tcPr>
          <w:p w14:paraId="557A26F7"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0.13</w:t>
            </w:r>
          </w:p>
        </w:tc>
      </w:tr>
      <w:tr w:rsidR="005506A3" w:rsidRPr="000C42E6" w14:paraId="237A94CD" w14:textId="77777777" w:rsidTr="00A23566">
        <w:trPr>
          <w:trHeight w:val="178"/>
          <w:jc w:val="center"/>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831CFA5" w14:textId="77777777" w:rsidR="005506A3" w:rsidRPr="000C42E6" w:rsidRDefault="005506A3" w:rsidP="005506A3">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Activos Biológicos</w:t>
            </w:r>
          </w:p>
        </w:tc>
        <w:tc>
          <w:tcPr>
            <w:tcW w:w="1580" w:type="dxa"/>
            <w:tcBorders>
              <w:top w:val="nil"/>
              <w:left w:val="nil"/>
              <w:bottom w:val="single" w:sz="4" w:space="0" w:color="auto"/>
              <w:right w:val="single" w:sz="4" w:space="0" w:color="auto"/>
            </w:tcBorders>
            <w:shd w:val="clear" w:color="auto" w:fill="auto"/>
            <w:noWrap/>
            <w:vAlign w:val="center"/>
            <w:hideMark/>
          </w:tcPr>
          <w:p w14:paraId="79F7AAC1" w14:textId="77777777" w:rsidR="005506A3" w:rsidRPr="000C42E6" w:rsidRDefault="005506A3" w:rsidP="005506A3">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654,930</w:t>
            </w:r>
          </w:p>
        </w:tc>
        <w:tc>
          <w:tcPr>
            <w:tcW w:w="1486" w:type="dxa"/>
            <w:tcBorders>
              <w:top w:val="nil"/>
              <w:left w:val="nil"/>
              <w:bottom w:val="single" w:sz="4" w:space="0" w:color="auto"/>
              <w:right w:val="single" w:sz="4" w:space="0" w:color="auto"/>
            </w:tcBorders>
            <w:shd w:val="clear" w:color="auto" w:fill="auto"/>
            <w:noWrap/>
            <w:vAlign w:val="center"/>
            <w:hideMark/>
          </w:tcPr>
          <w:p w14:paraId="2D5EA8B3" w14:textId="77777777" w:rsidR="005506A3" w:rsidRPr="000C42E6" w:rsidRDefault="005506A3" w:rsidP="005506A3">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0.01</w:t>
            </w:r>
          </w:p>
        </w:tc>
      </w:tr>
      <w:tr w:rsidR="005506A3" w:rsidRPr="000C42E6" w14:paraId="3C1F3803" w14:textId="77777777" w:rsidTr="00A23566">
        <w:trPr>
          <w:trHeight w:val="126"/>
          <w:jc w:val="center"/>
        </w:trPr>
        <w:tc>
          <w:tcPr>
            <w:tcW w:w="6868" w:type="dxa"/>
            <w:tcBorders>
              <w:top w:val="nil"/>
              <w:left w:val="single" w:sz="4" w:space="0" w:color="auto"/>
              <w:bottom w:val="single" w:sz="4" w:space="0" w:color="auto"/>
              <w:right w:val="single" w:sz="4" w:space="0" w:color="auto"/>
            </w:tcBorders>
            <w:shd w:val="clear" w:color="auto" w:fill="auto"/>
            <w:noWrap/>
            <w:vAlign w:val="center"/>
            <w:hideMark/>
          </w:tcPr>
          <w:p w14:paraId="30AB31AC" w14:textId="77777777" w:rsidR="005506A3" w:rsidRPr="000C42E6" w:rsidRDefault="005506A3" w:rsidP="005506A3">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 de Bienes Muebles</w:t>
            </w:r>
          </w:p>
        </w:tc>
        <w:tc>
          <w:tcPr>
            <w:tcW w:w="1580" w:type="dxa"/>
            <w:tcBorders>
              <w:top w:val="nil"/>
              <w:left w:val="nil"/>
              <w:bottom w:val="single" w:sz="4" w:space="0" w:color="auto"/>
              <w:right w:val="single" w:sz="4" w:space="0" w:color="auto"/>
            </w:tcBorders>
            <w:shd w:val="clear" w:color="auto" w:fill="auto"/>
            <w:noWrap/>
            <w:vAlign w:val="center"/>
            <w:hideMark/>
          </w:tcPr>
          <w:p w14:paraId="329D6BFA" w14:textId="77777777" w:rsidR="005506A3" w:rsidRPr="000C42E6" w:rsidRDefault="005506A3" w:rsidP="005506A3">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4,669,545,423</w:t>
            </w:r>
          </w:p>
        </w:tc>
        <w:tc>
          <w:tcPr>
            <w:tcW w:w="1486" w:type="dxa"/>
            <w:tcBorders>
              <w:top w:val="nil"/>
              <w:left w:val="nil"/>
              <w:bottom w:val="single" w:sz="4" w:space="0" w:color="auto"/>
              <w:right w:val="single" w:sz="4" w:space="0" w:color="auto"/>
            </w:tcBorders>
            <w:shd w:val="clear" w:color="auto" w:fill="auto"/>
            <w:noWrap/>
            <w:vAlign w:val="center"/>
            <w:hideMark/>
          </w:tcPr>
          <w:p w14:paraId="5C441D27" w14:textId="77777777" w:rsidR="005506A3" w:rsidRPr="000C42E6" w:rsidRDefault="005506A3" w:rsidP="005506A3">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0B95E2B5" w14:textId="77777777" w:rsidR="00D80C90" w:rsidRPr="000C42E6" w:rsidRDefault="00D80C90" w:rsidP="00CB7883">
      <w:pPr>
        <w:spacing w:after="0" w:line="240" w:lineRule="auto"/>
        <w:jc w:val="both"/>
        <w:rPr>
          <w:rFonts w:ascii="Arial" w:eastAsia="Calibri" w:hAnsi="Arial" w:cs="Arial"/>
          <w:b/>
          <w:sz w:val="20"/>
          <w:szCs w:val="20"/>
          <w:u w:val="single"/>
        </w:rPr>
      </w:pPr>
    </w:p>
    <w:p w14:paraId="252A81B8" w14:textId="77777777" w:rsidR="00B37BEB" w:rsidRDefault="00B37BEB" w:rsidP="00CB7883">
      <w:pPr>
        <w:spacing w:after="0" w:line="240" w:lineRule="auto"/>
        <w:jc w:val="both"/>
        <w:rPr>
          <w:rFonts w:ascii="Arial" w:eastAsia="Calibri" w:hAnsi="Arial" w:cs="Arial"/>
          <w:b/>
          <w:sz w:val="20"/>
          <w:szCs w:val="20"/>
          <w:u w:val="single"/>
        </w:rPr>
      </w:pPr>
    </w:p>
    <w:p w14:paraId="3E2E9BB6" w14:textId="77777777" w:rsidR="007D37FE" w:rsidRPr="000C42E6" w:rsidRDefault="00CB7883" w:rsidP="00CB7883">
      <w:pPr>
        <w:spacing w:after="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Bienes Intangibles</w:t>
      </w:r>
    </w:p>
    <w:p w14:paraId="1D1878D9" w14:textId="77777777" w:rsidR="0065115D" w:rsidRPr="000C42E6" w:rsidRDefault="0065115D" w:rsidP="00CB7883">
      <w:pPr>
        <w:spacing w:after="0" w:line="240" w:lineRule="auto"/>
        <w:jc w:val="both"/>
        <w:rPr>
          <w:rFonts w:ascii="Arial" w:eastAsia="Calibri" w:hAnsi="Arial" w:cs="Arial"/>
          <w:b/>
          <w:sz w:val="20"/>
          <w:szCs w:val="20"/>
          <w:u w:val="single"/>
        </w:rPr>
      </w:pPr>
    </w:p>
    <w:p w14:paraId="4EE0ED9B" w14:textId="77777777" w:rsidR="00CB7883" w:rsidRPr="000C42E6" w:rsidRDefault="007D37FE" w:rsidP="00CB7883">
      <w:pPr>
        <w:spacing w:after="0" w:line="240" w:lineRule="auto"/>
        <w:jc w:val="both"/>
        <w:rPr>
          <w:rFonts w:ascii="Arial" w:eastAsia="Calibri" w:hAnsi="Arial" w:cs="Arial"/>
          <w:sz w:val="20"/>
          <w:szCs w:val="20"/>
        </w:rPr>
      </w:pPr>
      <w:r w:rsidRPr="000C42E6">
        <w:rPr>
          <w:rFonts w:ascii="Arial" w:eastAsia="Calibri" w:hAnsi="Arial" w:cs="Arial"/>
          <w:sz w:val="20"/>
          <w:szCs w:val="20"/>
        </w:rPr>
        <w:t xml:space="preserve">El saldo </w:t>
      </w:r>
      <w:r w:rsidR="0065115D" w:rsidRPr="000C42E6">
        <w:rPr>
          <w:rFonts w:ascii="Arial" w:eastAsia="Calibri" w:hAnsi="Arial" w:cs="Arial"/>
          <w:sz w:val="20"/>
          <w:szCs w:val="20"/>
        </w:rPr>
        <w:t>de este</w:t>
      </w:r>
      <w:r w:rsidR="00AF071F" w:rsidRPr="000C42E6">
        <w:rPr>
          <w:rFonts w:ascii="Arial" w:eastAsia="Calibri" w:hAnsi="Arial" w:cs="Arial"/>
          <w:sz w:val="20"/>
          <w:szCs w:val="20"/>
        </w:rPr>
        <w:t xml:space="preserve"> rubro es de </w:t>
      </w:r>
      <w:r w:rsidR="002F5852" w:rsidRPr="000C42E6">
        <w:rPr>
          <w:rFonts w:ascii="Arial" w:eastAsia="Calibri" w:hAnsi="Arial" w:cs="Arial"/>
          <w:b/>
          <w:sz w:val="20"/>
          <w:szCs w:val="20"/>
        </w:rPr>
        <w:t>$273,810.372</w:t>
      </w:r>
      <w:r w:rsidRPr="000C42E6">
        <w:rPr>
          <w:rFonts w:ascii="Arial" w:eastAsia="Calibri" w:hAnsi="Arial" w:cs="Arial"/>
          <w:sz w:val="20"/>
          <w:szCs w:val="20"/>
        </w:rPr>
        <w:t xml:space="preserve"> y se integra como sigue:</w:t>
      </w:r>
      <w:r w:rsidR="00CB7883" w:rsidRPr="000C42E6">
        <w:rPr>
          <w:rFonts w:ascii="Arial" w:eastAsia="Calibri" w:hAnsi="Arial" w:cs="Arial"/>
          <w:sz w:val="20"/>
          <w:szCs w:val="20"/>
        </w:rPr>
        <w:t xml:space="preserve">    </w:t>
      </w:r>
    </w:p>
    <w:p w14:paraId="0A7E84DE" w14:textId="77777777" w:rsidR="00B05407" w:rsidRPr="000C42E6" w:rsidRDefault="00B05407" w:rsidP="00CB7883">
      <w:pPr>
        <w:spacing w:after="0" w:line="240" w:lineRule="auto"/>
        <w:jc w:val="both"/>
        <w:rPr>
          <w:rFonts w:ascii="Arial" w:eastAsia="Calibri" w:hAnsi="Arial" w:cs="Arial"/>
          <w:sz w:val="20"/>
          <w:szCs w:val="20"/>
        </w:rPr>
      </w:pPr>
    </w:p>
    <w:tbl>
      <w:tblPr>
        <w:tblW w:w="9933" w:type="dxa"/>
        <w:jc w:val="center"/>
        <w:tblCellMar>
          <w:left w:w="70" w:type="dxa"/>
          <w:right w:w="70" w:type="dxa"/>
        </w:tblCellMar>
        <w:tblLook w:val="04A0" w:firstRow="1" w:lastRow="0" w:firstColumn="1" w:lastColumn="0" w:noHBand="0" w:noVBand="1"/>
      </w:tblPr>
      <w:tblGrid>
        <w:gridCol w:w="6526"/>
        <w:gridCol w:w="1253"/>
        <w:gridCol w:w="2154"/>
      </w:tblGrid>
      <w:tr w:rsidR="002F5852" w:rsidRPr="000C42E6" w14:paraId="355902B6" w14:textId="77777777" w:rsidTr="00A23566">
        <w:trPr>
          <w:trHeight w:val="212"/>
          <w:jc w:val="center"/>
        </w:trPr>
        <w:tc>
          <w:tcPr>
            <w:tcW w:w="652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19F2927" w14:textId="530429E6" w:rsidR="002F5852" w:rsidRPr="000C42E6" w:rsidRDefault="00CB7883" w:rsidP="002F5852">
            <w:pPr>
              <w:spacing w:after="0" w:line="240" w:lineRule="auto"/>
              <w:jc w:val="center"/>
              <w:rPr>
                <w:rFonts w:ascii="Arial" w:eastAsia="Times New Roman" w:hAnsi="Arial" w:cs="Arial"/>
                <w:b/>
                <w:bCs/>
                <w:color w:val="000000"/>
                <w:sz w:val="20"/>
                <w:szCs w:val="20"/>
                <w:lang w:eastAsia="es-MX"/>
              </w:rPr>
            </w:pPr>
            <w:r w:rsidRPr="000C42E6">
              <w:rPr>
                <w:rFonts w:ascii="Arial" w:eastAsia="Calibri" w:hAnsi="Arial" w:cs="Arial"/>
                <w:b/>
                <w:sz w:val="20"/>
                <w:szCs w:val="20"/>
                <w:u w:val="single"/>
              </w:rPr>
              <w:t xml:space="preserve"> </w:t>
            </w:r>
            <w:r w:rsidR="002F5852" w:rsidRPr="000C42E6">
              <w:rPr>
                <w:rFonts w:ascii="Arial" w:eastAsia="Times New Roman" w:hAnsi="Arial" w:cs="Arial"/>
                <w:b/>
                <w:bCs/>
                <w:color w:val="000000"/>
                <w:sz w:val="20"/>
                <w:szCs w:val="20"/>
                <w:lang w:eastAsia="es-MX"/>
              </w:rPr>
              <w:t>Concepto</w:t>
            </w:r>
          </w:p>
        </w:tc>
        <w:tc>
          <w:tcPr>
            <w:tcW w:w="1253" w:type="dxa"/>
            <w:tcBorders>
              <w:top w:val="single" w:sz="4" w:space="0" w:color="auto"/>
              <w:left w:val="nil"/>
              <w:bottom w:val="single" w:sz="4" w:space="0" w:color="auto"/>
              <w:right w:val="single" w:sz="4" w:space="0" w:color="auto"/>
            </w:tcBorders>
            <w:shd w:val="clear" w:color="000000" w:fill="D0CECE"/>
            <w:noWrap/>
            <w:vAlign w:val="center"/>
            <w:hideMark/>
          </w:tcPr>
          <w:p w14:paraId="71FA846C" w14:textId="4509372B" w:rsidR="002F5852" w:rsidRPr="000C42E6" w:rsidRDefault="00710741" w:rsidP="00710741">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Saldos al 31 de diciembre 2025</w:t>
            </w:r>
            <w:r w:rsidR="002F5852" w:rsidRPr="000C42E6">
              <w:rPr>
                <w:rFonts w:ascii="Arial" w:eastAsia="Times New Roman" w:hAnsi="Arial" w:cs="Arial"/>
                <w:b/>
                <w:bCs/>
                <w:color w:val="000000"/>
                <w:sz w:val="20"/>
                <w:szCs w:val="20"/>
                <w:lang w:eastAsia="es-MX"/>
              </w:rPr>
              <w:t xml:space="preserve"> </w:t>
            </w:r>
          </w:p>
        </w:tc>
        <w:tc>
          <w:tcPr>
            <w:tcW w:w="2154" w:type="dxa"/>
            <w:tcBorders>
              <w:top w:val="single" w:sz="4" w:space="0" w:color="auto"/>
              <w:left w:val="nil"/>
              <w:bottom w:val="single" w:sz="4" w:space="0" w:color="auto"/>
              <w:right w:val="single" w:sz="4" w:space="0" w:color="auto"/>
            </w:tcBorders>
            <w:shd w:val="clear" w:color="000000" w:fill="D0CECE"/>
            <w:noWrap/>
            <w:vAlign w:val="center"/>
            <w:hideMark/>
          </w:tcPr>
          <w:p w14:paraId="32B71979" w14:textId="77777777" w:rsidR="002F5852" w:rsidRPr="000C42E6" w:rsidRDefault="002F5852" w:rsidP="002F5852">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2F5852" w:rsidRPr="000C42E6" w14:paraId="452EEFE0" w14:textId="77777777" w:rsidTr="00A23566">
        <w:trPr>
          <w:trHeight w:val="116"/>
          <w:jc w:val="center"/>
        </w:trPr>
        <w:tc>
          <w:tcPr>
            <w:tcW w:w="6526" w:type="dxa"/>
            <w:tcBorders>
              <w:top w:val="nil"/>
              <w:left w:val="single" w:sz="4" w:space="0" w:color="auto"/>
              <w:bottom w:val="single" w:sz="4" w:space="0" w:color="auto"/>
              <w:right w:val="single" w:sz="4" w:space="0" w:color="auto"/>
            </w:tcBorders>
            <w:noWrap/>
            <w:vAlign w:val="center"/>
            <w:hideMark/>
          </w:tcPr>
          <w:p w14:paraId="32C9CC18" w14:textId="77777777" w:rsidR="002F5852" w:rsidRPr="000C42E6" w:rsidRDefault="002F5852" w:rsidP="002F5852">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Software</w:t>
            </w:r>
          </w:p>
        </w:tc>
        <w:tc>
          <w:tcPr>
            <w:tcW w:w="1253" w:type="dxa"/>
            <w:tcBorders>
              <w:top w:val="nil"/>
              <w:left w:val="nil"/>
              <w:bottom w:val="single" w:sz="4" w:space="0" w:color="auto"/>
              <w:right w:val="single" w:sz="4" w:space="0" w:color="auto"/>
            </w:tcBorders>
            <w:noWrap/>
            <w:vAlign w:val="center"/>
            <w:hideMark/>
          </w:tcPr>
          <w:p w14:paraId="02A7959B" w14:textId="77777777" w:rsidR="002F5852" w:rsidRPr="000C42E6" w:rsidRDefault="002F5852" w:rsidP="002F5852">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185,998,529</w:t>
            </w:r>
          </w:p>
        </w:tc>
        <w:tc>
          <w:tcPr>
            <w:tcW w:w="2154" w:type="dxa"/>
            <w:tcBorders>
              <w:top w:val="nil"/>
              <w:left w:val="nil"/>
              <w:bottom w:val="single" w:sz="4" w:space="0" w:color="auto"/>
              <w:right w:val="single" w:sz="4" w:space="0" w:color="auto"/>
            </w:tcBorders>
            <w:noWrap/>
            <w:vAlign w:val="center"/>
            <w:hideMark/>
          </w:tcPr>
          <w:p w14:paraId="72230976" w14:textId="77777777" w:rsidR="002F5852" w:rsidRPr="000C42E6" w:rsidRDefault="002F5852" w:rsidP="002F5852">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67.93</w:t>
            </w:r>
          </w:p>
        </w:tc>
      </w:tr>
      <w:tr w:rsidR="002F5852" w:rsidRPr="000C42E6" w14:paraId="3C71E0FB" w14:textId="77777777" w:rsidTr="00A23566">
        <w:trPr>
          <w:trHeight w:val="162"/>
          <w:jc w:val="center"/>
        </w:trPr>
        <w:tc>
          <w:tcPr>
            <w:tcW w:w="6526" w:type="dxa"/>
            <w:tcBorders>
              <w:top w:val="nil"/>
              <w:left w:val="single" w:sz="4" w:space="0" w:color="auto"/>
              <w:bottom w:val="single" w:sz="4" w:space="0" w:color="auto"/>
              <w:right w:val="single" w:sz="4" w:space="0" w:color="auto"/>
            </w:tcBorders>
            <w:noWrap/>
            <w:vAlign w:val="center"/>
            <w:hideMark/>
          </w:tcPr>
          <w:p w14:paraId="34B54675" w14:textId="77777777" w:rsidR="002F5852" w:rsidRPr="000C42E6" w:rsidRDefault="002F5852" w:rsidP="002F5852">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Patentes, Marcas y  Derechos</w:t>
            </w:r>
          </w:p>
        </w:tc>
        <w:tc>
          <w:tcPr>
            <w:tcW w:w="1253" w:type="dxa"/>
            <w:tcBorders>
              <w:top w:val="nil"/>
              <w:left w:val="nil"/>
              <w:bottom w:val="single" w:sz="4" w:space="0" w:color="auto"/>
              <w:right w:val="single" w:sz="4" w:space="0" w:color="auto"/>
            </w:tcBorders>
            <w:noWrap/>
            <w:vAlign w:val="center"/>
            <w:hideMark/>
          </w:tcPr>
          <w:p w14:paraId="295CC76E" w14:textId="77777777" w:rsidR="002F5852" w:rsidRPr="000C42E6" w:rsidRDefault="002F5852" w:rsidP="002F5852">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220,329</w:t>
            </w:r>
          </w:p>
        </w:tc>
        <w:tc>
          <w:tcPr>
            <w:tcW w:w="2154" w:type="dxa"/>
            <w:tcBorders>
              <w:top w:val="nil"/>
              <w:left w:val="nil"/>
              <w:bottom w:val="single" w:sz="4" w:space="0" w:color="auto"/>
              <w:right w:val="single" w:sz="4" w:space="0" w:color="auto"/>
            </w:tcBorders>
            <w:noWrap/>
            <w:vAlign w:val="center"/>
            <w:hideMark/>
          </w:tcPr>
          <w:p w14:paraId="675B8107" w14:textId="77777777" w:rsidR="002F5852" w:rsidRPr="000C42E6" w:rsidRDefault="002F5852" w:rsidP="002F5852">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0.08</w:t>
            </w:r>
          </w:p>
        </w:tc>
      </w:tr>
      <w:tr w:rsidR="002F5852" w:rsidRPr="000C42E6" w14:paraId="463D8E75" w14:textId="77777777" w:rsidTr="00A23566">
        <w:trPr>
          <w:trHeight w:val="70"/>
          <w:jc w:val="center"/>
        </w:trPr>
        <w:tc>
          <w:tcPr>
            <w:tcW w:w="6526" w:type="dxa"/>
            <w:tcBorders>
              <w:top w:val="nil"/>
              <w:left w:val="single" w:sz="4" w:space="0" w:color="auto"/>
              <w:bottom w:val="single" w:sz="4" w:space="0" w:color="auto"/>
              <w:right w:val="single" w:sz="4" w:space="0" w:color="auto"/>
            </w:tcBorders>
            <w:noWrap/>
            <w:vAlign w:val="center"/>
            <w:hideMark/>
          </w:tcPr>
          <w:p w14:paraId="77D0C530" w14:textId="77777777" w:rsidR="002F5852" w:rsidRPr="000C42E6" w:rsidRDefault="002F5852" w:rsidP="002F5852">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Licencias</w:t>
            </w:r>
          </w:p>
        </w:tc>
        <w:tc>
          <w:tcPr>
            <w:tcW w:w="1253" w:type="dxa"/>
            <w:tcBorders>
              <w:top w:val="nil"/>
              <w:left w:val="nil"/>
              <w:bottom w:val="single" w:sz="4" w:space="0" w:color="auto"/>
              <w:right w:val="single" w:sz="4" w:space="0" w:color="auto"/>
            </w:tcBorders>
            <w:noWrap/>
            <w:vAlign w:val="center"/>
            <w:hideMark/>
          </w:tcPr>
          <w:p w14:paraId="1F29B1A2" w14:textId="77777777" w:rsidR="002F5852" w:rsidRPr="000C42E6" w:rsidRDefault="002F5852" w:rsidP="002F5852">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87,591,514</w:t>
            </w:r>
          </w:p>
        </w:tc>
        <w:tc>
          <w:tcPr>
            <w:tcW w:w="2154" w:type="dxa"/>
            <w:tcBorders>
              <w:top w:val="nil"/>
              <w:left w:val="nil"/>
              <w:bottom w:val="single" w:sz="4" w:space="0" w:color="auto"/>
              <w:right w:val="single" w:sz="4" w:space="0" w:color="auto"/>
            </w:tcBorders>
            <w:noWrap/>
            <w:vAlign w:val="center"/>
            <w:hideMark/>
          </w:tcPr>
          <w:p w14:paraId="1D905C9C" w14:textId="77777777" w:rsidR="002F5852" w:rsidRPr="000C42E6" w:rsidRDefault="002F5852" w:rsidP="002F5852">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31.99</w:t>
            </w:r>
          </w:p>
        </w:tc>
      </w:tr>
      <w:tr w:rsidR="002F5852" w:rsidRPr="000C42E6" w14:paraId="50D9E733" w14:textId="77777777" w:rsidTr="00A23566">
        <w:trPr>
          <w:trHeight w:val="112"/>
          <w:jc w:val="center"/>
        </w:trPr>
        <w:tc>
          <w:tcPr>
            <w:tcW w:w="6526" w:type="dxa"/>
            <w:tcBorders>
              <w:top w:val="nil"/>
              <w:left w:val="single" w:sz="4" w:space="0" w:color="auto"/>
              <w:bottom w:val="single" w:sz="4" w:space="0" w:color="auto"/>
              <w:right w:val="single" w:sz="4" w:space="0" w:color="auto"/>
            </w:tcBorders>
            <w:noWrap/>
            <w:vAlign w:val="center"/>
            <w:hideMark/>
          </w:tcPr>
          <w:p w14:paraId="428F0AC7" w14:textId="77777777" w:rsidR="002F5852" w:rsidRPr="000C42E6" w:rsidRDefault="002F5852" w:rsidP="002F5852">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 de Bienes Intangibles</w:t>
            </w:r>
          </w:p>
        </w:tc>
        <w:tc>
          <w:tcPr>
            <w:tcW w:w="1253" w:type="dxa"/>
            <w:tcBorders>
              <w:top w:val="nil"/>
              <w:left w:val="nil"/>
              <w:bottom w:val="single" w:sz="4" w:space="0" w:color="auto"/>
              <w:right w:val="single" w:sz="4" w:space="0" w:color="auto"/>
            </w:tcBorders>
            <w:noWrap/>
            <w:vAlign w:val="center"/>
            <w:hideMark/>
          </w:tcPr>
          <w:p w14:paraId="049D39D5" w14:textId="77777777" w:rsidR="002F5852" w:rsidRPr="000C42E6" w:rsidRDefault="002F5852" w:rsidP="002F5852">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273,810,372</w:t>
            </w:r>
          </w:p>
        </w:tc>
        <w:tc>
          <w:tcPr>
            <w:tcW w:w="2154" w:type="dxa"/>
            <w:tcBorders>
              <w:top w:val="nil"/>
              <w:left w:val="nil"/>
              <w:bottom w:val="single" w:sz="4" w:space="0" w:color="auto"/>
              <w:right w:val="single" w:sz="4" w:space="0" w:color="auto"/>
            </w:tcBorders>
            <w:noWrap/>
            <w:vAlign w:val="center"/>
            <w:hideMark/>
          </w:tcPr>
          <w:p w14:paraId="1EC04313" w14:textId="77777777" w:rsidR="002F5852" w:rsidRPr="000C42E6" w:rsidRDefault="002F5852" w:rsidP="002F5852">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4E307738" w14:textId="77777777" w:rsidR="00135E1D" w:rsidRPr="000C42E6" w:rsidRDefault="00135E1D" w:rsidP="00CB7883">
      <w:pPr>
        <w:spacing w:after="200" w:line="240" w:lineRule="auto"/>
        <w:jc w:val="both"/>
        <w:rPr>
          <w:rFonts w:ascii="Arial" w:eastAsia="Calibri" w:hAnsi="Arial" w:cs="Arial"/>
          <w:sz w:val="20"/>
          <w:szCs w:val="20"/>
        </w:rPr>
      </w:pPr>
    </w:p>
    <w:p w14:paraId="41396ED6" w14:textId="77777777" w:rsidR="00CB7883" w:rsidRPr="000C42E6" w:rsidRDefault="00CB7883" w:rsidP="00CB7883">
      <w:pPr>
        <w:spacing w:after="200" w:line="240" w:lineRule="auto"/>
        <w:jc w:val="both"/>
        <w:rPr>
          <w:rFonts w:ascii="Arial" w:eastAsia="Calibri" w:hAnsi="Arial" w:cs="Arial"/>
          <w:sz w:val="20"/>
          <w:szCs w:val="20"/>
        </w:rPr>
      </w:pPr>
      <w:r w:rsidRPr="000C42E6">
        <w:rPr>
          <w:rFonts w:ascii="Arial" w:eastAsia="Calibri" w:hAnsi="Arial" w:cs="Arial"/>
          <w:sz w:val="20"/>
          <w:szCs w:val="20"/>
        </w:rPr>
        <w:t xml:space="preserve">Saldos de Bienes Muebles, Inmuebles e Intangibles conciliados con las Dependencias y Órganos Desconcentrados sin RFC; se continúa dando seguimiento para el adecuado registro contable de los bienes adquiridos. </w:t>
      </w:r>
    </w:p>
    <w:p w14:paraId="7C4AC7DE" w14:textId="77777777" w:rsidR="00E3470A" w:rsidRPr="000C42E6" w:rsidRDefault="00E3470A" w:rsidP="00CB7883">
      <w:pPr>
        <w:spacing w:after="200" w:line="240" w:lineRule="auto"/>
        <w:jc w:val="both"/>
        <w:rPr>
          <w:rFonts w:ascii="Arial" w:eastAsia="Calibri" w:hAnsi="Arial" w:cs="Arial"/>
          <w:sz w:val="20"/>
          <w:szCs w:val="20"/>
        </w:rPr>
      </w:pPr>
    </w:p>
    <w:p w14:paraId="535DDFB5" w14:textId="77777777" w:rsidR="00CB7883" w:rsidRPr="000C42E6" w:rsidRDefault="00CB7883" w:rsidP="00CB7883">
      <w:pPr>
        <w:spacing w:after="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 xml:space="preserve">Depreciación, Deterioro y Amortización Acumulada de Bienes </w:t>
      </w:r>
    </w:p>
    <w:p w14:paraId="535C0608" w14:textId="77777777" w:rsidR="00CB7883" w:rsidRPr="000C42E6" w:rsidRDefault="00CB7883" w:rsidP="00CB7883">
      <w:pPr>
        <w:spacing w:after="0" w:line="240" w:lineRule="auto"/>
        <w:jc w:val="center"/>
        <w:rPr>
          <w:rFonts w:ascii="Arial" w:eastAsia="Calibri" w:hAnsi="Arial" w:cs="Arial"/>
          <w:sz w:val="20"/>
          <w:szCs w:val="20"/>
        </w:rPr>
      </w:pPr>
    </w:p>
    <w:p w14:paraId="0C605499" w14:textId="627A3F3B" w:rsidR="00CB7883" w:rsidRPr="000C42E6" w:rsidRDefault="007D37FE" w:rsidP="00CB7883">
      <w:pPr>
        <w:spacing w:after="200" w:line="240" w:lineRule="auto"/>
        <w:jc w:val="both"/>
        <w:rPr>
          <w:rFonts w:ascii="Arial" w:eastAsia="Calibri" w:hAnsi="Arial" w:cs="Arial"/>
          <w:sz w:val="20"/>
          <w:szCs w:val="20"/>
        </w:rPr>
      </w:pPr>
      <w:r w:rsidRPr="000C42E6">
        <w:rPr>
          <w:rFonts w:ascii="Arial" w:eastAsia="Calibri" w:hAnsi="Arial" w:cs="Arial"/>
          <w:sz w:val="20"/>
          <w:szCs w:val="20"/>
        </w:rPr>
        <w:t xml:space="preserve">El saldo de </w:t>
      </w:r>
      <w:r w:rsidR="00B46567" w:rsidRPr="000C42E6">
        <w:rPr>
          <w:rFonts w:ascii="Arial" w:eastAsia="Calibri" w:hAnsi="Arial" w:cs="Arial"/>
          <w:sz w:val="20"/>
          <w:szCs w:val="20"/>
        </w:rPr>
        <w:t xml:space="preserve">este rubro es por </w:t>
      </w:r>
      <w:r w:rsidR="00BC6BDE" w:rsidRPr="000C42E6">
        <w:rPr>
          <w:rFonts w:ascii="Arial" w:eastAsia="Calibri" w:hAnsi="Arial" w:cs="Arial"/>
          <w:b/>
          <w:sz w:val="20"/>
          <w:szCs w:val="20"/>
        </w:rPr>
        <w:t>$</w:t>
      </w:r>
      <w:r w:rsidR="00CD6C6B" w:rsidRPr="000C42E6">
        <w:rPr>
          <w:rFonts w:ascii="Arial" w:eastAsia="Calibri" w:hAnsi="Arial" w:cs="Arial"/>
          <w:b/>
          <w:sz w:val="20"/>
          <w:szCs w:val="20"/>
        </w:rPr>
        <w:t>5</w:t>
      </w:r>
      <w:proofErr w:type="gramStart"/>
      <w:r w:rsidR="00CD6C6B" w:rsidRPr="000C42E6">
        <w:rPr>
          <w:rFonts w:ascii="Arial" w:eastAsia="Calibri" w:hAnsi="Arial" w:cs="Arial"/>
          <w:b/>
          <w:sz w:val="20"/>
          <w:szCs w:val="20"/>
        </w:rPr>
        <w:t>,707,399,057</w:t>
      </w:r>
      <w:proofErr w:type="gramEnd"/>
      <w:r w:rsidRPr="000C42E6">
        <w:rPr>
          <w:rFonts w:ascii="Arial" w:eastAsia="Calibri" w:hAnsi="Arial" w:cs="Arial"/>
          <w:sz w:val="20"/>
          <w:szCs w:val="20"/>
        </w:rPr>
        <w:t xml:space="preserve"> y se integra como sigue:</w:t>
      </w:r>
    </w:p>
    <w:tbl>
      <w:tblPr>
        <w:tblW w:w="10065" w:type="dxa"/>
        <w:jc w:val="center"/>
        <w:tblCellMar>
          <w:left w:w="70" w:type="dxa"/>
          <w:right w:w="70" w:type="dxa"/>
        </w:tblCellMar>
        <w:tblLook w:val="04A0" w:firstRow="1" w:lastRow="0" w:firstColumn="1" w:lastColumn="0" w:noHBand="0" w:noVBand="1"/>
      </w:tblPr>
      <w:tblGrid>
        <w:gridCol w:w="6442"/>
        <w:gridCol w:w="1420"/>
        <w:gridCol w:w="2203"/>
      </w:tblGrid>
      <w:tr w:rsidR="00747FD4" w:rsidRPr="000C42E6" w14:paraId="3047BBD0" w14:textId="77777777" w:rsidTr="00A23566">
        <w:trPr>
          <w:trHeight w:val="300"/>
          <w:jc w:val="center"/>
        </w:trPr>
        <w:tc>
          <w:tcPr>
            <w:tcW w:w="6442"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11498B8" w14:textId="77777777" w:rsidR="00747FD4" w:rsidRPr="000C42E6" w:rsidRDefault="00747FD4" w:rsidP="00747FD4">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lastRenderedPageBreak/>
              <w:t>Concepto</w:t>
            </w:r>
          </w:p>
        </w:tc>
        <w:tc>
          <w:tcPr>
            <w:tcW w:w="1420" w:type="dxa"/>
            <w:tcBorders>
              <w:top w:val="single" w:sz="4" w:space="0" w:color="auto"/>
              <w:left w:val="nil"/>
              <w:bottom w:val="single" w:sz="4" w:space="0" w:color="auto"/>
              <w:right w:val="single" w:sz="4" w:space="0" w:color="auto"/>
            </w:tcBorders>
            <w:shd w:val="clear" w:color="000000" w:fill="D0CECE"/>
            <w:noWrap/>
            <w:vAlign w:val="center"/>
            <w:hideMark/>
          </w:tcPr>
          <w:p w14:paraId="4E33A86E" w14:textId="2EC3E30B" w:rsidR="00747FD4" w:rsidRPr="000C42E6" w:rsidRDefault="00710741" w:rsidP="00747FD4">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Saldos al 31 de diciembre 2025</w:t>
            </w:r>
          </w:p>
        </w:tc>
        <w:tc>
          <w:tcPr>
            <w:tcW w:w="2203" w:type="dxa"/>
            <w:tcBorders>
              <w:top w:val="single" w:sz="4" w:space="0" w:color="auto"/>
              <w:left w:val="nil"/>
              <w:bottom w:val="single" w:sz="4" w:space="0" w:color="auto"/>
              <w:right w:val="single" w:sz="4" w:space="0" w:color="auto"/>
            </w:tcBorders>
            <w:shd w:val="clear" w:color="000000" w:fill="D0CECE"/>
            <w:noWrap/>
            <w:vAlign w:val="center"/>
            <w:hideMark/>
          </w:tcPr>
          <w:p w14:paraId="2ED158C8" w14:textId="77777777" w:rsidR="00747FD4" w:rsidRPr="000C42E6" w:rsidRDefault="00747FD4" w:rsidP="00747FD4">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747FD4" w:rsidRPr="000C42E6" w14:paraId="51A4D50F" w14:textId="77777777" w:rsidTr="00A23566">
        <w:trPr>
          <w:trHeight w:val="300"/>
          <w:jc w:val="center"/>
        </w:trPr>
        <w:tc>
          <w:tcPr>
            <w:tcW w:w="6442" w:type="dxa"/>
            <w:tcBorders>
              <w:top w:val="nil"/>
              <w:left w:val="single" w:sz="4" w:space="0" w:color="auto"/>
              <w:bottom w:val="single" w:sz="4" w:space="0" w:color="auto"/>
              <w:right w:val="single" w:sz="4" w:space="0" w:color="auto"/>
            </w:tcBorders>
            <w:shd w:val="clear" w:color="auto" w:fill="auto"/>
            <w:noWrap/>
            <w:vAlign w:val="center"/>
            <w:hideMark/>
          </w:tcPr>
          <w:p w14:paraId="4AFCD528" w14:textId="77777777" w:rsidR="00747FD4" w:rsidRPr="000C42E6" w:rsidRDefault="00747FD4" w:rsidP="00747FD4">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Inmuebles</w:t>
            </w:r>
          </w:p>
        </w:tc>
        <w:tc>
          <w:tcPr>
            <w:tcW w:w="1420" w:type="dxa"/>
            <w:tcBorders>
              <w:top w:val="nil"/>
              <w:left w:val="nil"/>
              <w:bottom w:val="single" w:sz="4" w:space="0" w:color="auto"/>
              <w:right w:val="single" w:sz="4" w:space="0" w:color="auto"/>
            </w:tcBorders>
            <w:shd w:val="clear" w:color="auto" w:fill="auto"/>
            <w:noWrap/>
            <w:vAlign w:val="center"/>
            <w:hideMark/>
          </w:tcPr>
          <w:p w14:paraId="608A3B04" w14:textId="77777777" w:rsidR="00747FD4" w:rsidRPr="000C42E6" w:rsidRDefault="00747FD4" w:rsidP="00747FD4">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3,360,745,718</w:t>
            </w:r>
          </w:p>
        </w:tc>
        <w:tc>
          <w:tcPr>
            <w:tcW w:w="2203" w:type="dxa"/>
            <w:tcBorders>
              <w:top w:val="nil"/>
              <w:left w:val="nil"/>
              <w:bottom w:val="single" w:sz="4" w:space="0" w:color="auto"/>
              <w:right w:val="single" w:sz="4" w:space="0" w:color="auto"/>
            </w:tcBorders>
            <w:shd w:val="clear" w:color="auto" w:fill="auto"/>
            <w:noWrap/>
            <w:vAlign w:val="center"/>
            <w:hideMark/>
          </w:tcPr>
          <w:p w14:paraId="32070057" w14:textId="77777777" w:rsidR="00747FD4" w:rsidRPr="000C42E6" w:rsidRDefault="00747FD4" w:rsidP="00747FD4">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58.88</w:t>
            </w:r>
          </w:p>
        </w:tc>
      </w:tr>
      <w:tr w:rsidR="00747FD4" w:rsidRPr="000C42E6" w14:paraId="7E1355EB" w14:textId="77777777" w:rsidTr="00A23566">
        <w:trPr>
          <w:trHeight w:val="300"/>
          <w:jc w:val="center"/>
        </w:trPr>
        <w:tc>
          <w:tcPr>
            <w:tcW w:w="6442" w:type="dxa"/>
            <w:tcBorders>
              <w:top w:val="nil"/>
              <w:left w:val="single" w:sz="4" w:space="0" w:color="auto"/>
              <w:bottom w:val="single" w:sz="4" w:space="0" w:color="auto"/>
              <w:right w:val="single" w:sz="4" w:space="0" w:color="auto"/>
            </w:tcBorders>
            <w:shd w:val="clear" w:color="auto" w:fill="auto"/>
            <w:noWrap/>
            <w:vAlign w:val="center"/>
            <w:hideMark/>
          </w:tcPr>
          <w:p w14:paraId="3B8E76EB" w14:textId="77777777" w:rsidR="00747FD4" w:rsidRPr="000C42E6" w:rsidRDefault="00747FD4" w:rsidP="00747FD4">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Infraestructura</w:t>
            </w:r>
          </w:p>
        </w:tc>
        <w:tc>
          <w:tcPr>
            <w:tcW w:w="1420" w:type="dxa"/>
            <w:tcBorders>
              <w:top w:val="nil"/>
              <w:left w:val="nil"/>
              <w:bottom w:val="single" w:sz="4" w:space="0" w:color="auto"/>
              <w:right w:val="single" w:sz="4" w:space="0" w:color="auto"/>
            </w:tcBorders>
            <w:shd w:val="clear" w:color="auto" w:fill="auto"/>
            <w:noWrap/>
            <w:vAlign w:val="center"/>
            <w:hideMark/>
          </w:tcPr>
          <w:p w14:paraId="6374E05F" w14:textId="77777777" w:rsidR="00747FD4" w:rsidRPr="000C42E6" w:rsidRDefault="00747FD4" w:rsidP="00747FD4">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2,461,746</w:t>
            </w:r>
          </w:p>
        </w:tc>
        <w:tc>
          <w:tcPr>
            <w:tcW w:w="2203" w:type="dxa"/>
            <w:tcBorders>
              <w:top w:val="nil"/>
              <w:left w:val="nil"/>
              <w:bottom w:val="single" w:sz="4" w:space="0" w:color="auto"/>
              <w:right w:val="single" w:sz="4" w:space="0" w:color="auto"/>
            </w:tcBorders>
            <w:shd w:val="clear" w:color="auto" w:fill="auto"/>
            <w:noWrap/>
            <w:vAlign w:val="center"/>
            <w:hideMark/>
          </w:tcPr>
          <w:p w14:paraId="15D095E6" w14:textId="77777777" w:rsidR="00747FD4" w:rsidRPr="000C42E6" w:rsidRDefault="00747FD4" w:rsidP="00747FD4">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0.04</w:t>
            </w:r>
          </w:p>
        </w:tc>
      </w:tr>
      <w:tr w:rsidR="00747FD4" w:rsidRPr="000C42E6" w14:paraId="5E2879B7" w14:textId="77777777" w:rsidTr="00A23566">
        <w:trPr>
          <w:trHeight w:val="300"/>
          <w:jc w:val="center"/>
        </w:trPr>
        <w:tc>
          <w:tcPr>
            <w:tcW w:w="6442" w:type="dxa"/>
            <w:tcBorders>
              <w:top w:val="nil"/>
              <w:left w:val="single" w:sz="4" w:space="0" w:color="auto"/>
              <w:bottom w:val="single" w:sz="4" w:space="0" w:color="auto"/>
              <w:right w:val="single" w:sz="4" w:space="0" w:color="auto"/>
            </w:tcBorders>
            <w:shd w:val="clear" w:color="auto" w:fill="auto"/>
            <w:noWrap/>
            <w:vAlign w:val="center"/>
            <w:hideMark/>
          </w:tcPr>
          <w:p w14:paraId="46D40F82" w14:textId="77777777" w:rsidR="00747FD4" w:rsidRPr="000C42E6" w:rsidRDefault="00747FD4" w:rsidP="00747FD4">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Muebles</w:t>
            </w:r>
          </w:p>
        </w:tc>
        <w:tc>
          <w:tcPr>
            <w:tcW w:w="1420" w:type="dxa"/>
            <w:tcBorders>
              <w:top w:val="nil"/>
              <w:left w:val="nil"/>
              <w:bottom w:val="single" w:sz="4" w:space="0" w:color="auto"/>
              <w:right w:val="single" w:sz="4" w:space="0" w:color="auto"/>
            </w:tcBorders>
            <w:shd w:val="clear" w:color="auto" w:fill="auto"/>
            <w:noWrap/>
            <w:vAlign w:val="center"/>
            <w:hideMark/>
          </w:tcPr>
          <w:p w14:paraId="5063C0DF" w14:textId="77777777" w:rsidR="00747FD4" w:rsidRPr="000C42E6" w:rsidRDefault="00747FD4" w:rsidP="00747FD4">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2,340,808,414</w:t>
            </w:r>
          </w:p>
        </w:tc>
        <w:tc>
          <w:tcPr>
            <w:tcW w:w="2203" w:type="dxa"/>
            <w:tcBorders>
              <w:top w:val="nil"/>
              <w:left w:val="nil"/>
              <w:bottom w:val="single" w:sz="4" w:space="0" w:color="auto"/>
              <w:right w:val="single" w:sz="4" w:space="0" w:color="auto"/>
            </w:tcBorders>
            <w:shd w:val="clear" w:color="auto" w:fill="auto"/>
            <w:noWrap/>
            <w:vAlign w:val="center"/>
            <w:hideMark/>
          </w:tcPr>
          <w:p w14:paraId="1DEB1244" w14:textId="77777777" w:rsidR="00747FD4" w:rsidRPr="000C42E6" w:rsidRDefault="00747FD4" w:rsidP="00747FD4">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41.01</w:t>
            </w:r>
          </w:p>
        </w:tc>
      </w:tr>
      <w:tr w:rsidR="00747FD4" w:rsidRPr="000C42E6" w14:paraId="6D2C5313" w14:textId="77777777" w:rsidTr="00A23566">
        <w:trPr>
          <w:trHeight w:val="300"/>
          <w:jc w:val="center"/>
        </w:trPr>
        <w:tc>
          <w:tcPr>
            <w:tcW w:w="6442" w:type="dxa"/>
            <w:tcBorders>
              <w:top w:val="nil"/>
              <w:left w:val="single" w:sz="4" w:space="0" w:color="auto"/>
              <w:bottom w:val="single" w:sz="4" w:space="0" w:color="auto"/>
              <w:right w:val="single" w:sz="4" w:space="0" w:color="auto"/>
            </w:tcBorders>
            <w:shd w:val="clear" w:color="auto" w:fill="auto"/>
            <w:noWrap/>
            <w:vAlign w:val="center"/>
            <w:hideMark/>
          </w:tcPr>
          <w:p w14:paraId="51D25877" w14:textId="77777777" w:rsidR="00747FD4" w:rsidRPr="000C42E6" w:rsidRDefault="00747FD4" w:rsidP="00747FD4">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Biológicos</w:t>
            </w:r>
          </w:p>
        </w:tc>
        <w:tc>
          <w:tcPr>
            <w:tcW w:w="1420" w:type="dxa"/>
            <w:tcBorders>
              <w:top w:val="nil"/>
              <w:left w:val="nil"/>
              <w:bottom w:val="single" w:sz="4" w:space="0" w:color="auto"/>
              <w:right w:val="single" w:sz="4" w:space="0" w:color="auto"/>
            </w:tcBorders>
            <w:shd w:val="clear" w:color="auto" w:fill="auto"/>
            <w:noWrap/>
            <w:vAlign w:val="center"/>
            <w:hideMark/>
          </w:tcPr>
          <w:p w14:paraId="0D98B828" w14:textId="77777777" w:rsidR="00747FD4" w:rsidRPr="000C42E6" w:rsidRDefault="00747FD4" w:rsidP="00747FD4">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206,989</w:t>
            </w:r>
          </w:p>
        </w:tc>
        <w:tc>
          <w:tcPr>
            <w:tcW w:w="2203" w:type="dxa"/>
            <w:tcBorders>
              <w:top w:val="nil"/>
              <w:left w:val="nil"/>
              <w:bottom w:val="single" w:sz="4" w:space="0" w:color="auto"/>
              <w:right w:val="single" w:sz="4" w:space="0" w:color="auto"/>
            </w:tcBorders>
            <w:shd w:val="clear" w:color="auto" w:fill="auto"/>
            <w:noWrap/>
            <w:vAlign w:val="center"/>
            <w:hideMark/>
          </w:tcPr>
          <w:p w14:paraId="36DD91BA" w14:textId="77777777" w:rsidR="00747FD4" w:rsidRPr="000C42E6" w:rsidRDefault="00747FD4" w:rsidP="00747FD4">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0.00</w:t>
            </w:r>
          </w:p>
        </w:tc>
      </w:tr>
      <w:tr w:rsidR="00747FD4" w:rsidRPr="000C42E6" w14:paraId="4A4F1C38" w14:textId="77777777" w:rsidTr="00A23566">
        <w:trPr>
          <w:trHeight w:val="300"/>
          <w:jc w:val="center"/>
        </w:trPr>
        <w:tc>
          <w:tcPr>
            <w:tcW w:w="6442" w:type="dxa"/>
            <w:tcBorders>
              <w:top w:val="nil"/>
              <w:left w:val="single" w:sz="4" w:space="0" w:color="auto"/>
              <w:bottom w:val="single" w:sz="4" w:space="0" w:color="auto"/>
              <w:right w:val="single" w:sz="4" w:space="0" w:color="auto"/>
            </w:tcBorders>
            <w:shd w:val="clear" w:color="auto" w:fill="auto"/>
            <w:noWrap/>
            <w:vAlign w:val="center"/>
            <w:hideMark/>
          </w:tcPr>
          <w:p w14:paraId="587BFD2E" w14:textId="77777777" w:rsidR="00747FD4" w:rsidRPr="000C42E6" w:rsidRDefault="00747FD4" w:rsidP="00747FD4">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Amortización de Bienes Intangibles</w:t>
            </w:r>
          </w:p>
        </w:tc>
        <w:tc>
          <w:tcPr>
            <w:tcW w:w="1420" w:type="dxa"/>
            <w:tcBorders>
              <w:top w:val="nil"/>
              <w:left w:val="nil"/>
              <w:bottom w:val="single" w:sz="4" w:space="0" w:color="auto"/>
              <w:right w:val="single" w:sz="4" w:space="0" w:color="auto"/>
            </w:tcBorders>
            <w:shd w:val="clear" w:color="auto" w:fill="auto"/>
            <w:noWrap/>
            <w:vAlign w:val="center"/>
            <w:hideMark/>
          </w:tcPr>
          <w:p w14:paraId="27ACC287" w14:textId="77777777" w:rsidR="00747FD4" w:rsidRPr="000C42E6" w:rsidRDefault="00747FD4" w:rsidP="00747FD4">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3,176,190</w:t>
            </w:r>
          </w:p>
        </w:tc>
        <w:tc>
          <w:tcPr>
            <w:tcW w:w="2203" w:type="dxa"/>
            <w:tcBorders>
              <w:top w:val="nil"/>
              <w:left w:val="nil"/>
              <w:bottom w:val="single" w:sz="4" w:space="0" w:color="auto"/>
              <w:right w:val="single" w:sz="4" w:space="0" w:color="auto"/>
            </w:tcBorders>
            <w:shd w:val="clear" w:color="auto" w:fill="auto"/>
            <w:noWrap/>
            <w:vAlign w:val="center"/>
            <w:hideMark/>
          </w:tcPr>
          <w:p w14:paraId="29AF6F57" w14:textId="77777777" w:rsidR="00747FD4" w:rsidRPr="000C42E6" w:rsidRDefault="00747FD4" w:rsidP="00747FD4">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0.06</w:t>
            </w:r>
          </w:p>
        </w:tc>
      </w:tr>
      <w:tr w:rsidR="00747FD4" w:rsidRPr="000C42E6" w14:paraId="51412C9E" w14:textId="77777777" w:rsidTr="00A23566">
        <w:trPr>
          <w:trHeight w:val="125"/>
          <w:jc w:val="center"/>
        </w:trPr>
        <w:tc>
          <w:tcPr>
            <w:tcW w:w="6442" w:type="dxa"/>
            <w:tcBorders>
              <w:top w:val="nil"/>
              <w:left w:val="single" w:sz="4" w:space="0" w:color="auto"/>
              <w:bottom w:val="single" w:sz="4" w:space="0" w:color="auto"/>
              <w:right w:val="single" w:sz="4" w:space="0" w:color="auto"/>
            </w:tcBorders>
            <w:shd w:val="clear" w:color="auto" w:fill="auto"/>
            <w:vAlign w:val="center"/>
            <w:hideMark/>
          </w:tcPr>
          <w:p w14:paraId="57FA7259" w14:textId="77777777" w:rsidR="00747FD4" w:rsidRPr="000C42E6" w:rsidRDefault="00747FD4" w:rsidP="00747FD4">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 Depreciación y Amortización de Bienes</w:t>
            </w:r>
          </w:p>
        </w:tc>
        <w:tc>
          <w:tcPr>
            <w:tcW w:w="1420" w:type="dxa"/>
            <w:tcBorders>
              <w:top w:val="nil"/>
              <w:left w:val="nil"/>
              <w:bottom w:val="single" w:sz="4" w:space="0" w:color="auto"/>
              <w:right w:val="single" w:sz="4" w:space="0" w:color="auto"/>
            </w:tcBorders>
            <w:shd w:val="clear" w:color="auto" w:fill="auto"/>
            <w:noWrap/>
            <w:vAlign w:val="center"/>
            <w:hideMark/>
          </w:tcPr>
          <w:p w14:paraId="3E01B0A6" w14:textId="77777777" w:rsidR="00747FD4" w:rsidRPr="000C42E6" w:rsidRDefault="00747FD4" w:rsidP="00747FD4">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5,707,399,057</w:t>
            </w:r>
          </w:p>
        </w:tc>
        <w:tc>
          <w:tcPr>
            <w:tcW w:w="2203" w:type="dxa"/>
            <w:tcBorders>
              <w:top w:val="nil"/>
              <w:left w:val="nil"/>
              <w:bottom w:val="single" w:sz="4" w:space="0" w:color="auto"/>
              <w:right w:val="single" w:sz="4" w:space="0" w:color="auto"/>
            </w:tcBorders>
            <w:shd w:val="clear" w:color="auto" w:fill="auto"/>
            <w:noWrap/>
            <w:vAlign w:val="center"/>
            <w:hideMark/>
          </w:tcPr>
          <w:p w14:paraId="61E2B4DB" w14:textId="77777777" w:rsidR="00747FD4" w:rsidRPr="000C42E6" w:rsidRDefault="00747FD4" w:rsidP="00747FD4">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143DAF5F" w14:textId="77777777" w:rsidR="00A23566" w:rsidRDefault="00A23566" w:rsidP="00A23566">
      <w:pPr>
        <w:spacing w:after="0" w:line="240" w:lineRule="auto"/>
        <w:jc w:val="both"/>
        <w:rPr>
          <w:rFonts w:ascii="Arial" w:eastAsia="Calibri" w:hAnsi="Arial" w:cs="Arial"/>
          <w:sz w:val="20"/>
          <w:szCs w:val="20"/>
        </w:rPr>
      </w:pPr>
    </w:p>
    <w:p w14:paraId="0653F130" w14:textId="77777777" w:rsidR="00CB7883" w:rsidRPr="000C42E6" w:rsidRDefault="00CB7883" w:rsidP="00CB7883">
      <w:pPr>
        <w:spacing w:after="200" w:line="240" w:lineRule="auto"/>
        <w:jc w:val="both"/>
        <w:rPr>
          <w:rFonts w:ascii="Arial" w:eastAsia="Calibri" w:hAnsi="Arial" w:cs="Arial"/>
          <w:sz w:val="20"/>
          <w:szCs w:val="20"/>
        </w:rPr>
      </w:pPr>
      <w:r w:rsidRPr="000C42E6">
        <w:rPr>
          <w:rFonts w:ascii="Arial" w:eastAsia="Calibri" w:hAnsi="Arial" w:cs="Arial"/>
          <w:sz w:val="20"/>
          <w:szCs w:val="20"/>
        </w:rPr>
        <w:t>Los respectivos cálculos están basados en las siguientes consideraciones:</w:t>
      </w:r>
    </w:p>
    <w:p w14:paraId="5D588073" w14:textId="77777777" w:rsidR="00CB7883" w:rsidRPr="000C42E6" w:rsidRDefault="00CB7883" w:rsidP="00CB7883">
      <w:pPr>
        <w:spacing w:after="200" w:line="240" w:lineRule="auto"/>
        <w:jc w:val="both"/>
        <w:rPr>
          <w:rFonts w:ascii="Arial" w:eastAsia="Calibri" w:hAnsi="Arial" w:cs="Arial"/>
          <w:sz w:val="20"/>
          <w:szCs w:val="20"/>
        </w:rPr>
      </w:pPr>
      <w:r w:rsidRPr="000C42E6">
        <w:rPr>
          <w:rFonts w:ascii="Arial" w:eastAsia="Calibri" w:hAnsi="Arial" w:cs="Arial"/>
          <w:sz w:val="20"/>
          <w:szCs w:val="20"/>
        </w:rPr>
        <w:t>El método de cálculo de la depreciación de estos activos es el de línea recta, en el que se distribuye el costo de la inversión menos su valor de desecho, entre el número de años de vida útil del activo. El valor de desecho al final de la vida económica o término de la vida útil, es el 30% del monto de adquisición de cada uno de los bienes muebles e inmuebles que integran el Activo No Circulante. Ese porcentaje atiende al criterio prudencial que debe prevalecer para salvaguardar la utilidad de la información financiera.</w:t>
      </w:r>
    </w:p>
    <w:p w14:paraId="27449698" w14:textId="77777777" w:rsidR="00CB7883" w:rsidRDefault="00CB7883" w:rsidP="00CB7883">
      <w:pPr>
        <w:spacing w:after="200" w:line="240" w:lineRule="auto"/>
        <w:jc w:val="both"/>
        <w:rPr>
          <w:rFonts w:ascii="Arial" w:eastAsia="Calibri" w:hAnsi="Arial" w:cs="Arial"/>
          <w:sz w:val="20"/>
          <w:szCs w:val="20"/>
        </w:rPr>
      </w:pPr>
      <w:r w:rsidRPr="000C42E6">
        <w:rPr>
          <w:rFonts w:ascii="Arial" w:eastAsia="Calibri" w:hAnsi="Arial" w:cs="Arial"/>
          <w:sz w:val="20"/>
          <w:szCs w:val="20"/>
        </w:rPr>
        <w:t>Las tasas de depreciación utilizadas y los criterios para su aplicación así como el método lineal y el porcentaje de desecho referidos, son de acuerdo a la Norma de Contabilidad Gubernamental del Poder Ejecutivo del Estado de Tabasco 2016 para el tratamiento contable de la depreciación, publicada en el Periódico Oficial del Estado el 21 de diciembre del 2016; la que a su vez cumple los Acuerdos del Consejo Nacional de Armonización Contable por los que emitió las Principales Reglas de Registro y Valoración del Patrimonio (Elementos Generales); así como las Reglas Específicas del Registro y Valoración del Patrimonio.</w:t>
      </w:r>
    </w:p>
    <w:p w14:paraId="0D51FE64" w14:textId="77777777" w:rsidR="00CB7883" w:rsidRPr="000C42E6" w:rsidRDefault="00CB7883" w:rsidP="00CB7883">
      <w:pPr>
        <w:spacing w:after="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Estimaciones y Deterioros</w:t>
      </w:r>
    </w:p>
    <w:p w14:paraId="1D990C82" w14:textId="77777777" w:rsidR="00CE4DC2" w:rsidRPr="000C42E6" w:rsidRDefault="00CE4DC2" w:rsidP="00CB7883">
      <w:pPr>
        <w:spacing w:after="0" w:line="240" w:lineRule="auto"/>
        <w:jc w:val="both"/>
        <w:rPr>
          <w:rFonts w:ascii="Arial" w:eastAsia="Calibri" w:hAnsi="Arial" w:cs="Arial"/>
          <w:b/>
          <w:sz w:val="20"/>
          <w:szCs w:val="20"/>
          <w:u w:val="single"/>
        </w:rPr>
      </w:pPr>
    </w:p>
    <w:p w14:paraId="1381AA53" w14:textId="77777777" w:rsidR="00CB7883" w:rsidRPr="000C42E6" w:rsidRDefault="00CB7883" w:rsidP="00CB7883">
      <w:pPr>
        <w:spacing w:after="0" w:line="240" w:lineRule="auto"/>
        <w:jc w:val="both"/>
        <w:rPr>
          <w:rFonts w:ascii="Arial" w:eastAsia="DIN Next LT Pro Condensed" w:hAnsi="Arial" w:cs="Arial"/>
          <w:w w:val="102"/>
          <w:sz w:val="20"/>
          <w:szCs w:val="20"/>
        </w:rPr>
      </w:pPr>
      <w:r w:rsidRPr="000C42E6">
        <w:rPr>
          <w:rFonts w:ascii="Arial" w:eastAsia="DIN Next LT Pro Condensed" w:hAnsi="Arial" w:cs="Arial"/>
          <w:spacing w:val="13"/>
          <w:sz w:val="20"/>
          <w:szCs w:val="20"/>
        </w:rPr>
        <w:t xml:space="preserve"> </w:t>
      </w:r>
      <w:r w:rsidRPr="000C42E6">
        <w:rPr>
          <w:rFonts w:ascii="Arial" w:eastAsia="DIN Next LT Pro Condensed" w:hAnsi="Arial" w:cs="Arial"/>
          <w:sz w:val="20"/>
          <w:szCs w:val="20"/>
        </w:rPr>
        <w:t>No</w:t>
      </w:r>
      <w:r w:rsidRPr="000C42E6">
        <w:rPr>
          <w:rFonts w:ascii="Arial" w:eastAsia="DIN Next LT Pro Condensed" w:hAnsi="Arial" w:cs="Arial"/>
          <w:spacing w:val="4"/>
          <w:sz w:val="20"/>
          <w:szCs w:val="20"/>
        </w:rPr>
        <w:t xml:space="preserve"> se </w:t>
      </w:r>
      <w:r w:rsidRPr="000C42E6">
        <w:rPr>
          <w:rFonts w:ascii="Arial" w:eastAsia="DIN Next LT Pro Condensed" w:hAnsi="Arial" w:cs="Arial"/>
          <w:sz w:val="20"/>
          <w:szCs w:val="20"/>
        </w:rPr>
        <w:t>tiene</w:t>
      </w:r>
      <w:r w:rsidRPr="000C42E6">
        <w:rPr>
          <w:rFonts w:ascii="Arial" w:eastAsia="DIN Next LT Pro Condensed" w:hAnsi="Arial" w:cs="Arial"/>
          <w:spacing w:val="8"/>
          <w:sz w:val="20"/>
          <w:szCs w:val="20"/>
        </w:rPr>
        <w:t xml:space="preserve"> </w:t>
      </w:r>
      <w:r w:rsidRPr="000C42E6">
        <w:rPr>
          <w:rFonts w:ascii="Arial" w:eastAsia="DIN Next LT Pro Condensed" w:hAnsi="Arial" w:cs="Arial"/>
          <w:sz w:val="20"/>
          <w:szCs w:val="20"/>
        </w:rPr>
        <w:t>Estimación</w:t>
      </w:r>
      <w:r w:rsidRPr="000C42E6">
        <w:rPr>
          <w:rFonts w:ascii="Arial" w:eastAsia="DIN Next LT Pro Condensed" w:hAnsi="Arial" w:cs="Arial"/>
          <w:spacing w:val="15"/>
          <w:sz w:val="20"/>
          <w:szCs w:val="20"/>
        </w:rPr>
        <w:t xml:space="preserve"> </w:t>
      </w:r>
      <w:r w:rsidRPr="000C42E6">
        <w:rPr>
          <w:rFonts w:ascii="Arial" w:eastAsia="DIN Next LT Pro Condensed" w:hAnsi="Arial" w:cs="Arial"/>
          <w:sz w:val="20"/>
          <w:szCs w:val="20"/>
        </w:rPr>
        <w:t>por</w:t>
      </w:r>
      <w:r w:rsidRPr="000C42E6">
        <w:rPr>
          <w:rFonts w:ascii="Arial" w:eastAsia="DIN Next LT Pro Condensed" w:hAnsi="Arial" w:cs="Arial"/>
          <w:spacing w:val="5"/>
          <w:sz w:val="20"/>
          <w:szCs w:val="20"/>
        </w:rPr>
        <w:t xml:space="preserve"> </w:t>
      </w:r>
      <w:r w:rsidRPr="000C42E6">
        <w:rPr>
          <w:rFonts w:ascii="Arial" w:eastAsia="DIN Next LT Pro Condensed" w:hAnsi="Arial" w:cs="Arial"/>
          <w:sz w:val="20"/>
          <w:szCs w:val="20"/>
        </w:rPr>
        <w:t>Pérdida</w:t>
      </w:r>
      <w:r w:rsidRPr="000C42E6">
        <w:rPr>
          <w:rFonts w:ascii="Arial" w:eastAsia="DIN Next LT Pro Condensed" w:hAnsi="Arial" w:cs="Arial"/>
          <w:spacing w:val="11"/>
          <w:sz w:val="20"/>
          <w:szCs w:val="20"/>
        </w:rPr>
        <w:t xml:space="preserve"> </w:t>
      </w:r>
      <w:r w:rsidRPr="000C42E6">
        <w:rPr>
          <w:rFonts w:ascii="Arial" w:eastAsia="DIN Next LT Pro Condensed" w:hAnsi="Arial" w:cs="Arial"/>
          <w:sz w:val="20"/>
          <w:szCs w:val="20"/>
        </w:rPr>
        <w:t>o</w:t>
      </w:r>
      <w:r w:rsidRPr="000C42E6">
        <w:rPr>
          <w:rFonts w:ascii="Arial" w:eastAsia="DIN Next LT Pro Condensed" w:hAnsi="Arial" w:cs="Arial"/>
          <w:spacing w:val="3"/>
          <w:sz w:val="20"/>
          <w:szCs w:val="20"/>
        </w:rPr>
        <w:t xml:space="preserve"> </w:t>
      </w:r>
      <w:r w:rsidRPr="000C42E6">
        <w:rPr>
          <w:rFonts w:ascii="Arial" w:eastAsia="DIN Next LT Pro Condensed" w:hAnsi="Arial" w:cs="Arial"/>
          <w:sz w:val="20"/>
          <w:szCs w:val="20"/>
        </w:rPr>
        <w:t>Deterioro</w:t>
      </w:r>
      <w:r w:rsidRPr="000C42E6">
        <w:rPr>
          <w:rFonts w:ascii="Arial" w:eastAsia="DIN Next LT Pro Condensed" w:hAnsi="Arial" w:cs="Arial"/>
          <w:spacing w:val="13"/>
          <w:sz w:val="20"/>
          <w:szCs w:val="20"/>
        </w:rPr>
        <w:t xml:space="preserve"> </w:t>
      </w:r>
      <w:r w:rsidRPr="000C42E6">
        <w:rPr>
          <w:rFonts w:ascii="Arial" w:eastAsia="DIN Next LT Pro Condensed" w:hAnsi="Arial" w:cs="Arial"/>
          <w:sz w:val="20"/>
          <w:szCs w:val="20"/>
        </w:rPr>
        <w:t>de</w:t>
      </w:r>
      <w:r w:rsidRPr="000C42E6">
        <w:rPr>
          <w:rFonts w:ascii="Arial" w:eastAsia="DIN Next LT Pro Condensed" w:hAnsi="Arial" w:cs="Arial"/>
          <w:spacing w:val="4"/>
          <w:sz w:val="20"/>
          <w:szCs w:val="20"/>
        </w:rPr>
        <w:t xml:space="preserve"> </w:t>
      </w:r>
      <w:r w:rsidRPr="000C42E6">
        <w:rPr>
          <w:rFonts w:ascii="Arial" w:eastAsia="DIN Next LT Pro Condensed" w:hAnsi="Arial" w:cs="Arial"/>
          <w:sz w:val="20"/>
          <w:szCs w:val="20"/>
        </w:rPr>
        <w:t>Activos</w:t>
      </w:r>
      <w:r w:rsidRPr="000C42E6">
        <w:rPr>
          <w:rFonts w:ascii="Arial" w:eastAsia="DIN Next LT Pro Condensed" w:hAnsi="Arial" w:cs="Arial"/>
          <w:spacing w:val="10"/>
          <w:sz w:val="20"/>
          <w:szCs w:val="20"/>
        </w:rPr>
        <w:t xml:space="preserve"> </w:t>
      </w:r>
      <w:r w:rsidRPr="000C42E6">
        <w:rPr>
          <w:rFonts w:ascii="Arial" w:eastAsia="DIN Next LT Pro Condensed" w:hAnsi="Arial" w:cs="Arial"/>
          <w:sz w:val="20"/>
          <w:szCs w:val="20"/>
        </w:rPr>
        <w:t>no</w:t>
      </w:r>
      <w:r w:rsidRPr="000C42E6">
        <w:rPr>
          <w:rFonts w:ascii="Arial" w:eastAsia="DIN Next LT Pro Condensed" w:hAnsi="Arial" w:cs="Arial"/>
          <w:spacing w:val="4"/>
          <w:sz w:val="20"/>
          <w:szCs w:val="20"/>
        </w:rPr>
        <w:t xml:space="preserve"> </w:t>
      </w:r>
      <w:r w:rsidRPr="000C42E6">
        <w:rPr>
          <w:rFonts w:ascii="Arial" w:eastAsia="DIN Next LT Pro Condensed" w:hAnsi="Arial" w:cs="Arial"/>
          <w:w w:val="102"/>
          <w:sz w:val="20"/>
          <w:szCs w:val="20"/>
        </w:rPr>
        <w:t>Circulantes.</w:t>
      </w:r>
    </w:p>
    <w:p w14:paraId="706FF67C" w14:textId="77777777" w:rsidR="00CB7883" w:rsidRPr="000C42E6" w:rsidRDefault="00CB7883" w:rsidP="00CB7883">
      <w:pPr>
        <w:spacing w:before="240" w:after="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Otros Activos</w:t>
      </w:r>
      <w:r w:rsidR="008A67DA" w:rsidRPr="000C42E6">
        <w:rPr>
          <w:rFonts w:ascii="Arial" w:eastAsia="Calibri" w:hAnsi="Arial" w:cs="Arial"/>
          <w:b/>
          <w:sz w:val="20"/>
          <w:szCs w:val="20"/>
          <w:u w:val="single"/>
        </w:rPr>
        <w:t xml:space="preserve"> no Circulantes</w:t>
      </w:r>
    </w:p>
    <w:p w14:paraId="124FE611" w14:textId="5DE945DD" w:rsidR="008A78D5" w:rsidRPr="000C42E6" w:rsidRDefault="008A78D5" w:rsidP="008A78D5">
      <w:pPr>
        <w:spacing w:before="240" w:after="0" w:line="240" w:lineRule="auto"/>
        <w:rPr>
          <w:rFonts w:ascii="Arial" w:eastAsia="Calibri" w:hAnsi="Arial" w:cs="Arial"/>
          <w:sz w:val="20"/>
          <w:szCs w:val="20"/>
        </w:rPr>
      </w:pPr>
      <w:r w:rsidRPr="000C42E6">
        <w:rPr>
          <w:rFonts w:ascii="Arial" w:eastAsia="Calibri" w:hAnsi="Arial" w:cs="Arial"/>
          <w:sz w:val="20"/>
          <w:szCs w:val="20"/>
        </w:rPr>
        <w:t xml:space="preserve">El saldo de este rubro es por </w:t>
      </w:r>
      <w:r w:rsidRPr="000C42E6">
        <w:rPr>
          <w:rFonts w:ascii="Arial" w:eastAsia="Calibri" w:hAnsi="Arial" w:cs="Arial"/>
          <w:b/>
          <w:sz w:val="20"/>
          <w:szCs w:val="20"/>
        </w:rPr>
        <w:t>$24</w:t>
      </w:r>
      <w:proofErr w:type="gramStart"/>
      <w:r w:rsidRPr="000C42E6">
        <w:rPr>
          <w:rFonts w:ascii="Arial" w:eastAsia="Calibri" w:hAnsi="Arial" w:cs="Arial"/>
          <w:b/>
          <w:sz w:val="20"/>
          <w:szCs w:val="20"/>
        </w:rPr>
        <w:t>,732,342</w:t>
      </w:r>
      <w:proofErr w:type="gramEnd"/>
      <w:r w:rsidRPr="000C42E6">
        <w:rPr>
          <w:rFonts w:ascii="Arial" w:eastAsia="Calibri" w:hAnsi="Arial" w:cs="Arial"/>
          <w:b/>
          <w:sz w:val="20"/>
          <w:szCs w:val="20"/>
        </w:rPr>
        <w:t xml:space="preserve">, </w:t>
      </w:r>
      <w:r w:rsidRPr="000C42E6">
        <w:rPr>
          <w:rFonts w:ascii="Arial" w:eastAsia="Calibri" w:hAnsi="Arial" w:cs="Arial"/>
          <w:sz w:val="20"/>
          <w:szCs w:val="20"/>
        </w:rPr>
        <w:t>de bienes muebles</w:t>
      </w:r>
      <w:r w:rsidR="007111DF" w:rsidRPr="000C42E6">
        <w:rPr>
          <w:rFonts w:ascii="Arial" w:eastAsia="Calibri" w:hAnsi="Arial" w:cs="Arial"/>
          <w:sz w:val="20"/>
          <w:szCs w:val="20"/>
        </w:rPr>
        <w:t xml:space="preserve"> dados en </w:t>
      </w:r>
      <w:r w:rsidRPr="000C42E6">
        <w:rPr>
          <w:rFonts w:ascii="Arial" w:eastAsia="Calibri" w:hAnsi="Arial" w:cs="Arial"/>
          <w:sz w:val="20"/>
          <w:szCs w:val="20"/>
        </w:rPr>
        <w:t xml:space="preserve"> Comodato de la Secretaría de Movilidad a Movilidad Integral de Tabasco S.A de C.V.           </w:t>
      </w:r>
    </w:p>
    <w:p w14:paraId="1AF0303B" w14:textId="77777777" w:rsidR="00A23566" w:rsidRDefault="00A23566" w:rsidP="00A23566">
      <w:pPr>
        <w:spacing w:after="0" w:line="276" w:lineRule="auto"/>
        <w:rPr>
          <w:rFonts w:ascii="Arial" w:eastAsia="Times New Roman" w:hAnsi="Arial" w:cs="Arial"/>
          <w:b/>
          <w:color w:val="000000"/>
          <w:sz w:val="20"/>
          <w:szCs w:val="20"/>
          <w:lang w:eastAsia="es-MX"/>
        </w:rPr>
      </w:pPr>
    </w:p>
    <w:p w14:paraId="3B30E535" w14:textId="77777777" w:rsidR="00CB7883" w:rsidRPr="000C42E6" w:rsidRDefault="00CB7883" w:rsidP="00CB7883">
      <w:pPr>
        <w:spacing w:after="200" w:line="276" w:lineRule="auto"/>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PASIVO</w:t>
      </w:r>
    </w:p>
    <w:p w14:paraId="5DD5FF17" w14:textId="77777777" w:rsidR="00CB7883" w:rsidRPr="000C42E6" w:rsidRDefault="00CB7883" w:rsidP="00CB7883">
      <w:pPr>
        <w:spacing w:before="240" w:after="0" w:line="240" w:lineRule="auto"/>
        <w:rPr>
          <w:rFonts w:ascii="Arial" w:eastAsia="Calibri" w:hAnsi="Arial" w:cs="Arial"/>
          <w:b/>
          <w:sz w:val="20"/>
          <w:szCs w:val="20"/>
          <w:u w:val="single"/>
        </w:rPr>
      </w:pPr>
      <w:r w:rsidRPr="000C42E6">
        <w:rPr>
          <w:rFonts w:ascii="Arial" w:eastAsia="Calibri" w:hAnsi="Arial" w:cs="Arial"/>
          <w:b/>
          <w:sz w:val="20"/>
          <w:szCs w:val="20"/>
          <w:u w:val="single"/>
        </w:rPr>
        <w:t>Cuentas por Pagar a Corto Plazo</w:t>
      </w:r>
    </w:p>
    <w:p w14:paraId="3E0429F0" w14:textId="77777777" w:rsidR="006A2B01" w:rsidRDefault="007F371A" w:rsidP="00CB7883">
      <w:pPr>
        <w:spacing w:before="240" w:after="0" w:line="240" w:lineRule="auto"/>
        <w:rPr>
          <w:rFonts w:ascii="Arial" w:eastAsia="Calibri" w:hAnsi="Arial" w:cs="Arial"/>
          <w:sz w:val="20"/>
          <w:szCs w:val="20"/>
        </w:rPr>
      </w:pPr>
      <w:r w:rsidRPr="000C42E6">
        <w:rPr>
          <w:rFonts w:ascii="Arial" w:eastAsia="Calibri" w:hAnsi="Arial" w:cs="Arial"/>
          <w:sz w:val="20"/>
          <w:szCs w:val="20"/>
        </w:rPr>
        <w:t xml:space="preserve">El saldo de este rubro es por </w:t>
      </w:r>
      <w:r w:rsidRPr="000C42E6">
        <w:rPr>
          <w:rFonts w:ascii="Arial" w:eastAsia="Calibri" w:hAnsi="Arial" w:cs="Arial"/>
          <w:b/>
          <w:sz w:val="20"/>
          <w:szCs w:val="20"/>
        </w:rPr>
        <w:t>$</w:t>
      </w:r>
      <w:r w:rsidR="006F5BC2" w:rsidRPr="000C42E6">
        <w:rPr>
          <w:rFonts w:ascii="Arial" w:eastAsia="Times New Roman" w:hAnsi="Arial" w:cs="Arial"/>
          <w:b/>
          <w:bCs/>
          <w:color w:val="000000"/>
          <w:sz w:val="20"/>
          <w:szCs w:val="20"/>
          <w:lang w:eastAsia="es-MX"/>
        </w:rPr>
        <w:t>3</w:t>
      </w:r>
      <w:proofErr w:type="gramStart"/>
      <w:r w:rsidR="006F5BC2" w:rsidRPr="000C42E6">
        <w:rPr>
          <w:rFonts w:ascii="Arial" w:eastAsia="Times New Roman" w:hAnsi="Arial" w:cs="Arial"/>
          <w:b/>
          <w:bCs/>
          <w:color w:val="000000"/>
          <w:sz w:val="20"/>
          <w:szCs w:val="20"/>
          <w:lang w:eastAsia="es-MX"/>
        </w:rPr>
        <w:t>,353,658,879</w:t>
      </w:r>
      <w:proofErr w:type="gramEnd"/>
      <w:r w:rsidR="00096F4A" w:rsidRPr="000C42E6">
        <w:rPr>
          <w:rFonts w:ascii="Arial" w:eastAsia="Calibri" w:hAnsi="Arial" w:cs="Arial"/>
          <w:b/>
          <w:sz w:val="20"/>
          <w:szCs w:val="20"/>
        </w:rPr>
        <w:t xml:space="preserve"> </w:t>
      </w:r>
      <w:r w:rsidR="00FD0AD3" w:rsidRPr="000C42E6">
        <w:rPr>
          <w:rFonts w:ascii="Arial" w:eastAsia="Calibri" w:hAnsi="Arial" w:cs="Arial"/>
          <w:sz w:val="20"/>
          <w:szCs w:val="20"/>
        </w:rPr>
        <w:t>y se integra como sigue:</w:t>
      </w:r>
      <w:r w:rsidRPr="000C42E6">
        <w:rPr>
          <w:rFonts w:ascii="Arial" w:eastAsia="Calibri" w:hAnsi="Arial" w:cs="Arial"/>
          <w:sz w:val="20"/>
          <w:szCs w:val="20"/>
        </w:rPr>
        <w:t xml:space="preserve"> </w:t>
      </w:r>
    </w:p>
    <w:p w14:paraId="3CA5243D" w14:textId="40C9A89D" w:rsidR="00A20228" w:rsidRPr="000C42E6" w:rsidRDefault="007F371A" w:rsidP="00CB7883">
      <w:pPr>
        <w:spacing w:before="240" w:after="0" w:line="240" w:lineRule="auto"/>
        <w:rPr>
          <w:rFonts w:ascii="Arial" w:eastAsia="Calibri" w:hAnsi="Arial" w:cs="Arial"/>
          <w:sz w:val="20"/>
          <w:szCs w:val="20"/>
        </w:rPr>
      </w:pPr>
      <w:r w:rsidRPr="000C42E6">
        <w:rPr>
          <w:rFonts w:ascii="Arial" w:eastAsia="Calibri" w:hAnsi="Arial" w:cs="Arial"/>
          <w:sz w:val="20"/>
          <w:szCs w:val="20"/>
        </w:rPr>
        <w:t xml:space="preserve">  </w:t>
      </w:r>
    </w:p>
    <w:p w14:paraId="75A7F137" w14:textId="266C0557" w:rsidR="00914849" w:rsidRPr="000C42E6" w:rsidRDefault="007F371A" w:rsidP="00CB7883">
      <w:pPr>
        <w:spacing w:before="240" w:after="0" w:line="240" w:lineRule="auto"/>
        <w:rPr>
          <w:rFonts w:ascii="Arial" w:eastAsia="Calibri" w:hAnsi="Arial" w:cs="Arial"/>
          <w:sz w:val="20"/>
          <w:szCs w:val="20"/>
        </w:rPr>
      </w:pPr>
      <w:r w:rsidRPr="000C42E6">
        <w:rPr>
          <w:rFonts w:ascii="Arial" w:eastAsia="Calibri" w:hAnsi="Arial" w:cs="Arial"/>
          <w:sz w:val="20"/>
          <w:szCs w:val="20"/>
        </w:rPr>
        <w:t xml:space="preserve">           </w:t>
      </w:r>
    </w:p>
    <w:tbl>
      <w:tblPr>
        <w:tblW w:w="10237" w:type="dxa"/>
        <w:jc w:val="center"/>
        <w:tblCellMar>
          <w:left w:w="70" w:type="dxa"/>
          <w:right w:w="70" w:type="dxa"/>
        </w:tblCellMar>
        <w:tblLook w:val="04A0" w:firstRow="1" w:lastRow="0" w:firstColumn="1" w:lastColumn="0" w:noHBand="0" w:noVBand="1"/>
      </w:tblPr>
      <w:tblGrid>
        <w:gridCol w:w="6410"/>
        <w:gridCol w:w="2440"/>
        <w:gridCol w:w="1387"/>
      </w:tblGrid>
      <w:tr w:rsidR="00A20228" w:rsidRPr="000C42E6" w14:paraId="59D642E3" w14:textId="77777777" w:rsidTr="00A23566">
        <w:trPr>
          <w:trHeight w:val="495"/>
          <w:jc w:val="center"/>
        </w:trPr>
        <w:tc>
          <w:tcPr>
            <w:tcW w:w="641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442BF33F" w14:textId="56CAC99B" w:rsidR="00A20228" w:rsidRPr="000C42E6" w:rsidRDefault="007F371A"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Calibri" w:hAnsi="Arial" w:cs="Arial"/>
                <w:sz w:val="20"/>
                <w:szCs w:val="20"/>
              </w:rPr>
              <w:lastRenderedPageBreak/>
              <w:t xml:space="preserve">                        </w:t>
            </w:r>
            <w:r w:rsidR="00A20228" w:rsidRPr="000C42E6">
              <w:rPr>
                <w:rFonts w:ascii="Arial" w:eastAsia="Times New Roman" w:hAnsi="Arial" w:cs="Arial"/>
                <w:b/>
                <w:bCs/>
                <w:color w:val="000000"/>
                <w:sz w:val="20"/>
                <w:szCs w:val="20"/>
                <w:lang w:eastAsia="es-MX"/>
              </w:rPr>
              <w:t>Cuentas que integran Cuentas por Pagar a Corto Plazo</w:t>
            </w:r>
          </w:p>
        </w:tc>
        <w:tc>
          <w:tcPr>
            <w:tcW w:w="2440" w:type="dxa"/>
            <w:tcBorders>
              <w:top w:val="single" w:sz="8" w:space="0" w:color="auto"/>
              <w:left w:val="nil"/>
              <w:bottom w:val="single" w:sz="8" w:space="0" w:color="auto"/>
              <w:right w:val="single" w:sz="8" w:space="0" w:color="auto"/>
            </w:tcBorders>
            <w:shd w:val="clear" w:color="000000" w:fill="A6A6A6"/>
            <w:vAlign w:val="center"/>
            <w:hideMark/>
          </w:tcPr>
          <w:p w14:paraId="651F9EC3" w14:textId="6D88716B" w:rsidR="00A20228" w:rsidRPr="000C42E6" w:rsidRDefault="00F867FA"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Saldos al 31 de diciembre </w:t>
            </w:r>
            <w:r w:rsidR="00A20228" w:rsidRPr="000C42E6">
              <w:rPr>
                <w:rFonts w:ascii="Arial" w:eastAsia="Times New Roman" w:hAnsi="Arial" w:cs="Arial"/>
                <w:b/>
                <w:bCs/>
                <w:color w:val="000000"/>
                <w:sz w:val="20"/>
                <w:szCs w:val="20"/>
                <w:lang w:eastAsia="es-MX"/>
              </w:rPr>
              <w:t>2025</w:t>
            </w:r>
          </w:p>
        </w:tc>
        <w:tc>
          <w:tcPr>
            <w:tcW w:w="1387" w:type="dxa"/>
            <w:tcBorders>
              <w:top w:val="single" w:sz="8" w:space="0" w:color="auto"/>
              <w:left w:val="nil"/>
              <w:bottom w:val="single" w:sz="8" w:space="0" w:color="auto"/>
              <w:right w:val="single" w:sz="8" w:space="0" w:color="auto"/>
            </w:tcBorders>
            <w:shd w:val="clear" w:color="000000" w:fill="A6A6A6"/>
            <w:vAlign w:val="center"/>
            <w:hideMark/>
          </w:tcPr>
          <w:p w14:paraId="091A87BE" w14:textId="77777777" w:rsidR="00A20228" w:rsidRPr="000C42E6" w:rsidRDefault="00A20228"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A20228" w:rsidRPr="000C42E6" w14:paraId="480BFE49" w14:textId="77777777" w:rsidTr="00A23566">
        <w:trPr>
          <w:trHeight w:val="239"/>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0BD0E785" w14:textId="77777777" w:rsidR="00A20228" w:rsidRPr="000C42E6" w:rsidRDefault="00A20228"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Servicios Personales por Pagar a Corto Plazo</w:t>
            </w:r>
          </w:p>
        </w:tc>
        <w:tc>
          <w:tcPr>
            <w:tcW w:w="2440" w:type="dxa"/>
            <w:tcBorders>
              <w:top w:val="nil"/>
              <w:left w:val="nil"/>
              <w:bottom w:val="single" w:sz="8" w:space="0" w:color="auto"/>
              <w:right w:val="single" w:sz="8" w:space="0" w:color="auto"/>
            </w:tcBorders>
            <w:shd w:val="clear" w:color="auto" w:fill="auto"/>
            <w:vAlign w:val="center"/>
            <w:hideMark/>
          </w:tcPr>
          <w:p w14:paraId="684E7FC1" w14:textId="77777777" w:rsidR="00A20228" w:rsidRPr="000C42E6" w:rsidRDefault="00A20228"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2,624,178</w:t>
            </w:r>
          </w:p>
        </w:tc>
        <w:tc>
          <w:tcPr>
            <w:tcW w:w="1387" w:type="dxa"/>
            <w:tcBorders>
              <w:top w:val="nil"/>
              <w:left w:val="nil"/>
              <w:bottom w:val="single" w:sz="8" w:space="0" w:color="auto"/>
              <w:right w:val="single" w:sz="8" w:space="0" w:color="auto"/>
            </w:tcBorders>
            <w:shd w:val="clear" w:color="auto" w:fill="auto"/>
            <w:vAlign w:val="center"/>
            <w:hideMark/>
          </w:tcPr>
          <w:p w14:paraId="2687EFEC" w14:textId="2D995182" w:rsidR="00A20228" w:rsidRPr="000C42E6" w:rsidRDefault="00A20228"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0.08</w:t>
            </w:r>
          </w:p>
        </w:tc>
      </w:tr>
      <w:tr w:rsidR="00A20228" w:rsidRPr="000C42E6" w14:paraId="6F401D31" w14:textId="77777777" w:rsidTr="00A23566">
        <w:trPr>
          <w:trHeight w:val="174"/>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0F271049" w14:textId="77777777" w:rsidR="00A20228" w:rsidRPr="000C42E6" w:rsidRDefault="00A20228"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Proveedores por Pagar a Corto Plazo</w:t>
            </w:r>
          </w:p>
        </w:tc>
        <w:tc>
          <w:tcPr>
            <w:tcW w:w="2440" w:type="dxa"/>
            <w:tcBorders>
              <w:top w:val="nil"/>
              <w:left w:val="nil"/>
              <w:bottom w:val="single" w:sz="8" w:space="0" w:color="auto"/>
              <w:right w:val="single" w:sz="8" w:space="0" w:color="auto"/>
            </w:tcBorders>
            <w:shd w:val="clear" w:color="auto" w:fill="auto"/>
            <w:vAlign w:val="center"/>
            <w:hideMark/>
          </w:tcPr>
          <w:p w14:paraId="68A88B39" w14:textId="77777777" w:rsidR="00A20228" w:rsidRPr="000C42E6" w:rsidRDefault="00A20228"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467,968,275</w:t>
            </w:r>
          </w:p>
        </w:tc>
        <w:tc>
          <w:tcPr>
            <w:tcW w:w="1387" w:type="dxa"/>
            <w:tcBorders>
              <w:top w:val="nil"/>
              <w:left w:val="nil"/>
              <w:bottom w:val="single" w:sz="8" w:space="0" w:color="auto"/>
              <w:right w:val="single" w:sz="8" w:space="0" w:color="auto"/>
            </w:tcBorders>
            <w:shd w:val="clear" w:color="auto" w:fill="auto"/>
            <w:vAlign w:val="center"/>
            <w:hideMark/>
          </w:tcPr>
          <w:p w14:paraId="24F1E738" w14:textId="2B5E289B" w:rsidR="00A20228" w:rsidRPr="000C42E6" w:rsidRDefault="00A20228"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13.95</w:t>
            </w:r>
          </w:p>
        </w:tc>
      </w:tr>
      <w:tr w:rsidR="00A20228" w:rsidRPr="000C42E6" w14:paraId="21AE0FD0" w14:textId="77777777" w:rsidTr="00A23566">
        <w:trPr>
          <w:trHeight w:val="277"/>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09ACD671" w14:textId="77777777" w:rsidR="00A20228" w:rsidRPr="000C42E6" w:rsidRDefault="00A20228"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Contratistas por Obras Públicas por Pagar a Corto Plazo</w:t>
            </w:r>
          </w:p>
        </w:tc>
        <w:tc>
          <w:tcPr>
            <w:tcW w:w="2440" w:type="dxa"/>
            <w:tcBorders>
              <w:top w:val="nil"/>
              <w:left w:val="nil"/>
              <w:bottom w:val="single" w:sz="8" w:space="0" w:color="auto"/>
              <w:right w:val="single" w:sz="8" w:space="0" w:color="auto"/>
            </w:tcBorders>
            <w:shd w:val="clear" w:color="auto" w:fill="auto"/>
            <w:vAlign w:val="center"/>
            <w:hideMark/>
          </w:tcPr>
          <w:p w14:paraId="46AB676B" w14:textId="77777777" w:rsidR="00A20228" w:rsidRPr="000C42E6" w:rsidRDefault="00A20228"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244,145</w:t>
            </w:r>
          </w:p>
        </w:tc>
        <w:tc>
          <w:tcPr>
            <w:tcW w:w="1387" w:type="dxa"/>
            <w:tcBorders>
              <w:top w:val="nil"/>
              <w:left w:val="nil"/>
              <w:bottom w:val="single" w:sz="8" w:space="0" w:color="auto"/>
              <w:right w:val="single" w:sz="8" w:space="0" w:color="auto"/>
            </w:tcBorders>
            <w:shd w:val="clear" w:color="auto" w:fill="auto"/>
            <w:vAlign w:val="center"/>
            <w:hideMark/>
          </w:tcPr>
          <w:p w14:paraId="38AB60D1" w14:textId="37AA115C" w:rsidR="00A20228" w:rsidRPr="000C42E6" w:rsidRDefault="00A20228"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0.01</w:t>
            </w:r>
          </w:p>
        </w:tc>
      </w:tr>
      <w:tr w:rsidR="00A20228" w:rsidRPr="000C42E6" w14:paraId="469533A4" w14:textId="77777777" w:rsidTr="00A23566">
        <w:trPr>
          <w:trHeight w:val="327"/>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2DA168E5" w14:textId="77777777" w:rsidR="00A20228" w:rsidRPr="000C42E6" w:rsidRDefault="00A20228"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Participaciones y Aportaciones por Pagar a Corto Plazo</w:t>
            </w:r>
          </w:p>
        </w:tc>
        <w:tc>
          <w:tcPr>
            <w:tcW w:w="2440" w:type="dxa"/>
            <w:tcBorders>
              <w:top w:val="nil"/>
              <w:left w:val="nil"/>
              <w:bottom w:val="single" w:sz="8" w:space="0" w:color="auto"/>
              <w:right w:val="single" w:sz="8" w:space="0" w:color="auto"/>
            </w:tcBorders>
            <w:shd w:val="clear" w:color="auto" w:fill="auto"/>
            <w:vAlign w:val="center"/>
            <w:hideMark/>
          </w:tcPr>
          <w:p w14:paraId="2441D3DD" w14:textId="77777777" w:rsidR="00A20228" w:rsidRPr="000C42E6" w:rsidRDefault="00A20228"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732</w:t>
            </w:r>
          </w:p>
        </w:tc>
        <w:tc>
          <w:tcPr>
            <w:tcW w:w="1387" w:type="dxa"/>
            <w:tcBorders>
              <w:top w:val="nil"/>
              <w:left w:val="nil"/>
              <w:bottom w:val="single" w:sz="8" w:space="0" w:color="auto"/>
              <w:right w:val="single" w:sz="8" w:space="0" w:color="auto"/>
            </w:tcBorders>
            <w:shd w:val="clear" w:color="auto" w:fill="auto"/>
            <w:vAlign w:val="center"/>
            <w:hideMark/>
          </w:tcPr>
          <w:p w14:paraId="0C698162" w14:textId="5ACDE337" w:rsidR="00A20228" w:rsidRPr="000C42E6" w:rsidRDefault="00A20228"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0.00</w:t>
            </w:r>
          </w:p>
        </w:tc>
      </w:tr>
      <w:tr w:rsidR="00A20228" w:rsidRPr="000C42E6" w14:paraId="6D2A03C5" w14:textId="77777777" w:rsidTr="00A23566">
        <w:trPr>
          <w:trHeight w:val="377"/>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64EAE667" w14:textId="77777777" w:rsidR="00A20228" w:rsidRPr="000C42E6" w:rsidRDefault="00A20228"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Retenciones y Contribuciones por Pagar a Corto Plazo</w:t>
            </w:r>
          </w:p>
        </w:tc>
        <w:tc>
          <w:tcPr>
            <w:tcW w:w="2440" w:type="dxa"/>
            <w:tcBorders>
              <w:top w:val="nil"/>
              <w:left w:val="nil"/>
              <w:bottom w:val="single" w:sz="8" w:space="0" w:color="auto"/>
              <w:right w:val="single" w:sz="8" w:space="0" w:color="auto"/>
            </w:tcBorders>
            <w:shd w:val="clear" w:color="auto" w:fill="auto"/>
            <w:vAlign w:val="center"/>
            <w:hideMark/>
          </w:tcPr>
          <w:p w14:paraId="2295F6BB" w14:textId="77777777" w:rsidR="00A20228" w:rsidRPr="000C42E6" w:rsidRDefault="00A20228"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1,154,622,667</w:t>
            </w:r>
          </w:p>
        </w:tc>
        <w:tc>
          <w:tcPr>
            <w:tcW w:w="1387" w:type="dxa"/>
            <w:tcBorders>
              <w:top w:val="nil"/>
              <w:left w:val="nil"/>
              <w:bottom w:val="single" w:sz="8" w:space="0" w:color="auto"/>
              <w:right w:val="single" w:sz="8" w:space="0" w:color="auto"/>
            </w:tcBorders>
            <w:shd w:val="clear" w:color="auto" w:fill="auto"/>
            <w:vAlign w:val="center"/>
            <w:hideMark/>
          </w:tcPr>
          <w:p w14:paraId="6E271A54" w14:textId="0177DEAD" w:rsidR="00A20228" w:rsidRPr="000C42E6" w:rsidRDefault="00A20228"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34.43</w:t>
            </w:r>
          </w:p>
        </w:tc>
      </w:tr>
      <w:tr w:rsidR="00A20228" w:rsidRPr="000C42E6" w14:paraId="18458888" w14:textId="77777777" w:rsidTr="00A23566">
        <w:trPr>
          <w:trHeight w:val="235"/>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7FDF951F" w14:textId="77777777" w:rsidR="00A20228" w:rsidRPr="000C42E6" w:rsidRDefault="00A20228"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Devoluciones de la Ley de Ingresos por Pagar a Corto Plazo</w:t>
            </w:r>
          </w:p>
        </w:tc>
        <w:tc>
          <w:tcPr>
            <w:tcW w:w="2440" w:type="dxa"/>
            <w:tcBorders>
              <w:top w:val="nil"/>
              <w:left w:val="nil"/>
              <w:bottom w:val="single" w:sz="8" w:space="0" w:color="auto"/>
              <w:right w:val="single" w:sz="8" w:space="0" w:color="auto"/>
            </w:tcBorders>
            <w:shd w:val="clear" w:color="auto" w:fill="auto"/>
            <w:vAlign w:val="center"/>
            <w:hideMark/>
          </w:tcPr>
          <w:p w14:paraId="3F68D081" w14:textId="77777777" w:rsidR="00A20228" w:rsidRPr="000C42E6" w:rsidRDefault="00A20228"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2,503,187</w:t>
            </w:r>
          </w:p>
        </w:tc>
        <w:tc>
          <w:tcPr>
            <w:tcW w:w="1387" w:type="dxa"/>
            <w:tcBorders>
              <w:top w:val="nil"/>
              <w:left w:val="nil"/>
              <w:bottom w:val="single" w:sz="8" w:space="0" w:color="auto"/>
              <w:right w:val="single" w:sz="8" w:space="0" w:color="auto"/>
            </w:tcBorders>
            <w:shd w:val="clear" w:color="auto" w:fill="auto"/>
            <w:vAlign w:val="center"/>
            <w:hideMark/>
          </w:tcPr>
          <w:p w14:paraId="3313C3A6" w14:textId="7D771DB7" w:rsidR="00A20228" w:rsidRPr="000C42E6" w:rsidRDefault="00A20228"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0.07</w:t>
            </w:r>
          </w:p>
        </w:tc>
      </w:tr>
      <w:tr w:rsidR="00A20228" w:rsidRPr="000C42E6" w14:paraId="2364F179" w14:textId="77777777" w:rsidTr="00A23566">
        <w:trPr>
          <w:trHeight w:val="315"/>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3E9378FC" w14:textId="77777777" w:rsidR="00A20228" w:rsidRPr="000C42E6" w:rsidRDefault="00A20228" w:rsidP="004C0398">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Otras Cuentas por Pagar a Corto Plazo</w:t>
            </w:r>
          </w:p>
        </w:tc>
        <w:tc>
          <w:tcPr>
            <w:tcW w:w="2440" w:type="dxa"/>
            <w:tcBorders>
              <w:top w:val="nil"/>
              <w:left w:val="nil"/>
              <w:bottom w:val="single" w:sz="8" w:space="0" w:color="auto"/>
              <w:right w:val="single" w:sz="8" w:space="0" w:color="auto"/>
            </w:tcBorders>
            <w:shd w:val="clear" w:color="auto" w:fill="auto"/>
            <w:vAlign w:val="center"/>
            <w:hideMark/>
          </w:tcPr>
          <w:p w14:paraId="3A954280" w14:textId="77777777" w:rsidR="00A20228" w:rsidRPr="000C42E6" w:rsidRDefault="00A20228"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1,725,695,695</w:t>
            </w:r>
          </w:p>
        </w:tc>
        <w:tc>
          <w:tcPr>
            <w:tcW w:w="1387" w:type="dxa"/>
            <w:tcBorders>
              <w:top w:val="nil"/>
              <w:left w:val="nil"/>
              <w:bottom w:val="single" w:sz="8" w:space="0" w:color="auto"/>
              <w:right w:val="single" w:sz="8" w:space="0" w:color="auto"/>
            </w:tcBorders>
            <w:shd w:val="clear" w:color="auto" w:fill="auto"/>
            <w:vAlign w:val="center"/>
            <w:hideMark/>
          </w:tcPr>
          <w:p w14:paraId="0B24F202" w14:textId="103CFBC5" w:rsidR="00A20228" w:rsidRPr="000C42E6" w:rsidRDefault="00A20228"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51.46</w:t>
            </w:r>
          </w:p>
        </w:tc>
      </w:tr>
      <w:tr w:rsidR="00A20228" w:rsidRPr="000C42E6" w14:paraId="6369C9AF" w14:textId="77777777" w:rsidTr="00A23566">
        <w:trPr>
          <w:trHeight w:val="315"/>
          <w:jc w:val="center"/>
        </w:trPr>
        <w:tc>
          <w:tcPr>
            <w:tcW w:w="6410" w:type="dxa"/>
            <w:tcBorders>
              <w:top w:val="nil"/>
              <w:left w:val="single" w:sz="8" w:space="0" w:color="auto"/>
              <w:bottom w:val="single" w:sz="8" w:space="0" w:color="auto"/>
              <w:right w:val="single" w:sz="8" w:space="0" w:color="auto"/>
            </w:tcBorders>
            <w:shd w:val="clear" w:color="auto" w:fill="auto"/>
            <w:vAlign w:val="center"/>
            <w:hideMark/>
          </w:tcPr>
          <w:p w14:paraId="72907204" w14:textId="77777777" w:rsidR="00A20228" w:rsidRPr="000C42E6" w:rsidRDefault="00A20228"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2440" w:type="dxa"/>
            <w:tcBorders>
              <w:top w:val="nil"/>
              <w:left w:val="nil"/>
              <w:bottom w:val="single" w:sz="8" w:space="0" w:color="auto"/>
              <w:right w:val="single" w:sz="8" w:space="0" w:color="auto"/>
            </w:tcBorders>
            <w:shd w:val="clear" w:color="auto" w:fill="auto"/>
            <w:vAlign w:val="center"/>
            <w:hideMark/>
          </w:tcPr>
          <w:p w14:paraId="2A72F319" w14:textId="77777777" w:rsidR="00A20228" w:rsidRPr="000C42E6" w:rsidRDefault="00A20228"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3,353,658,879</w:t>
            </w:r>
          </w:p>
        </w:tc>
        <w:tc>
          <w:tcPr>
            <w:tcW w:w="1387" w:type="dxa"/>
            <w:tcBorders>
              <w:top w:val="nil"/>
              <w:left w:val="nil"/>
              <w:bottom w:val="single" w:sz="8" w:space="0" w:color="auto"/>
              <w:right w:val="single" w:sz="8" w:space="0" w:color="auto"/>
            </w:tcBorders>
            <w:shd w:val="clear" w:color="auto" w:fill="auto"/>
            <w:vAlign w:val="center"/>
            <w:hideMark/>
          </w:tcPr>
          <w:p w14:paraId="16E4D270" w14:textId="5BD035B8" w:rsidR="00A20228" w:rsidRPr="000C42E6" w:rsidRDefault="00A20228"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0F79F68C" w14:textId="7A576922" w:rsidR="00F40470" w:rsidRPr="000C42E6" w:rsidRDefault="00F40470" w:rsidP="00BA74B0">
      <w:pPr>
        <w:pStyle w:val="Prrafodelista"/>
        <w:spacing w:after="160" w:line="259" w:lineRule="auto"/>
        <w:jc w:val="both"/>
        <w:rPr>
          <w:rFonts w:ascii="Arial" w:hAnsi="Arial" w:cs="Arial"/>
          <w:sz w:val="20"/>
          <w:szCs w:val="20"/>
        </w:rPr>
      </w:pPr>
    </w:p>
    <w:p w14:paraId="11BEF986" w14:textId="77777777" w:rsidR="00112388" w:rsidRPr="000C42E6" w:rsidRDefault="00112388" w:rsidP="00112388">
      <w:pPr>
        <w:spacing w:line="240" w:lineRule="auto"/>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Comentarios a los saldos que integran el rubro de Cuentas por Pagar a Corto Plazo:</w:t>
      </w:r>
    </w:p>
    <w:p w14:paraId="077D78B1" w14:textId="77777777" w:rsidR="00112388" w:rsidRPr="000C42E6" w:rsidRDefault="00112388" w:rsidP="00112388">
      <w:pPr>
        <w:pStyle w:val="Prrafodelista"/>
        <w:numPr>
          <w:ilvl w:val="0"/>
          <w:numId w:val="30"/>
        </w:numPr>
        <w:spacing w:after="16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Servicios Personales por Pagar a Corto plazo $2,624,178</w:t>
      </w:r>
    </w:p>
    <w:p w14:paraId="738BC0D7" w14:textId="77777777" w:rsidR="00112388" w:rsidRDefault="00112388" w:rsidP="00112388">
      <w:pPr>
        <w:spacing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Esta cuenta se integra por Remuneración por Pagar al Personal de Carácter Permanente por la cantidad de $2,441,784 y Remuneración por Pagar al Personal de Carácter Transitorio por $182,394; que corresponde a nóminas pagadas, y que a la fecha de cierre del ejercicio se encuentran en proceso de comprobación.  </w:t>
      </w:r>
    </w:p>
    <w:p w14:paraId="54CBB1D4" w14:textId="77777777" w:rsidR="00112388" w:rsidRPr="000C42E6" w:rsidRDefault="00112388" w:rsidP="00112388">
      <w:pPr>
        <w:pStyle w:val="Prrafodelista"/>
        <w:numPr>
          <w:ilvl w:val="0"/>
          <w:numId w:val="30"/>
        </w:numPr>
        <w:spacing w:after="160" w:line="240" w:lineRule="auto"/>
        <w:jc w:val="both"/>
        <w:rPr>
          <w:rFonts w:ascii="Arial" w:eastAsia="Times New Roman" w:hAnsi="Arial" w:cs="Arial"/>
          <w:color w:val="000000"/>
          <w:sz w:val="20"/>
          <w:szCs w:val="20"/>
          <w:lang w:eastAsia="es-MX"/>
        </w:rPr>
      </w:pPr>
      <w:r w:rsidRPr="000C42E6">
        <w:rPr>
          <w:rFonts w:ascii="Arial" w:eastAsia="Times New Roman" w:hAnsi="Arial" w:cs="Arial"/>
          <w:b/>
          <w:color w:val="000000"/>
          <w:sz w:val="20"/>
          <w:szCs w:val="20"/>
          <w:lang w:eastAsia="es-MX"/>
        </w:rPr>
        <w:t>Proveedores por Pagar a Corto plazo por $467,968,275</w:t>
      </w:r>
    </w:p>
    <w:p w14:paraId="2571FEAA" w14:textId="77777777" w:rsidR="00112388" w:rsidRPr="000C42E6" w:rsidRDefault="00112388" w:rsidP="00112388">
      <w:pPr>
        <w:spacing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Proveedores por Adquisición de Bienes y Contratación de Servicios corresponde a devengos de diversos proveedores del ejercicio actual, el 100% del saldo presenta una antigüedad de 90 días.</w:t>
      </w:r>
    </w:p>
    <w:p w14:paraId="35D63D61" w14:textId="77777777" w:rsidR="00112388" w:rsidRPr="000C42E6" w:rsidRDefault="00112388" w:rsidP="00112388">
      <w:pPr>
        <w:pStyle w:val="Prrafodelista"/>
        <w:numPr>
          <w:ilvl w:val="0"/>
          <w:numId w:val="30"/>
        </w:num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Contratistas por Obras Públicas por Pagar a Corto Plazo  $244,145</w:t>
      </w:r>
    </w:p>
    <w:p w14:paraId="78CE231B" w14:textId="77777777" w:rsidR="00112388" w:rsidRPr="000C42E6" w:rsidRDefault="00112388" w:rsidP="00112388">
      <w:p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color w:val="000000"/>
          <w:sz w:val="20"/>
          <w:szCs w:val="20"/>
          <w:lang w:eastAsia="es-MX"/>
        </w:rPr>
        <w:t>Anticipos a 1 contratista en el ejercicio 2025, la antigüedad del saldo es a 90 días.</w:t>
      </w:r>
    </w:p>
    <w:p w14:paraId="1725BC6C" w14:textId="77777777" w:rsidR="00112388" w:rsidRPr="000C42E6" w:rsidRDefault="00112388" w:rsidP="00112388">
      <w:pPr>
        <w:spacing w:after="0" w:line="240" w:lineRule="auto"/>
        <w:jc w:val="both"/>
        <w:rPr>
          <w:rFonts w:ascii="Arial" w:eastAsia="Times New Roman" w:hAnsi="Arial" w:cs="Arial"/>
          <w:b/>
          <w:color w:val="000000"/>
          <w:sz w:val="20"/>
          <w:szCs w:val="20"/>
          <w:lang w:eastAsia="es-MX"/>
        </w:rPr>
      </w:pPr>
    </w:p>
    <w:p w14:paraId="097F5ABA" w14:textId="77777777" w:rsidR="00112388" w:rsidRPr="000C42E6" w:rsidRDefault="00112388" w:rsidP="00112388">
      <w:pPr>
        <w:pStyle w:val="Prrafodelista"/>
        <w:numPr>
          <w:ilvl w:val="0"/>
          <w:numId w:val="30"/>
        </w:num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Participaciones y Aportaciones por Pagar a Corto Plazo $732</w:t>
      </w:r>
    </w:p>
    <w:p w14:paraId="75C83AB4" w14:textId="77777777" w:rsidR="00112388" w:rsidRPr="000C42E6" w:rsidRDefault="00112388" w:rsidP="00112388">
      <w:pPr>
        <w:spacing w:after="0" w:line="240" w:lineRule="auto"/>
        <w:jc w:val="both"/>
        <w:rPr>
          <w:rFonts w:ascii="Arial" w:eastAsia="Times New Roman" w:hAnsi="Arial" w:cs="Arial"/>
          <w:b/>
          <w:color w:val="000000"/>
          <w:sz w:val="20"/>
          <w:szCs w:val="20"/>
          <w:lang w:eastAsia="es-MX"/>
        </w:rPr>
      </w:pPr>
    </w:p>
    <w:p w14:paraId="1D8100E1" w14:textId="77777777" w:rsidR="00112388" w:rsidRPr="000C42E6" w:rsidRDefault="00112388" w:rsidP="00112388">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Corresponde a devengo a favor del municipio de Centro; pagados en el mes de enero 2026.</w:t>
      </w:r>
    </w:p>
    <w:p w14:paraId="790B8A62" w14:textId="77777777" w:rsidR="00112388" w:rsidRPr="000C42E6" w:rsidRDefault="00112388" w:rsidP="00112388">
      <w:pPr>
        <w:spacing w:after="0" w:line="240" w:lineRule="auto"/>
        <w:jc w:val="both"/>
        <w:rPr>
          <w:rFonts w:ascii="Arial" w:eastAsia="Times New Roman" w:hAnsi="Arial" w:cs="Arial"/>
          <w:b/>
          <w:color w:val="000000"/>
          <w:sz w:val="20"/>
          <w:szCs w:val="20"/>
          <w:lang w:eastAsia="es-MX"/>
        </w:rPr>
      </w:pPr>
    </w:p>
    <w:p w14:paraId="116868BA" w14:textId="77777777" w:rsidR="00112388" w:rsidRPr="000C42E6" w:rsidRDefault="00112388" w:rsidP="00112388">
      <w:pPr>
        <w:pStyle w:val="Prrafodelista"/>
        <w:numPr>
          <w:ilvl w:val="0"/>
          <w:numId w:val="30"/>
        </w:num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b/>
          <w:sz w:val="20"/>
          <w:szCs w:val="20"/>
          <w:lang w:eastAsia="es-MX"/>
        </w:rPr>
        <w:t>Retenciones y Contribuciones por Pagar a Corto Plazo $1,154,622,667</w:t>
      </w:r>
    </w:p>
    <w:p w14:paraId="6D865FC4" w14:textId="77777777" w:rsidR="00112388" w:rsidRPr="000C42E6" w:rsidRDefault="00112388" w:rsidP="00112388">
      <w:pPr>
        <w:pStyle w:val="Prrafodelista"/>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w:t>
      </w:r>
    </w:p>
    <w:p w14:paraId="5714C4E2" w14:textId="77777777" w:rsidR="00112388" w:rsidRPr="000C42E6" w:rsidRDefault="00112388" w:rsidP="00112388">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 integra de las subcuentas siguientes:</w:t>
      </w:r>
    </w:p>
    <w:p w14:paraId="52D1F47B" w14:textId="77777777" w:rsidR="00112388" w:rsidRPr="000C42E6" w:rsidRDefault="00112388" w:rsidP="00112388">
      <w:pPr>
        <w:spacing w:after="0" w:line="240" w:lineRule="auto"/>
        <w:jc w:val="both"/>
        <w:rPr>
          <w:rFonts w:ascii="Arial" w:eastAsia="Times New Roman" w:hAnsi="Arial" w:cs="Arial"/>
          <w:color w:val="000000"/>
          <w:sz w:val="20"/>
          <w:szCs w:val="20"/>
          <w:lang w:eastAsia="es-MX"/>
        </w:rPr>
      </w:pPr>
    </w:p>
    <w:p w14:paraId="5B9CFF7A" w14:textId="77777777" w:rsidR="00112388" w:rsidRPr="000C42E6" w:rsidRDefault="00112388" w:rsidP="00112388">
      <w:pPr>
        <w:pStyle w:val="Prrafodelista"/>
        <w:numPr>
          <w:ilvl w:val="0"/>
          <w:numId w:val="21"/>
        </w:num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Impuestos $829,828,451</w:t>
      </w:r>
    </w:p>
    <w:p w14:paraId="3101E1A2" w14:textId="77777777" w:rsidR="00112388" w:rsidRPr="000C42E6" w:rsidRDefault="00112388" w:rsidP="00112388">
      <w:pPr>
        <w:spacing w:after="0" w:line="240" w:lineRule="auto"/>
        <w:ind w:left="708"/>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Corresponde a las provisiones por concepto de Impuesto Sobre la Renta (ISR) de retenciones de nómina, asimilables a salarios, lista de raya, arrendamientos y honorarios e Impuesto Sobre Nómina (ISN) de los trabajadores, que se pagarán en el mes de enero 2026. El 100% del saldo presenta una antigüedad de 90 días.</w:t>
      </w:r>
    </w:p>
    <w:p w14:paraId="3039D66D" w14:textId="77777777" w:rsidR="00112388" w:rsidRPr="000C42E6" w:rsidRDefault="00112388" w:rsidP="00112388">
      <w:pPr>
        <w:spacing w:after="0" w:line="240" w:lineRule="auto"/>
        <w:jc w:val="both"/>
        <w:rPr>
          <w:rFonts w:ascii="Arial" w:eastAsia="Times New Roman" w:hAnsi="Arial" w:cs="Arial"/>
          <w:b/>
          <w:color w:val="000000"/>
          <w:sz w:val="20"/>
          <w:szCs w:val="20"/>
          <w:lang w:eastAsia="es-MX"/>
        </w:rPr>
      </w:pPr>
    </w:p>
    <w:p w14:paraId="35E3CD85" w14:textId="77777777" w:rsidR="00112388" w:rsidRPr="000C42E6" w:rsidRDefault="00112388" w:rsidP="00112388">
      <w:pPr>
        <w:pStyle w:val="Prrafodelista"/>
        <w:numPr>
          <w:ilvl w:val="0"/>
          <w:numId w:val="21"/>
        </w:num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Instituto de Seguridad Social del Estado de Tabasco $111,083,189</w:t>
      </w:r>
    </w:p>
    <w:p w14:paraId="7F502A73" w14:textId="77777777" w:rsidR="00112388" w:rsidRPr="000C42E6" w:rsidRDefault="00112388" w:rsidP="00112388">
      <w:pPr>
        <w:spacing w:after="0" w:line="240" w:lineRule="auto"/>
        <w:ind w:left="708"/>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lastRenderedPageBreak/>
        <w:t>Son las retenciones de las cuotas individuales y patronales que se realiza a cada Dependencia Estatal y que se le paga al Instituto de Seguridad Social del Estado de Tabasco (ISSET). La desagregación por vencimiento es de 90 días el 100%, los cuales se pagarán en el mes de enero de 2026.</w:t>
      </w:r>
    </w:p>
    <w:p w14:paraId="41797464" w14:textId="77777777" w:rsidR="00112388" w:rsidRPr="000C42E6" w:rsidRDefault="00112388" w:rsidP="00112388">
      <w:pPr>
        <w:spacing w:after="0" w:line="240" w:lineRule="auto"/>
        <w:jc w:val="both"/>
        <w:rPr>
          <w:rFonts w:ascii="Arial" w:eastAsia="Times New Roman" w:hAnsi="Arial" w:cs="Arial"/>
          <w:color w:val="000000"/>
          <w:sz w:val="20"/>
          <w:szCs w:val="20"/>
          <w:lang w:eastAsia="es-MX"/>
        </w:rPr>
      </w:pPr>
    </w:p>
    <w:p w14:paraId="6B72E87B" w14:textId="77777777" w:rsidR="00112388" w:rsidRPr="000C42E6" w:rsidRDefault="00112388" w:rsidP="00112388">
      <w:pPr>
        <w:pStyle w:val="Prrafodelista"/>
        <w:numPr>
          <w:ilvl w:val="0"/>
          <w:numId w:val="21"/>
        </w:num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b/>
          <w:color w:val="000000"/>
          <w:sz w:val="20"/>
          <w:szCs w:val="20"/>
          <w:lang w:eastAsia="es-MX"/>
        </w:rPr>
        <w:t>Sindicatos $</w:t>
      </w:r>
      <w:r w:rsidRPr="000C42E6">
        <w:rPr>
          <w:rFonts w:ascii="Arial" w:hAnsi="Arial" w:cs="Arial"/>
          <w:sz w:val="20"/>
          <w:szCs w:val="20"/>
        </w:rPr>
        <w:t xml:space="preserve"> </w:t>
      </w:r>
      <w:r w:rsidRPr="000C42E6">
        <w:rPr>
          <w:rFonts w:ascii="Arial" w:eastAsia="Times New Roman" w:hAnsi="Arial" w:cs="Arial"/>
          <w:b/>
          <w:color w:val="000000"/>
          <w:sz w:val="20"/>
          <w:szCs w:val="20"/>
          <w:lang w:eastAsia="es-MX"/>
        </w:rPr>
        <w:t>30,364,624</w:t>
      </w:r>
    </w:p>
    <w:p w14:paraId="324DB3D1" w14:textId="77777777" w:rsidR="00112388" w:rsidRPr="000C42E6" w:rsidRDefault="00112388" w:rsidP="00112388">
      <w:pPr>
        <w:spacing w:after="0" w:line="240" w:lineRule="auto"/>
        <w:ind w:left="708"/>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Son retenciones obreras de cada trabajador. La desagregación por vencimiento es de $24</w:t>
      </w:r>
      <w:proofErr w:type="gramStart"/>
      <w:r w:rsidRPr="000C42E6">
        <w:rPr>
          <w:rFonts w:ascii="Arial" w:eastAsia="Times New Roman" w:hAnsi="Arial" w:cs="Arial"/>
          <w:color w:val="000000"/>
          <w:sz w:val="20"/>
          <w:szCs w:val="20"/>
          <w:lang w:eastAsia="es-MX"/>
        </w:rPr>
        <w:t>,628,310</w:t>
      </w:r>
      <w:proofErr w:type="gramEnd"/>
      <w:r w:rsidRPr="000C42E6">
        <w:rPr>
          <w:rFonts w:ascii="Arial" w:eastAsia="Times New Roman" w:hAnsi="Arial" w:cs="Arial"/>
          <w:color w:val="000000"/>
          <w:sz w:val="20"/>
          <w:szCs w:val="20"/>
          <w:lang w:eastAsia="es-MX"/>
        </w:rPr>
        <w:t xml:space="preserve"> a  90 días representa el 81%,  los cuales se pagarán en el 1er. trimestre del 2026,  y $5,736,314 mayor a 365 días representa el 19% corresponde a ejercicios anteriores (2015 al 2018).</w:t>
      </w:r>
    </w:p>
    <w:p w14:paraId="69F81996" w14:textId="77777777" w:rsidR="00112388" w:rsidRPr="000C42E6" w:rsidRDefault="00112388" w:rsidP="00112388">
      <w:pPr>
        <w:spacing w:after="0" w:line="240" w:lineRule="auto"/>
        <w:jc w:val="both"/>
        <w:rPr>
          <w:rFonts w:ascii="Arial" w:eastAsia="Times New Roman" w:hAnsi="Arial" w:cs="Arial"/>
          <w:color w:val="000000"/>
          <w:sz w:val="20"/>
          <w:szCs w:val="20"/>
          <w:lang w:eastAsia="es-MX"/>
        </w:rPr>
      </w:pPr>
    </w:p>
    <w:p w14:paraId="6DFA8653" w14:textId="77777777" w:rsidR="00112388" w:rsidRPr="000C42E6" w:rsidRDefault="00112388" w:rsidP="00112388">
      <w:pPr>
        <w:pStyle w:val="Prrafodelista"/>
        <w:numPr>
          <w:ilvl w:val="0"/>
          <w:numId w:val="21"/>
        </w:num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Asegurados $</w:t>
      </w:r>
      <w:r w:rsidRPr="000C42E6">
        <w:rPr>
          <w:rFonts w:ascii="Arial" w:hAnsi="Arial" w:cs="Arial"/>
          <w:sz w:val="20"/>
          <w:szCs w:val="20"/>
        </w:rPr>
        <w:t xml:space="preserve"> </w:t>
      </w:r>
      <w:r w:rsidRPr="000C42E6">
        <w:rPr>
          <w:rFonts w:ascii="Arial" w:eastAsia="Times New Roman" w:hAnsi="Arial" w:cs="Arial"/>
          <w:b/>
          <w:color w:val="000000"/>
          <w:sz w:val="20"/>
          <w:szCs w:val="20"/>
          <w:lang w:eastAsia="es-MX"/>
        </w:rPr>
        <w:t>50,792,412</w:t>
      </w:r>
    </w:p>
    <w:p w14:paraId="3F002181" w14:textId="77777777" w:rsidR="00112388" w:rsidRPr="000C42E6" w:rsidRDefault="00112388" w:rsidP="00112388">
      <w:pPr>
        <w:spacing w:after="0" w:line="240" w:lineRule="auto"/>
        <w:ind w:left="708"/>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Descuentos a trabajadores por seguros de automóviles y seguros de vida. La desagregación por vencimiento es de $20,925,920 a 90 días representa el 41%,  los cuales se pagarán en el 1er trimestre del año 2026 y $29,866,492 mayor a 365 días representa el 59%; corresponde a ejercicios anteriores (2015 al 2018).</w:t>
      </w:r>
    </w:p>
    <w:p w14:paraId="67CAD099" w14:textId="77777777" w:rsidR="00112388" w:rsidRPr="000C42E6" w:rsidRDefault="00112388" w:rsidP="00112388">
      <w:pPr>
        <w:pStyle w:val="Prrafodelista"/>
        <w:numPr>
          <w:ilvl w:val="0"/>
          <w:numId w:val="21"/>
        </w:num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Otros $</w:t>
      </w:r>
      <w:r w:rsidRPr="000C42E6">
        <w:rPr>
          <w:rFonts w:ascii="Arial" w:hAnsi="Arial" w:cs="Arial"/>
          <w:sz w:val="20"/>
          <w:szCs w:val="20"/>
        </w:rPr>
        <w:t xml:space="preserve"> </w:t>
      </w:r>
      <w:r w:rsidRPr="000C42E6">
        <w:rPr>
          <w:rFonts w:ascii="Arial" w:eastAsia="Times New Roman" w:hAnsi="Arial" w:cs="Arial"/>
          <w:b/>
          <w:color w:val="000000"/>
          <w:sz w:val="20"/>
          <w:szCs w:val="20"/>
          <w:lang w:eastAsia="es-MX"/>
        </w:rPr>
        <w:t>132,553,991</w:t>
      </w:r>
    </w:p>
    <w:p w14:paraId="6AB17DC9" w14:textId="77777777" w:rsidR="00112388" w:rsidRPr="000C42E6" w:rsidRDefault="00112388" w:rsidP="00112388">
      <w:pPr>
        <w:pStyle w:val="Prrafodelista"/>
        <w:spacing w:after="0" w:line="240" w:lineRule="auto"/>
        <w:ind w:left="708"/>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Descuentos de Despensa, Pensión Alimenticia, </w:t>
      </w:r>
      <w:proofErr w:type="spellStart"/>
      <w:r w:rsidRPr="000C42E6">
        <w:rPr>
          <w:rFonts w:ascii="Arial" w:eastAsia="Times New Roman" w:hAnsi="Arial" w:cs="Arial"/>
          <w:color w:val="000000"/>
          <w:sz w:val="20"/>
          <w:szCs w:val="20"/>
          <w:lang w:eastAsia="es-MX"/>
        </w:rPr>
        <w:t>Directodo</w:t>
      </w:r>
      <w:proofErr w:type="spellEnd"/>
      <w:r w:rsidRPr="000C42E6">
        <w:rPr>
          <w:rFonts w:ascii="Arial" w:eastAsia="Times New Roman" w:hAnsi="Arial" w:cs="Arial"/>
          <w:color w:val="000000"/>
          <w:sz w:val="20"/>
          <w:szCs w:val="20"/>
          <w:lang w:eastAsia="es-MX"/>
        </w:rPr>
        <w:t xml:space="preserve"> México S.A.P.I. DE C.V. SOFOM, E.N.R,  descuento   INFONACOT,  Nómina Apoyo, S. A. de C. V. </w:t>
      </w:r>
      <w:proofErr w:type="spellStart"/>
      <w:r w:rsidRPr="000C42E6">
        <w:rPr>
          <w:rFonts w:ascii="Arial" w:eastAsia="Times New Roman" w:hAnsi="Arial" w:cs="Arial"/>
          <w:color w:val="000000"/>
          <w:sz w:val="20"/>
          <w:szCs w:val="20"/>
          <w:lang w:eastAsia="es-MX"/>
        </w:rPr>
        <w:t>Sofom</w:t>
      </w:r>
      <w:proofErr w:type="spellEnd"/>
      <w:r w:rsidRPr="000C42E6">
        <w:rPr>
          <w:rFonts w:ascii="Arial" w:eastAsia="Times New Roman" w:hAnsi="Arial" w:cs="Arial"/>
          <w:color w:val="000000"/>
          <w:sz w:val="20"/>
          <w:szCs w:val="20"/>
          <w:lang w:eastAsia="es-MX"/>
        </w:rPr>
        <w:t xml:space="preserve"> (ENR), FAMSA PROMOBIEN, S.A. DE C.V, PRESTACIONES FINMART S.A. P.I. DE C.V. SOFOM E.N.R., FONDO ACH, SA DE CV. SOFOM ENR, 0.5% VIGILANCIA E INSPECCION, entre otros. La desagregación por vencimiento es de $105,494,044 a 90 días representa el 80%,  los cuales se pagarán en el 1er trimestre del año 2026 y $27,059,947 mayor a 365 días representa el 20% corresponde a ejercicios anteriores (2015 al 2018).</w:t>
      </w:r>
    </w:p>
    <w:p w14:paraId="363370B2" w14:textId="77777777" w:rsidR="00112388" w:rsidRPr="000C42E6" w:rsidRDefault="00112388" w:rsidP="00112388">
      <w:pPr>
        <w:pStyle w:val="Prrafodelista"/>
        <w:spacing w:after="0" w:line="240" w:lineRule="auto"/>
        <w:ind w:left="708"/>
        <w:jc w:val="both"/>
        <w:rPr>
          <w:rFonts w:ascii="Arial" w:eastAsia="Times New Roman" w:hAnsi="Arial" w:cs="Arial"/>
          <w:color w:val="000000"/>
          <w:sz w:val="20"/>
          <w:szCs w:val="20"/>
          <w:lang w:eastAsia="es-MX"/>
        </w:rPr>
      </w:pPr>
    </w:p>
    <w:p w14:paraId="0EFC0D1F" w14:textId="77777777" w:rsidR="00112388" w:rsidRPr="000C42E6" w:rsidRDefault="00112388" w:rsidP="00112388">
      <w:pPr>
        <w:pStyle w:val="Prrafodelista"/>
        <w:numPr>
          <w:ilvl w:val="0"/>
          <w:numId w:val="30"/>
        </w:numPr>
        <w:spacing w:after="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Devoluciones de la Ley de Ingresos por Pagar a Corto Plazo $2,503,187</w:t>
      </w:r>
    </w:p>
    <w:p w14:paraId="76902A50" w14:textId="3EEA81F4" w:rsidR="00112388" w:rsidRPr="000C42E6" w:rsidRDefault="00112388" w:rsidP="00112388">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 integra por las provisiones</w:t>
      </w:r>
      <w:r w:rsidR="0026244F" w:rsidRPr="000C42E6">
        <w:rPr>
          <w:rFonts w:ascii="Arial" w:eastAsia="Times New Roman" w:hAnsi="Arial" w:cs="Arial"/>
          <w:color w:val="000000"/>
          <w:sz w:val="20"/>
          <w:szCs w:val="20"/>
          <w:lang w:eastAsia="es-MX"/>
        </w:rPr>
        <w:t xml:space="preserve"> del ejercicio 2025 y 2026</w:t>
      </w:r>
      <w:r w:rsidRPr="000C42E6">
        <w:rPr>
          <w:rFonts w:ascii="Arial" w:eastAsia="Times New Roman" w:hAnsi="Arial" w:cs="Arial"/>
          <w:color w:val="000000"/>
          <w:sz w:val="20"/>
          <w:szCs w:val="20"/>
          <w:lang w:eastAsia="es-MX"/>
        </w:rPr>
        <w:t xml:space="preserve"> realizadas por la Dirección de Recaudación por pagos duplicados, trámites improcedentes de impuestos, fianzas judiciales, depósitos en garantía u otros conceptos, los cuales deben ser solicitados por el contribuyente.</w:t>
      </w:r>
    </w:p>
    <w:p w14:paraId="13B426EB" w14:textId="77777777" w:rsidR="00112388" w:rsidRPr="000C42E6" w:rsidRDefault="00112388" w:rsidP="00112388">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El 17% del saldo tiene una antigüedad de 90 días y 83% mayor a 365 días.</w:t>
      </w:r>
    </w:p>
    <w:p w14:paraId="696CBE8A" w14:textId="77777777" w:rsidR="00112388" w:rsidRPr="000C42E6" w:rsidRDefault="00112388" w:rsidP="00112388">
      <w:pPr>
        <w:pStyle w:val="Prrafodelista"/>
        <w:numPr>
          <w:ilvl w:val="0"/>
          <w:numId w:val="30"/>
        </w:numPr>
        <w:spacing w:after="160" w:line="240" w:lineRule="auto"/>
        <w:jc w:val="both"/>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Otras Cuentas por Pagar a Corto Plazo $1,725,695,695</w:t>
      </w:r>
    </w:p>
    <w:p w14:paraId="0BD699D1" w14:textId="5AB3A640" w:rsidR="00112388" w:rsidRPr="000C42E6" w:rsidRDefault="00040063" w:rsidP="00112388">
      <w:pPr>
        <w:spacing w:before="24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integran</w:t>
      </w:r>
      <w:r w:rsidR="00112388" w:rsidRPr="000C42E6">
        <w:rPr>
          <w:rFonts w:ascii="Arial" w:eastAsia="Times New Roman" w:hAnsi="Arial" w:cs="Arial"/>
          <w:color w:val="000000"/>
          <w:sz w:val="20"/>
          <w:szCs w:val="20"/>
          <w:lang w:eastAsia="es-MX"/>
        </w:rPr>
        <w:t xml:space="preserve"> de la siguiente manera:</w:t>
      </w:r>
    </w:p>
    <w:p w14:paraId="630F0150" w14:textId="77777777" w:rsidR="00112388" w:rsidRPr="000C42E6" w:rsidRDefault="00112388" w:rsidP="00112388">
      <w:pPr>
        <w:pStyle w:val="Prrafodelista"/>
        <w:numPr>
          <w:ilvl w:val="0"/>
          <w:numId w:val="22"/>
        </w:numPr>
        <w:spacing w:after="160" w:line="240" w:lineRule="auto"/>
        <w:jc w:val="both"/>
        <w:rPr>
          <w:rFonts w:ascii="Arial" w:eastAsia="Times New Roman" w:hAnsi="Arial" w:cs="Arial"/>
          <w:color w:val="000000"/>
          <w:sz w:val="20"/>
          <w:szCs w:val="20"/>
          <w:lang w:eastAsia="es-MX"/>
        </w:rPr>
      </w:pPr>
      <w:r w:rsidRPr="000C42E6">
        <w:rPr>
          <w:rFonts w:ascii="Arial" w:eastAsia="Times New Roman" w:hAnsi="Arial" w:cs="Arial"/>
          <w:b/>
          <w:color w:val="000000"/>
          <w:sz w:val="20"/>
          <w:szCs w:val="20"/>
          <w:lang w:eastAsia="es-MX"/>
        </w:rPr>
        <w:t>Anticipo Mensual de Participaciones $1,384,077,403</w:t>
      </w:r>
    </w:p>
    <w:p w14:paraId="51B252C5" w14:textId="5E47FC1B" w:rsidR="00112388" w:rsidRPr="000C42E6" w:rsidRDefault="00112388" w:rsidP="00112388">
      <w:pPr>
        <w:spacing w:line="240" w:lineRule="auto"/>
        <w:ind w:left="360"/>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Se integra por $1</w:t>
      </w:r>
      <w:proofErr w:type="gramStart"/>
      <w:r w:rsidRPr="000C42E6">
        <w:rPr>
          <w:rFonts w:ascii="Arial" w:eastAsia="Times New Roman" w:hAnsi="Arial" w:cs="Arial"/>
          <w:color w:val="000000"/>
          <w:sz w:val="20"/>
          <w:szCs w:val="20"/>
          <w:lang w:eastAsia="es-MX"/>
        </w:rPr>
        <w:t>,383,661,860</w:t>
      </w:r>
      <w:proofErr w:type="gramEnd"/>
      <w:r w:rsidRPr="000C42E6">
        <w:rPr>
          <w:rFonts w:ascii="Arial" w:eastAsia="Times New Roman" w:hAnsi="Arial" w:cs="Arial"/>
          <w:color w:val="000000"/>
          <w:sz w:val="20"/>
          <w:szCs w:val="20"/>
          <w:lang w:eastAsia="es-MX"/>
        </w:rPr>
        <w:t xml:space="preserve"> correspondiente a la primera ministración del anticipo mensual de participaciones del mes de diciembre 2025 </w:t>
      </w:r>
      <w:r w:rsidR="0051207F" w:rsidRPr="000C42E6">
        <w:rPr>
          <w:rFonts w:ascii="Arial" w:eastAsia="Times New Roman" w:hAnsi="Arial" w:cs="Arial"/>
          <w:color w:val="000000"/>
          <w:sz w:val="20"/>
          <w:szCs w:val="20"/>
          <w:lang w:eastAsia="es-MX"/>
        </w:rPr>
        <w:t>y</w:t>
      </w:r>
      <w:r w:rsidR="00A46BE2" w:rsidRPr="000C42E6">
        <w:rPr>
          <w:rFonts w:ascii="Arial" w:eastAsia="Times New Roman" w:hAnsi="Arial" w:cs="Arial"/>
          <w:color w:val="000000"/>
          <w:sz w:val="20"/>
          <w:szCs w:val="20"/>
          <w:lang w:eastAsia="es-MX"/>
        </w:rPr>
        <w:t xml:space="preserve"> </w:t>
      </w:r>
      <w:r w:rsidRPr="000C42E6">
        <w:rPr>
          <w:rFonts w:ascii="Arial" w:eastAsia="Times New Roman" w:hAnsi="Arial" w:cs="Arial"/>
          <w:color w:val="000000"/>
          <w:sz w:val="20"/>
          <w:szCs w:val="20"/>
          <w:lang w:eastAsia="es-MX"/>
        </w:rPr>
        <w:t>$415,543 de la</w:t>
      </w:r>
      <w:r w:rsidR="00A46BE2" w:rsidRPr="000C42E6">
        <w:rPr>
          <w:rFonts w:ascii="Arial" w:eastAsia="Times New Roman" w:hAnsi="Arial" w:cs="Arial"/>
          <w:color w:val="000000"/>
          <w:sz w:val="20"/>
          <w:szCs w:val="20"/>
          <w:lang w:eastAsia="es-MX"/>
        </w:rPr>
        <w:t xml:space="preserve"> aportación CAPUFE de diciembre</w:t>
      </w:r>
      <w:r w:rsidR="00DE352B" w:rsidRPr="000C42E6">
        <w:rPr>
          <w:rFonts w:ascii="Arial" w:eastAsia="Times New Roman" w:hAnsi="Arial" w:cs="Arial"/>
          <w:color w:val="000000"/>
          <w:sz w:val="20"/>
          <w:szCs w:val="20"/>
          <w:lang w:eastAsia="es-MX"/>
        </w:rPr>
        <w:t>,</w:t>
      </w:r>
      <w:r w:rsidR="00A46BE2" w:rsidRPr="000C42E6">
        <w:rPr>
          <w:rFonts w:ascii="Arial" w:eastAsia="Times New Roman" w:hAnsi="Arial" w:cs="Arial"/>
          <w:color w:val="000000"/>
          <w:sz w:val="20"/>
          <w:szCs w:val="20"/>
          <w:lang w:eastAsia="es-MX"/>
        </w:rPr>
        <w:t xml:space="preserve"> quedando comprobado en el mes de enero 2026</w:t>
      </w:r>
    </w:p>
    <w:p w14:paraId="411E414F" w14:textId="77777777" w:rsidR="00112388" w:rsidRPr="000C42E6" w:rsidRDefault="00112388" w:rsidP="00112388">
      <w:pPr>
        <w:pStyle w:val="Prrafodelista"/>
        <w:numPr>
          <w:ilvl w:val="0"/>
          <w:numId w:val="22"/>
        </w:numPr>
        <w:spacing w:after="160" w:line="240" w:lineRule="auto"/>
        <w:jc w:val="both"/>
        <w:rPr>
          <w:rFonts w:ascii="Arial" w:eastAsia="Times New Roman" w:hAnsi="Arial" w:cs="Arial"/>
          <w:color w:val="000000"/>
          <w:sz w:val="20"/>
          <w:szCs w:val="20"/>
          <w:lang w:eastAsia="es-MX"/>
        </w:rPr>
      </w:pPr>
      <w:r w:rsidRPr="000C42E6">
        <w:rPr>
          <w:rFonts w:ascii="Arial" w:eastAsia="Times New Roman" w:hAnsi="Arial" w:cs="Arial"/>
          <w:b/>
          <w:color w:val="000000"/>
          <w:sz w:val="20"/>
          <w:szCs w:val="20"/>
          <w:lang w:eastAsia="es-MX"/>
        </w:rPr>
        <w:t>Otras Cuentas por Pagar $341,618,292</w:t>
      </w:r>
    </w:p>
    <w:p w14:paraId="116ACAA8" w14:textId="77777777" w:rsidR="00112388" w:rsidRPr="000C42E6" w:rsidRDefault="00112388" w:rsidP="00112388">
      <w:pPr>
        <w:spacing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Este saldo se integra por:</w:t>
      </w:r>
    </w:p>
    <w:p w14:paraId="48ED3B50" w14:textId="77777777" w:rsidR="00112388" w:rsidRPr="000C42E6" w:rsidRDefault="00112388" w:rsidP="00112388">
      <w:pPr>
        <w:pStyle w:val="Prrafodelista"/>
        <w:numPr>
          <w:ilvl w:val="0"/>
          <w:numId w:val="15"/>
        </w:numPr>
        <w:spacing w:after="160" w:line="259" w:lineRule="auto"/>
        <w:jc w:val="both"/>
        <w:rPr>
          <w:rFonts w:ascii="Arial" w:hAnsi="Arial" w:cs="Arial"/>
          <w:sz w:val="20"/>
          <w:szCs w:val="20"/>
        </w:rPr>
      </w:pPr>
      <w:r w:rsidRPr="000C42E6">
        <w:rPr>
          <w:rFonts w:ascii="Arial" w:hAnsi="Arial" w:cs="Arial"/>
          <w:sz w:val="20"/>
          <w:szCs w:val="20"/>
        </w:rPr>
        <w:t>Reintegros de recursos no ejercidos de programas federales y que se encuentran pendientes de pago a la Tesorería de Federación (TESOFE) por $6,377,375; en cumplimiento a la Ley de Disciplina Financiera de las Entidades Federativas y los Municipios. Su antigüedad es a 90 días y serán pagados en el mes de enero 2026.</w:t>
      </w:r>
    </w:p>
    <w:p w14:paraId="10CE0972" w14:textId="77777777" w:rsidR="00112388" w:rsidRPr="000C42E6" w:rsidRDefault="00112388" w:rsidP="00112388">
      <w:pPr>
        <w:pStyle w:val="Prrafodelista"/>
        <w:numPr>
          <w:ilvl w:val="0"/>
          <w:numId w:val="15"/>
        </w:numPr>
        <w:spacing w:after="160" w:line="259" w:lineRule="auto"/>
        <w:jc w:val="both"/>
        <w:rPr>
          <w:rFonts w:ascii="Arial" w:hAnsi="Arial" w:cs="Arial"/>
          <w:sz w:val="20"/>
          <w:szCs w:val="20"/>
        </w:rPr>
      </w:pPr>
      <w:r w:rsidRPr="000C42E6">
        <w:rPr>
          <w:rFonts w:ascii="Arial" w:hAnsi="Arial" w:cs="Arial"/>
          <w:sz w:val="20"/>
          <w:szCs w:val="20"/>
        </w:rPr>
        <w:t>Reintegros del ejercicio 2021 al 31 de diciembre 2025; efectuados por las dependencias por concepto de retenciones de pensión alimenticia y procesos jurídicos por un importe de $2</w:t>
      </w:r>
      <w:proofErr w:type="gramStart"/>
      <w:r w:rsidRPr="000C42E6">
        <w:rPr>
          <w:rFonts w:ascii="Arial" w:hAnsi="Arial" w:cs="Arial"/>
          <w:sz w:val="20"/>
          <w:szCs w:val="20"/>
        </w:rPr>
        <w:t>,735,517</w:t>
      </w:r>
      <w:proofErr w:type="gramEnd"/>
      <w:r w:rsidRPr="000C42E6">
        <w:rPr>
          <w:rFonts w:ascii="Arial" w:hAnsi="Arial" w:cs="Arial"/>
          <w:sz w:val="20"/>
          <w:szCs w:val="20"/>
        </w:rPr>
        <w:t xml:space="preserve"> y que fueron depositados para su resguardo en esta Secretaría de Administración y Finanzas hasta que la autoridad competente los solicite para su pago.</w:t>
      </w:r>
    </w:p>
    <w:p w14:paraId="06AB5EE5" w14:textId="77777777" w:rsidR="00A72D53" w:rsidRPr="000C42E6" w:rsidRDefault="00112388" w:rsidP="00112388">
      <w:pPr>
        <w:pStyle w:val="Prrafodelista"/>
        <w:numPr>
          <w:ilvl w:val="0"/>
          <w:numId w:val="15"/>
        </w:numPr>
        <w:spacing w:after="160" w:line="259" w:lineRule="auto"/>
        <w:jc w:val="both"/>
        <w:rPr>
          <w:rFonts w:ascii="Arial" w:hAnsi="Arial" w:cs="Arial"/>
          <w:sz w:val="20"/>
          <w:szCs w:val="20"/>
        </w:rPr>
      </w:pPr>
      <w:r w:rsidRPr="000C42E6">
        <w:rPr>
          <w:rFonts w:ascii="Arial" w:hAnsi="Arial" w:cs="Arial"/>
          <w:sz w:val="20"/>
          <w:szCs w:val="20"/>
        </w:rPr>
        <w:t>Crédito Santander $332,500,000</w:t>
      </w:r>
    </w:p>
    <w:p w14:paraId="64B92568" w14:textId="37F3BE38" w:rsidR="00112388" w:rsidRPr="000C42E6" w:rsidRDefault="002C5922" w:rsidP="00A72D53">
      <w:pPr>
        <w:pStyle w:val="Prrafodelista"/>
        <w:spacing w:after="160" w:line="259" w:lineRule="auto"/>
        <w:jc w:val="both"/>
        <w:rPr>
          <w:rFonts w:ascii="Arial" w:hAnsi="Arial" w:cs="Arial"/>
          <w:sz w:val="20"/>
          <w:szCs w:val="20"/>
        </w:rPr>
      </w:pPr>
      <w:r w:rsidRPr="000C42E6">
        <w:rPr>
          <w:rFonts w:ascii="Arial" w:hAnsi="Arial" w:cs="Arial"/>
          <w:sz w:val="20"/>
          <w:szCs w:val="20"/>
        </w:rPr>
        <w:t>Obligación quirografaria por $500</w:t>
      </w:r>
      <w:proofErr w:type="gramStart"/>
      <w:r w:rsidRPr="000C42E6">
        <w:rPr>
          <w:rFonts w:ascii="Arial" w:hAnsi="Arial" w:cs="Arial"/>
          <w:sz w:val="20"/>
          <w:szCs w:val="20"/>
        </w:rPr>
        <w:t>,000</w:t>
      </w:r>
      <w:r w:rsidR="00A72D53" w:rsidRPr="000C42E6">
        <w:rPr>
          <w:rFonts w:ascii="Arial" w:hAnsi="Arial" w:cs="Arial"/>
          <w:sz w:val="20"/>
          <w:szCs w:val="20"/>
        </w:rPr>
        <w:t>,</w:t>
      </w:r>
      <w:r w:rsidR="007A3E92" w:rsidRPr="000C42E6">
        <w:rPr>
          <w:rFonts w:ascii="Arial" w:hAnsi="Arial" w:cs="Arial"/>
          <w:sz w:val="20"/>
          <w:szCs w:val="20"/>
        </w:rPr>
        <w:t>000</w:t>
      </w:r>
      <w:proofErr w:type="gramEnd"/>
      <w:r w:rsidRPr="000C42E6">
        <w:rPr>
          <w:rFonts w:ascii="Arial" w:hAnsi="Arial" w:cs="Arial"/>
          <w:sz w:val="20"/>
          <w:szCs w:val="20"/>
        </w:rPr>
        <w:t xml:space="preserve"> ejercida en octubre del año 2025 que vencerá </w:t>
      </w:r>
      <w:r w:rsidR="00A72D53" w:rsidRPr="000C42E6">
        <w:rPr>
          <w:rFonts w:ascii="Arial" w:hAnsi="Arial" w:cs="Arial"/>
          <w:sz w:val="20"/>
          <w:szCs w:val="20"/>
        </w:rPr>
        <w:t>el 25</w:t>
      </w:r>
      <w:r w:rsidRPr="000C42E6">
        <w:rPr>
          <w:rFonts w:ascii="Arial" w:hAnsi="Arial" w:cs="Arial"/>
          <w:sz w:val="20"/>
          <w:szCs w:val="20"/>
        </w:rPr>
        <w:t xml:space="preserve"> junio del 2026. </w:t>
      </w:r>
    </w:p>
    <w:p w14:paraId="0ECA181E" w14:textId="77777777" w:rsidR="00112388" w:rsidRPr="000C42E6" w:rsidRDefault="00112388" w:rsidP="00112388">
      <w:pPr>
        <w:pStyle w:val="Prrafodelista"/>
        <w:numPr>
          <w:ilvl w:val="0"/>
          <w:numId w:val="15"/>
        </w:numPr>
        <w:spacing w:after="160" w:line="259" w:lineRule="auto"/>
        <w:jc w:val="both"/>
        <w:rPr>
          <w:rFonts w:ascii="Arial" w:hAnsi="Arial" w:cs="Arial"/>
          <w:sz w:val="20"/>
          <w:szCs w:val="20"/>
        </w:rPr>
      </w:pPr>
      <w:r w:rsidRPr="000C42E6">
        <w:rPr>
          <w:rFonts w:ascii="Arial" w:hAnsi="Arial" w:cs="Arial"/>
          <w:sz w:val="20"/>
          <w:szCs w:val="20"/>
        </w:rPr>
        <w:lastRenderedPageBreak/>
        <w:t>Bonificación vales de despensa $5,400</w:t>
      </w:r>
    </w:p>
    <w:p w14:paraId="32D1C22C" w14:textId="77777777" w:rsidR="00197165" w:rsidRPr="000C42E6" w:rsidRDefault="009F067A" w:rsidP="00CB7883">
      <w:pPr>
        <w:spacing w:after="200" w:line="240" w:lineRule="auto"/>
        <w:rPr>
          <w:rFonts w:ascii="Arial" w:eastAsia="Times New Roman" w:hAnsi="Arial" w:cs="Arial"/>
          <w:b/>
          <w:color w:val="000000"/>
          <w:sz w:val="20"/>
          <w:szCs w:val="20"/>
          <w:lang w:eastAsia="es-MX"/>
        </w:rPr>
      </w:pPr>
      <w:r w:rsidRPr="000C42E6">
        <w:rPr>
          <w:rFonts w:ascii="Arial" w:eastAsia="Times New Roman" w:hAnsi="Arial" w:cs="Arial"/>
          <w:b/>
          <w:color w:val="000000"/>
          <w:sz w:val="20"/>
          <w:szCs w:val="20"/>
          <w:lang w:eastAsia="es-MX"/>
        </w:rPr>
        <w:t>Documentos por Pagar a Corto Plazo</w:t>
      </w:r>
    </w:p>
    <w:p w14:paraId="3412E1EF" w14:textId="77777777" w:rsidR="00CB7883" w:rsidRPr="000C42E6" w:rsidRDefault="00CB7883" w:rsidP="00CB7883">
      <w:pPr>
        <w:spacing w:after="0" w:line="240" w:lineRule="auto"/>
        <w:jc w:val="both"/>
        <w:rPr>
          <w:rFonts w:ascii="Arial" w:eastAsia="Calibri" w:hAnsi="Arial" w:cs="Arial"/>
          <w:sz w:val="20"/>
          <w:szCs w:val="20"/>
          <w:lang w:eastAsia="es-MX"/>
        </w:rPr>
      </w:pPr>
      <w:r w:rsidRPr="000C42E6">
        <w:rPr>
          <w:rFonts w:ascii="Arial" w:eastAsia="Calibri" w:hAnsi="Arial" w:cs="Arial"/>
          <w:sz w:val="20"/>
          <w:szCs w:val="20"/>
          <w:lang w:eastAsia="es-MX"/>
        </w:rPr>
        <w:t>No se tiene Documentos por Pagar a Corto Plazo.</w:t>
      </w:r>
    </w:p>
    <w:p w14:paraId="65E8E2F9" w14:textId="77777777" w:rsidR="00E57DFE" w:rsidRPr="000C42E6" w:rsidRDefault="00E57DFE" w:rsidP="00CB7883">
      <w:pPr>
        <w:spacing w:after="0" w:line="240" w:lineRule="auto"/>
        <w:jc w:val="both"/>
        <w:rPr>
          <w:rFonts w:ascii="Arial" w:eastAsia="Calibri" w:hAnsi="Arial" w:cs="Arial"/>
          <w:b/>
          <w:bCs/>
          <w:sz w:val="20"/>
          <w:szCs w:val="20"/>
          <w:u w:val="single"/>
          <w:lang w:eastAsia="es-MX"/>
        </w:rPr>
      </w:pPr>
    </w:p>
    <w:p w14:paraId="087013AC" w14:textId="0E026B31" w:rsidR="004D0A9E" w:rsidRPr="000C42E6" w:rsidRDefault="004D0A9E" w:rsidP="004D0A9E">
      <w:pPr>
        <w:jc w:val="both"/>
        <w:rPr>
          <w:rFonts w:ascii="Arial" w:eastAsia="Times New Roman" w:hAnsi="Arial" w:cs="Arial"/>
          <w:b/>
          <w:color w:val="000000"/>
          <w:sz w:val="20"/>
          <w:szCs w:val="20"/>
          <w:u w:val="single"/>
          <w:lang w:eastAsia="es-MX"/>
        </w:rPr>
      </w:pPr>
      <w:r w:rsidRPr="000C42E6">
        <w:rPr>
          <w:rFonts w:ascii="Arial" w:eastAsia="Calibri" w:hAnsi="Arial" w:cs="Arial"/>
          <w:b/>
          <w:bCs/>
          <w:sz w:val="20"/>
          <w:szCs w:val="20"/>
          <w:u w:val="single"/>
          <w:lang w:eastAsia="es-MX"/>
        </w:rPr>
        <w:t xml:space="preserve">Porción a Corto Plazo de la Deuda Pública a Largo Plazo </w:t>
      </w:r>
      <w:r w:rsidRPr="000C42E6">
        <w:rPr>
          <w:rFonts w:ascii="Arial" w:eastAsia="Calibri" w:hAnsi="Arial" w:cs="Arial"/>
          <w:bCs/>
          <w:sz w:val="20"/>
          <w:szCs w:val="20"/>
          <w:u w:val="single"/>
          <w:lang w:eastAsia="es-MX"/>
        </w:rPr>
        <w:t xml:space="preserve"> $</w:t>
      </w:r>
      <w:r w:rsidRPr="000C42E6">
        <w:rPr>
          <w:rFonts w:ascii="Arial" w:eastAsia="Times New Roman" w:hAnsi="Arial" w:cs="Arial"/>
          <w:b/>
          <w:color w:val="000000"/>
          <w:sz w:val="20"/>
          <w:szCs w:val="20"/>
          <w:u w:val="single"/>
          <w:lang w:eastAsia="es-MX"/>
        </w:rPr>
        <w:t>327</w:t>
      </w:r>
      <w:proofErr w:type="gramStart"/>
      <w:r w:rsidRPr="000C42E6">
        <w:rPr>
          <w:rFonts w:ascii="Arial" w:eastAsia="Times New Roman" w:hAnsi="Arial" w:cs="Arial"/>
          <w:b/>
          <w:color w:val="000000"/>
          <w:sz w:val="20"/>
          <w:szCs w:val="20"/>
          <w:u w:val="single"/>
          <w:lang w:eastAsia="es-MX"/>
        </w:rPr>
        <w:t>,916,400</w:t>
      </w:r>
      <w:proofErr w:type="gramEnd"/>
    </w:p>
    <w:p w14:paraId="4EAF70C5" w14:textId="77777777" w:rsidR="004D0A9E" w:rsidRPr="000C42E6" w:rsidRDefault="004D0A9E" w:rsidP="004D0A9E">
      <w:pPr>
        <w:jc w:val="both"/>
        <w:rPr>
          <w:rFonts w:ascii="Arial" w:eastAsia="Calibri" w:hAnsi="Arial" w:cs="Arial"/>
          <w:bCs/>
          <w:sz w:val="20"/>
          <w:szCs w:val="20"/>
          <w:lang w:eastAsia="es-MX"/>
        </w:rPr>
      </w:pPr>
      <w:r w:rsidRPr="000C42E6">
        <w:rPr>
          <w:rFonts w:ascii="Arial" w:eastAsia="Calibri" w:hAnsi="Arial" w:cs="Arial"/>
          <w:bCs/>
          <w:sz w:val="20"/>
          <w:szCs w:val="20"/>
          <w:lang w:eastAsia="es-MX"/>
        </w:rPr>
        <w:t xml:space="preserve">El saldo de este rubro lo integra en su totalidad la cuenta </w:t>
      </w:r>
      <w:r w:rsidRPr="000C42E6">
        <w:rPr>
          <w:rFonts w:ascii="Arial" w:hAnsi="Arial" w:cs="Arial"/>
          <w:sz w:val="20"/>
          <w:szCs w:val="20"/>
        </w:rPr>
        <w:t>Porción a Corto Plazo de la Deuda Pública Interna; y representa los adeudos por amortización de la deuda pública interna, que el Poder Ejecutivo del Estado deberá pagar en un plazo menor o igual a doce meses. S</w:t>
      </w:r>
      <w:r w:rsidRPr="000C42E6">
        <w:rPr>
          <w:rFonts w:ascii="Arial" w:eastAsia="Calibri" w:hAnsi="Arial" w:cs="Arial"/>
          <w:bCs/>
          <w:sz w:val="20"/>
          <w:szCs w:val="20"/>
          <w:lang w:eastAsia="es-MX"/>
        </w:rPr>
        <w:t>on los vencimientos que ocurrirán en el ejercicio fiscal 2026 según las tablas de amortización de los respectivos contratos de crédito a largo plazo suscritos con bancos, previa autorización del H. Congreso del Estado.  Tales financiamientos fueron destinados a inversiones públicas productivas o servicios que en forma directa o mediata generan recursos públicos o refinanciamiento de Deuda Pública Interna; conforme a lo dispuesto por la Constitución Política de los Estados Unidos Mexicanos, artículo 117, fracción VIII, la Ley de Disciplina Financiera de las Entidades Federativas y los Municipios, artículo 2, fracción XXV; 22 y demás aplicables; así como en la Ley de Deuda Pública del Estado de Tabasco y sus Municipios.</w:t>
      </w:r>
    </w:p>
    <w:p w14:paraId="53336B77" w14:textId="77777777" w:rsidR="00CB7883" w:rsidRPr="000C42E6" w:rsidRDefault="00CB7883" w:rsidP="00CB7883">
      <w:pPr>
        <w:spacing w:after="0" w:line="240" w:lineRule="auto"/>
        <w:jc w:val="both"/>
        <w:rPr>
          <w:rFonts w:ascii="Arial" w:eastAsia="Calibri" w:hAnsi="Arial" w:cs="Arial"/>
          <w:b/>
          <w:bCs/>
          <w:sz w:val="20"/>
          <w:szCs w:val="20"/>
          <w:u w:val="single"/>
          <w:lang w:eastAsia="es-MX"/>
        </w:rPr>
      </w:pPr>
      <w:r w:rsidRPr="000C42E6">
        <w:rPr>
          <w:rFonts w:ascii="Arial" w:eastAsia="Calibri" w:hAnsi="Arial" w:cs="Arial"/>
          <w:b/>
          <w:bCs/>
          <w:sz w:val="20"/>
          <w:szCs w:val="20"/>
          <w:u w:val="single"/>
          <w:lang w:eastAsia="es-MX"/>
        </w:rPr>
        <w:t>Títulos y Valores a Corto Plazo</w:t>
      </w:r>
    </w:p>
    <w:p w14:paraId="76AE847A" w14:textId="77777777" w:rsidR="00CB7883" w:rsidRPr="000C42E6" w:rsidRDefault="00CB7883" w:rsidP="00CB7883">
      <w:pPr>
        <w:spacing w:before="240" w:after="0" w:line="240" w:lineRule="auto"/>
        <w:jc w:val="both"/>
        <w:rPr>
          <w:rFonts w:ascii="Arial" w:eastAsia="Calibri" w:hAnsi="Arial" w:cs="Arial"/>
          <w:sz w:val="20"/>
          <w:szCs w:val="20"/>
          <w:lang w:eastAsia="es-MX"/>
        </w:rPr>
      </w:pPr>
      <w:r w:rsidRPr="000C42E6">
        <w:rPr>
          <w:rFonts w:ascii="Arial" w:eastAsia="Calibri" w:hAnsi="Arial" w:cs="Arial"/>
          <w:sz w:val="20"/>
          <w:szCs w:val="20"/>
          <w:lang w:eastAsia="es-MX"/>
        </w:rPr>
        <w:t>No se tiene Títulos y Valores a Corto Plazo</w:t>
      </w:r>
    </w:p>
    <w:p w14:paraId="19FE7127" w14:textId="77777777" w:rsidR="00CB7883" w:rsidRPr="000C42E6" w:rsidRDefault="00CB7883" w:rsidP="00CB7883">
      <w:pPr>
        <w:spacing w:before="240" w:after="0" w:line="240" w:lineRule="auto"/>
        <w:jc w:val="both"/>
        <w:rPr>
          <w:rFonts w:ascii="Arial" w:eastAsia="Calibri" w:hAnsi="Arial" w:cs="Arial"/>
          <w:b/>
          <w:bCs/>
          <w:sz w:val="20"/>
          <w:szCs w:val="20"/>
          <w:u w:val="single"/>
          <w:lang w:eastAsia="es-MX"/>
        </w:rPr>
      </w:pPr>
      <w:r w:rsidRPr="000C42E6">
        <w:rPr>
          <w:rFonts w:ascii="Arial" w:eastAsia="Calibri" w:hAnsi="Arial" w:cs="Arial"/>
          <w:b/>
          <w:bCs/>
          <w:sz w:val="20"/>
          <w:szCs w:val="20"/>
          <w:u w:val="single"/>
          <w:lang w:eastAsia="es-MX"/>
        </w:rPr>
        <w:t xml:space="preserve">Pasivos Diferidos a Corto Plazo </w:t>
      </w:r>
    </w:p>
    <w:p w14:paraId="5147B7BD" w14:textId="77777777" w:rsidR="00CB7883" w:rsidRPr="000C42E6" w:rsidRDefault="00CB7883" w:rsidP="00CB7883">
      <w:pPr>
        <w:spacing w:after="0" w:line="240" w:lineRule="auto"/>
        <w:jc w:val="both"/>
        <w:rPr>
          <w:rFonts w:ascii="Arial" w:eastAsia="Calibri" w:hAnsi="Arial" w:cs="Arial"/>
          <w:b/>
          <w:bCs/>
          <w:sz w:val="20"/>
          <w:szCs w:val="20"/>
          <w:u w:val="single"/>
          <w:lang w:eastAsia="es-MX"/>
        </w:rPr>
      </w:pPr>
    </w:p>
    <w:p w14:paraId="4760ADF1" w14:textId="77777777" w:rsidR="00CB7883" w:rsidRDefault="00CB7883" w:rsidP="00CB7883">
      <w:pPr>
        <w:spacing w:after="0" w:line="240" w:lineRule="auto"/>
        <w:jc w:val="both"/>
        <w:rPr>
          <w:rFonts w:ascii="Arial" w:eastAsia="Calibri" w:hAnsi="Arial" w:cs="Arial"/>
          <w:bCs/>
          <w:sz w:val="20"/>
          <w:szCs w:val="20"/>
          <w:lang w:eastAsia="es-MX"/>
        </w:rPr>
      </w:pPr>
      <w:r w:rsidRPr="000C42E6">
        <w:rPr>
          <w:rFonts w:ascii="Arial" w:eastAsia="Calibri" w:hAnsi="Arial" w:cs="Arial"/>
          <w:bCs/>
          <w:sz w:val="20"/>
          <w:szCs w:val="20"/>
          <w:lang w:eastAsia="es-MX"/>
        </w:rPr>
        <w:t>No se tienen Pasivos Diferidos a Corto Plazo</w:t>
      </w:r>
    </w:p>
    <w:p w14:paraId="680F7289" w14:textId="77777777" w:rsidR="00CB7883" w:rsidRPr="000C42E6" w:rsidRDefault="00CB7883" w:rsidP="00CB7883">
      <w:pPr>
        <w:tabs>
          <w:tab w:val="left" w:pos="1455"/>
        </w:tabs>
        <w:spacing w:after="200" w:line="276" w:lineRule="auto"/>
        <w:jc w:val="both"/>
        <w:rPr>
          <w:rFonts w:ascii="Arial" w:eastAsia="Calibri" w:hAnsi="Arial" w:cs="Arial"/>
          <w:b/>
          <w:sz w:val="20"/>
          <w:szCs w:val="20"/>
          <w:u w:val="single"/>
        </w:rPr>
      </w:pPr>
      <w:r w:rsidRPr="000C42E6">
        <w:rPr>
          <w:rFonts w:ascii="Arial" w:eastAsia="Calibri" w:hAnsi="Arial" w:cs="Arial"/>
          <w:b/>
          <w:sz w:val="20"/>
          <w:szCs w:val="20"/>
          <w:u w:val="single"/>
        </w:rPr>
        <w:t>Fondos y Bienes de Terceros en Garantía y/o Administración a Corto Plazo</w:t>
      </w:r>
    </w:p>
    <w:p w14:paraId="33A9E7EF" w14:textId="77777777" w:rsidR="007E5D21" w:rsidRPr="000C42E6" w:rsidRDefault="007E5D21" w:rsidP="007E5D21">
      <w:pPr>
        <w:spacing w:before="240"/>
        <w:jc w:val="both"/>
        <w:rPr>
          <w:rFonts w:ascii="Arial" w:hAnsi="Arial" w:cs="Arial"/>
          <w:sz w:val="20"/>
          <w:szCs w:val="20"/>
        </w:rPr>
      </w:pPr>
      <w:r w:rsidRPr="000C42E6">
        <w:rPr>
          <w:rFonts w:ascii="Arial" w:hAnsi="Arial" w:cs="Arial"/>
          <w:sz w:val="20"/>
          <w:szCs w:val="20"/>
        </w:rPr>
        <w:t>Este rubro se integra por:</w:t>
      </w:r>
    </w:p>
    <w:p w14:paraId="18338076" w14:textId="77777777" w:rsidR="007E5D21" w:rsidRPr="000C42E6" w:rsidRDefault="007E5D21" w:rsidP="007E5D21">
      <w:pPr>
        <w:ind w:left="720"/>
        <w:contextualSpacing/>
        <w:jc w:val="both"/>
        <w:rPr>
          <w:rFonts w:ascii="Arial" w:hAnsi="Arial" w:cs="Arial"/>
          <w:b/>
          <w:sz w:val="20"/>
          <w:szCs w:val="20"/>
        </w:rPr>
      </w:pPr>
      <w:r w:rsidRPr="000C42E6">
        <w:rPr>
          <w:rFonts w:ascii="Arial" w:hAnsi="Arial" w:cs="Arial"/>
          <w:sz w:val="20"/>
          <w:szCs w:val="20"/>
        </w:rPr>
        <w:t xml:space="preserve">Fondos en Garantía a Corto Plazo </w:t>
      </w:r>
      <w:r w:rsidRPr="000C42E6">
        <w:rPr>
          <w:rFonts w:ascii="Arial" w:hAnsi="Arial" w:cs="Arial"/>
          <w:b/>
          <w:sz w:val="20"/>
          <w:szCs w:val="20"/>
        </w:rPr>
        <w:t>$9</w:t>
      </w:r>
      <w:proofErr w:type="gramStart"/>
      <w:r w:rsidRPr="000C42E6">
        <w:rPr>
          <w:rFonts w:ascii="Arial" w:hAnsi="Arial" w:cs="Arial"/>
          <w:b/>
          <w:sz w:val="20"/>
          <w:szCs w:val="20"/>
        </w:rPr>
        <w:t>,898,985</w:t>
      </w:r>
      <w:proofErr w:type="gramEnd"/>
    </w:p>
    <w:p w14:paraId="0AD3F108" w14:textId="77777777" w:rsidR="007E5D21" w:rsidRPr="000C42E6" w:rsidRDefault="007E5D21" w:rsidP="007E5D21">
      <w:pPr>
        <w:ind w:left="720"/>
        <w:contextualSpacing/>
        <w:jc w:val="both"/>
        <w:rPr>
          <w:rFonts w:ascii="Arial" w:hAnsi="Arial" w:cs="Arial"/>
          <w:sz w:val="20"/>
          <w:szCs w:val="20"/>
        </w:rPr>
      </w:pPr>
      <w:r w:rsidRPr="000C42E6">
        <w:rPr>
          <w:rFonts w:ascii="Arial" w:hAnsi="Arial" w:cs="Arial"/>
          <w:sz w:val="20"/>
          <w:szCs w:val="20"/>
        </w:rPr>
        <w:t>Corresponde a fianzas y donativos cruz roja del ejercicio actual y anteriores (2015 al 2024) y la cancelación de este pasivo es realizado por la Dirección de Tesorería de esta Secretaría de Administración y Finanzas a solicitud del contribuyente.</w:t>
      </w:r>
    </w:p>
    <w:p w14:paraId="0FDB563E" w14:textId="77777777" w:rsidR="0064719B" w:rsidRPr="000C42E6" w:rsidRDefault="0064719B" w:rsidP="0064719B">
      <w:pPr>
        <w:spacing w:after="0" w:line="240" w:lineRule="auto"/>
        <w:jc w:val="both"/>
        <w:rPr>
          <w:rFonts w:ascii="Arial" w:eastAsia="Calibri" w:hAnsi="Arial" w:cs="Arial"/>
          <w:b/>
          <w:sz w:val="20"/>
          <w:szCs w:val="20"/>
          <w:u w:val="single"/>
        </w:rPr>
      </w:pPr>
    </w:p>
    <w:p w14:paraId="49DD4E8A" w14:textId="77777777" w:rsidR="00CB7883" w:rsidRPr="000C42E6" w:rsidRDefault="00CB7883" w:rsidP="00CB7883">
      <w:pPr>
        <w:spacing w:after="20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t xml:space="preserve">Provisiones a Corto Plazo </w:t>
      </w:r>
    </w:p>
    <w:p w14:paraId="4A1ACF23" w14:textId="77777777" w:rsidR="00CB7883" w:rsidRPr="000C42E6" w:rsidRDefault="00CB7883" w:rsidP="00CB7883">
      <w:pPr>
        <w:spacing w:after="0" w:line="240" w:lineRule="auto"/>
        <w:jc w:val="both"/>
        <w:rPr>
          <w:rFonts w:ascii="Arial" w:eastAsia="Calibri" w:hAnsi="Arial" w:cs="Arial"/>
          <w:sz w:val="20"/>
          <w:szCs w:val="20"/>
        </w:rPr>
      </w:pPr>
      <w:r w:rsidRPr="000C42E6">
        <w:rPr>
          <w:rFonts w:ascii="Arial" w:eastAsia="Calibri" w:hAnsi="Arial" w:cs="Arial"/>
          <w:sz w:val="20"/>
          <w:szCs w:val="20"/>
        </w:rPr>
        <w:t>No se tiene saldo en este rubro.</w:t>
      </w:r>
    </w:p>
    <w:p w14:paraId="070DF854" w14:textId="77777777" w:rsidR="00A11BAD" w:rsidRPr="000C42E6" w:rsidRDefault="00A11BAD" w:rsidP="00CB7883">
      <w:pPr>
        <w:spacing w:after="0" w:line="240" w:lineRule="auto"/>
        <w:jc w:val="both"/>
        <w:rPr>
          <w:rFonts w:ascii="Arial" w:eastAsia="Calibri" w:hAnsi="Arial" w:cs="Arial"/>
          <w:sz w:val="20"/>
          <w:szCs w:val="20"/>
        </w:rPr>
      </w:pPr>
    </w:p>
    <w:p w14:paraId="0A1EC408" w14:textId="77777777" w:rsidR="00CB7883" w:rsidRPr="000C42E6" w:rsidRDefault="00CB7883" w:rsidP="00CB7883">
      <w:pPr>
        <w:spacing w:after="0" w:line="240" w:lineRule="auto"/>
        <w:jc w:val="both"/>
        <w:rPr>
          <w:rFonts w:ascii="Arial" w:eastAsia="Calibri" w:hAnsi="Arial" w:cs="Arial"/>
          <w:color w:val="FF0000"/>
          <w:sz w:val="20"/>
          <w:szCs w:val="20"/>
        </w:rPr>
      </w:pPr>
      <w:r w:rsidRPr="000C42E6">
        <w:rPr>
          <w:rFonts w:ascii="Arial" w:eastAsia="Calibri" w:hAnsi="Arial" w:cs="Arial"/>
          <w:b/>
          <w:bCs/>
          <w:sz w:val="20"/>
          <w:szCs w:val="20"/>
          <w:u w:val="single"/>
          <w:lang w:eastAsia="es-MX"/>
        </w:rPr>
        <w:t>Otros Pasivos a Corto Plazo</w:t>
      </w:r>
      <w:r w:rsidRPr="000C42E6">
        <w:rPr>
          <w:rFonts w:ascii="Arial" w:eastAsia="Calibri" w:hAnsi="Arial" w:cs="Arial"/>
          <w:color w:val="FF0000"/>
          <w:sz w:val="20"/>
          <w:szCs w:val="20"/>
        </w:rPr>
        <w:t xml:space="preserve"> </w:t>
      </w:r>
    </w:p>
    <w:p w14:paraId="59531151" w14:textId="17490C54" w:rsidR="006315DB" w:rsidRDefault="006315DB" w:rsidP="006315DB">
      <w:pPr>
        <w:spacing w:before="240" w:after="0" w:line="240" w:lineRule="auto"/>
        <w:rPr>
          <w:rFonts w:ascii="Arial" w:eastAsia="Calibri" w:hAnsi="Arial" w:cs="Arial"/>
          <w:sz w:val="20"/>
          <w:szCs w:val="20"/>
        </w:rPr>
      </w:pPr>
      <w:r w:rsidRPr="000C42E6">
        <w:rPr>
          <w:rFonts w:ascii="Arial" w:eastAsia="Calibri" w:hAnsi="Arial" w:cs="Arial"/>
          <w:sz w:val="20"/>
          <w:szCs w:val="20"/>
        </w:rPr>
        <w:t xml:space="preserve">El saldo de este rubro es por </w:t>
      </w:r>
      <w:r w:rsidRPr="000C42E6">
        <w:rPr>
          <w:rFonts w:ascii="Arial" w:eastAsia="Calibri" w:hAnsi="Arial" w:cs="Arial"/>
          <w:b/>
          <w:sz w:val="20"/>
          <w:szCs w:val="20"/>
        </w:rPr>
        <w:t>$</w:t>
      </w:r>
      <w:r w:rsidR="00FC76B5" w:rsidRPr="000C42E6">
        <w:rPr>
          <w:rFonts w:ascii="Arial" w:eastAsia="Calibri" w:hAnsi="Arial" w:cs="Arial"/>
          <w:b/>
          <w:sz w:val="20"/>
          <w:szCs w:val="20"/>
        </w:rPr>
        <w:t>84</w:t>
      </w:r>
      <w:proofErr w:type="gramStart"/>
      <w:r w:rsidR="00FC76B5" w:rsidRPr="000C42E6">
        <w:rPr>
          <w:rFonts w:ascii="Arial" w:eastAsia="Calibri" w:hAnsi="Arial" w:cs="Arial"/>
          <w:b/>
          <w:sz w:val="20"/>
          <w:szCs w:val="20"/>
        </w:rPr>
        <w:t>,071,629</w:t>
      </w:r>
      <w:proofErr w:type="gramEnd"/>
      <w:r w:rsidRPr="000C42E6">
        <w:rPr>
          <w:rFonts w:ascii="Arial" w:eastAsia="Calibri" w:hAnsi="Arial" w:cs="Arial"/>
          <w:sz w:val="20"/>
          <w:szCs w:val="20"/>
        </w:rPr>
        <w:t xml:space="preserve"> y se integra como sigue:</w:t>
      </w:r>
    </w:p>
    <w:p w14:paraId="1356735E" w14:textId="77777777" w:rsidR="006A2B01" w:rsidRDefault="006A2B01" w:rsidP="006315DB">
      <w:pPr>
        <w:spacing w:before="240" w:after="0" w:line="240" w:lineRule="auto"/>
        <w:rPr>
          <w:rFonts w:ascii="Arial" w:eastAsia="Calibri" w:hAnsi="Arial" w:cs="Arial"/>
          <w:sz w:val="20"/>
          <w:szCs w:val="20"/>
        </w:rPr>
      </w:pPr>
    </w:p>
    <w:p w14:paraId="769498F0" w14:textId="77777777" w:rsidR="006A2B01" w:rsidRPr="000C42E6" w:rsidRDefault="006A2B01" w:rsidP="006315DB">
      <w:pPr>
        <w:spacing w:before="240" w:after="0" w:line="240" w:lineRule="auto"/>
        <w:rPr>
          <w:rFonts w:ascii="Arial" w:eastAsia="Calibri" w:hAnsi="Arial" w:cs="Arial"/>
          <w:sz w:val="20"/>
          <w:szCs w:val="20"/>
        </w:rPr>
      </w:pPr>
    </w:p>
    <w:p w14:paraId="085A97FF" w14:textId="77777777" w:rsidR="00BE7156" w:rsidRPr="000C42E6" w:rsidRDefault="00BE7156" w:rsidP="006315DB">
      <w:pPr>
        <w:spacing w:before="240" w:after="0" w:line="240" w:lineRule="auto"/>
        <w:rPr>
          <w:rFonts w:ascii="Arial" w:eastAsia="Calibri" w:hAnsi="Arial" w:cs="Arial"/>
          <w:sz w:val="20"/>
          <w:szCs w:val="20"/>
        </w:rPr>
      </w:pPr>
    </w:p>
    <w:tbl>
      <w:tblPr>
        <w:tblW w:w="9803" w:type="dxa"/>
        <w:jc w:val="center"/>
        <w:tblCellMar>
          <w:left w:w="70" w:type="dxa"/>
          <w:right w:w="70" w:type="dxa"/>
        </w:tblCellMar>
        <w:tblLook w:val="04A0" w:firstRow="1" w:lastRow="0" w:firstColumn="1" w:lastColumn="0" w:noHBand="0" w:noVBand="1"/>
      </w:tblPr>
      <w:tblGrid>
        <w:gridCol w:w="7480"/>
        <w:gridCol w:w="1331"/>
        <w:gridCol w:w="992"/>
      </w:tblGrid>
      <w:tr w:rsidR="006F1DA6" w:rsidRPr="000C42E6" w14:paraId="40AE0E46" w14:textId="77777777" w:rsidTr="00A23566">
        <w:trPr>
          <w:trHeight w:val="465"/>
          <w:jc w:val="center"/>
        </w:trPr>
        <w:tc>
          <w:tcPr>
            <w:tcW w:w="748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6A05D55E" w14:textId="77777777" w:rsidR="006F1DA6" w:rsidRPr="000C42E6" w:rsidRDefault="006F1DA6"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lastRenderedPageBreak/>
              <w:t>Cuentas de mayor que integran este rubro</w:t>
            </w:r>
          </w:p>
        </w:tc>
        <w:tc>
          <w:tcPr>
            <w:tcW w:w="1331" w:type="dxa"/>
            <w:tcBorders>
              <w:top w:val="single" w:sz="8" w:space="0" w:color="auto"/>
              <w:left w:val="nil"/>
              <w:bottom w:val="single" w:sz="8" w:space="0" w:color="auto"/>
              <w:right w:val="single" w:sz="8" w:space="0" w:color="auto"/>
            </w:tcBorders>
            <w:shd w:val="clear" w:color="000000" w:fill="A6A6A6"/>
            <w:vAlign w:val="center"/>
            <w:hideMark/>
          </w:tcPr>
          <w:p w14:paraId="7CD76464" w14:textId="3A9CF381" w:rsidR="006F1DA6" w:rsidRPr="000C42E6" w:rsidRDefault="006F1DA6"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Saldos al 31 de diciembre 2025</w:t>
            </w:r>
          </w:p>
        </w:tc>
        <w:tc>
          <w:tcPr>
            <w:tcW w:w="992" w:type="dxa"/>
            <w:tcBorders>
              <w:top w:val="single" w:sz="8" w:space="0" w:color="auto"/>
              <w:left w:val="nil"/>
              <w:bottom w:val="single" w:sz="8" w:space="0" w:color="auto"/>
              <w:right w:val="single" w:sz="8" w:space="0" w:color="auto"/>
            </w:tcBorders>
            <w:shd w:val="clear" w:color="000000" w:fill="A6A6A6"/>
            <w:vAlign w:val="center"/>
            <w:hideMark/>
          </w:tcPr>
          <w:p w14:paraId="6E334A16" w14:textId="77777777" w:rsidR="006F1DA6" w:rsidRPr="000C42E6" w:rsidRDefault="006F1DA6"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p>
        </w:tc>
      </w:tr>
      <w:tr w:rsidR="006F1DA6" w:rsidRPr="000C42E6" w14:paraId="0E041088" w14:textId="77777777" w:rsidTr="00A23566">
        <w:trPr>
          <w:trHeight w:val="315"/>
          <w:jc w:val="center"/>
        </w:trPr>
        <w:tc>
          <w:tcPr>
            <w:tcW w:w="7480" w:type="dxa"/>
            <w:tcBorders>
              <w:top w:val="nil"/>
              <w:left w:val="single" w:sz="8" w:space="0" w:color="auto"/>
              <w:bottom w:val="single" w:sz="8" w:space="0" w:color="auto"/>
              <w:right w:val="single" w:sz="8" w:space="0" w:color="auto"/>
            </w:tcBorders>
            <w:shd w:val="clear" w:color="auto" w:fill="auto"/>
            <w:vAlign w:val="center"/>
            <w:hideMark/>
          </w:tcPr>
          <w:p w14:paraId="70667D00" w14:textId="77777777" w:rsidR="006F1DA6" w:rsidRPr="000C42E6" w:rsidRDefault="006F1DA6" w:rsidP="004C0398">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Ingresos por Clasificar</w:t>
            </w:r>
          </w:p>
        </w:tc>
        <w:tc>
          <w:tcPr>
            <w:tcW w:w="1331" w:type="dxa"/>
            <w:tcBorders>
              <w:top w:val="nil"/>
              <w:left w:val="nil"/>
              <w:bottom w:val="single" w:sz="8" w:space="0" w:color="auto"/>
              <w:right w:val="single" w:sz="8" w:space="0" w:color="auto"/>
            </w:tcBorders>
            <w:shd w:val="clear" w:color="auto" w:fill="auto"/>
            <w:vAlign w:val="center"/>
            <w:hideMark/>
          </w:tcPr>
          <w:p w14:paraId="26D66695" w14:textId="77777777" w:rsidR="006F1DA6" w:rsidRPr="000C42E6" w:rsidRDefault="006F1DA6"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11,029,063</w:t>
            </w:r>
          </w:p>
        </w:tc>
        <w:tc>
          <w:tcPr>
            <w:tcW w:w="992" w:type="dxa"/>
            <w:tcBorders>
              <w:top w:val="nil"/>
              <w:left w:val="nil"/>
              <w:bottom w:val="single" w:sz="8" w:space="0" w:color="auto"/>
              <w:right w:val="single" w:sz="8" w:space="0" w:color="auto"/>
            </w:tcBorders>
            <w:shd w:val="clear" w:color="auto" w:fill="auto"/>
            <w:vAlign w:val="center"/>
            <w:hideMark/>
          </w:tcPr>
          <w:p w14:paraId="0A2A2618" w14:textId="6A6A60F9" w:rsidR="006F1DA6" w:rsidRPr="000C42E6" w:rsidRDefault="006F1DA6"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13.12</w:t>
            </w:r>
          </w:p>
        </w:tc>
      </w:tr>
      <w:tr w:rsidR="006F1DA6" w:rsidRPr="000C42E6" w14:paraId="706B48EA" w14:textId="77777777" w:rsidTr="00A23566">
        <w:trPr>
          <w:trHeight w:val="315"/>
          <w:jc w:val="center"/>
        </w:trPr>
        <w:tc>
          <w:tcPr>
            <w:tcW w:w="7480" w:type="dxa"/>
            <w:tcBorders>
              <w:top w:val="nil"/>
              <w:left w:val="single" w:sz="8" w:space="0" w:color="auto"/>
              <w:bottom w:val="single" w:sz="8" w:space="0" w:color="auto"/>
              <w:right w:val="single" w:sz="8" w:space="0" w:color="auto"/>
            </w:tcBorders>
            <w:shd w:val="clear" w:color="auto" w:fill="auto"/>
            <w:vAlign w:val="center"/>
            <w:hideMark/>
          </w:tcPr>
          <w:p w14:paraId="4CFAF285" w14:textId="77777777" w:rsidR="006F1DA6" w:rsidRPr="000C42E6" w:rsidRDefault="006F1DA6" w:rsidP="004C0398">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Recaudación por Participar</w:t>
            </w:r>
          </w:p>
        </w:tc>
        <w:tc>
          <w:tcPr>
            <w:tcW w:w="1331" w:type="dxa"/>
            <w:tcBorders>
              <w:top w:val="nil"/>
              <w:left w:val="nil"/>
              <w:bottom w:val="single" w:sz="8" w:space="0" w:color="auto"/>
              <w:right w:val="single" w:sz="8" w:space="0" w:color="auto"/>
            </w:tcBorders>
            <w:shd w:val="clear" w:color="auto" w:fill="auto"/>
            <w:vAlign w:val="center"/>
            <w:hideMark/>
          </w:tcPr>
          <w:p w14:paraId="5236AC3C" w14:textId="77777777" w:rsidR="006F1DA6" w:rsidRPr="000C42E6" w:rsidRDefault="006F1DA6"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42,061,550</w:t>
            </w:r>
          </w:p>
        </w:tc>
        <w:tc>
          <w:tcPr>
            <w:tcW w:w="992" w:type="dxa"/>
            <w:tcBorders>
              <w:top w:val="nil"/>
              <w:left w:val="nil"/>
              <w:bottom w:val="single" w:sz="8" w:space="0" w:color="auto"/>
              <w:right w:val="single" w:sz="8" w:space="0" w:color="auto"/>
            </w:tcBorders>
            <w:shd w:val="clear" w:color="auto" w:fill="auto"/>
            <w:vAlign w:val="center"/>
            <w:hideMark/>
          </w:tcPr>
          <w:p w14:paraId="167A646C" w14:textId="29D81EE6" w:rsidR="006F1DA6" w:rsidRPr="000C42E6" w:rsidRDefault="006F1DA6"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50.03</w:t>
            </w:r>
          </w:p>
        </w:tc>
      </w:tr>
      <w:tr w:rsidR="006F1DA6" w:rsidRPr="000C42E6" w14:paraId="05920BD8" w14:textId="77777777" w:rsidTr="00A23566">
        <w:trPr>
          <w:trHeight w:val="315"/>
          <w:jc w:val="center"/>
        </w:trPr>
        <w:tc>
          <w:tcPr>
            <w:tcW w:w="7480" w:type="dxa"/>
            <w:tcBorders>
              <w:top w:val="nil"/>
              <w:left w:val="single" w:sz="8" w:space="0" w:color="auto"/>
              <w:bottom w:val="single" w:sz="8" w:space="0" w:color="auto"/>
              <w:right w:val="single" w:sz="8" w:space="0" w:color="auto"/>
            </w:tcBorders>
            <w:shd w:val="clear" w:color="auto" w:fill="auto"/>
            <w:vAlign w:val="center"/>
            <w:hideMark/>
          </w:tcPr>
          <w:p w14:paraId="5ED9365C" w14:textId="77777777" w:rsidR="006F1DA6" w:rsidRPr="000C42E6" w:rsidRDefault="006F1DA6" w:rsidP="004C0398">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Otros Pasivos Circulantes</w:t>
            </w:r>
          </w:p>
        </w:tc>
        <w:tc>
          <w:tcPr>
            <w:tcW w:w="1331" w:type="dxa"/>
            <w:tcBorders>
              <w:top w:val="nil"/>
              <w:left w:val="nil"/>
              <w:bottom w:val="single" w:sz="8" w:space="0" w:color="auto"/>
              <w:right w:val="single" w:sz="8" w:space="0" w:color="auto"/>
            </w:tcBorders>
            <w:shd w:val="clear" w:color="auto" w:fill="auto"/>
            <w:vAlign w:val="center"/>
            <w:hideMark/>
          </w:tcPr>
          <w:p w14:paraId="4E076347" w14:textId="77777777" w:rsidR="006F1DA6" w:rsidRPr="000C42E6" w:rsidRDefault="006F1DA6" w:rsidP="004C0398">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30,981,016</w:t>
            </w:r>
          </w:p>
        </w:tc>
        <w:tc>
          <w:tcPr>
            <w:tcW w:w="992" w:type="dxa"/>
            <w:tcBorders>
              <w:top w:val="nil"/>
              <w:left w:val="nil"/>
              <w:bottom w:val="single" w:sz="8" w:space="0" w:color="auto"/>
              <w:right w:val="single" w:sz="8" w:space="0" w:color="auto"/>
            </w:tcBorders>
            <w:shd w:val="clear" w:color="auto" w:fill="auto"/>
            <w:vAlign w:val="center"/>
            <w:hideMark/>
          </w:tcPr>
          <w:p w14:paraId="0C787E4D" w14:textId="4748677E" w:rsidR="006F1DA6" w:rsidRPr="000C42E6" w:rsidRDefault="006F1DA6" w:rsidP="004C0398">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36.85</w:t>
            </w:r>
          </w:p>
        </w:tc>
      </w:tr>
      <w:tr w:rsidR="006F1DA6" w:rsidRPr="000C42E6" w14:paraId="422A9DEA" w14:textId="77777777" w:rsidTr="00A23566">
        <w:trPr>
          <w:trHeight w:val="315"/>
          <w:jc w:val="center"/>
        </w:trPr>
        <w:tc>
          <w:tcPr>
            <w:tcW w:w="7480" w:type="dxa"/>
            <w:tcBorders>
              <w:top w:val="nil"/>
              <w:left w:val="single" w:sz="8" w:space="0" w:color="auto"/>
              <w:bottom w:val="single" w:sz="8" w:space="0" w:color="auto"/>
              <w:right w:val="single" w:sz="8" w:space="0" w:color="auto"/>
            </w:tcBorders>
            <w:shd w:val="clear" w:color="auto" w:fill="auto"/>
            <w:vAlign w:val="center"/>
            <w:hideMark/>
          </w:tcPr>
          <w:p w14:paraId="4EDD15F7" w14:textId="77777777" w:rsidR="006F1DA6" w:rsidRPr="000C42E6" w:rsidRDefault="006F1DA6"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331" w:type="dxa"/>
            <w:tcBorders>
              <w:top w:val="nil"/>
              <w:left w:val="nil"/>
              <w:bottom w:val="single" w:sz="8" w:space="0" w:color="auto"/>
              <w:right w:val="single" w:sz="8" w:space="0" w:color="auto"/>
            </w:tcBorders>
            <w:shd w:val="clear" w:color="auto" w:fill="auto"/>
            <w:vAlign w:val="center"/>
            <w:hideMark/>
          </w:tcPr>
          <w:p w14:paraId="12A07CED" w14:textId="77777777" w:rsidR="006F1DA6" w:rsidRPr="000C42E6" w:rsidRDefault="006F1DA6" w:rsidP="004C0398">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84,071,629</w:t>
            </w:r>
          </w:p>
        </w:tc>
        <w:tc>
          <w:tcPr>
            <w:tcW w:w="992" w:type="dxa"/>
            <w:tcBorders>
              <w:top w:val="nil"/>
              <w:left w:val="nil"/>
              <w:bottom w:val="single" w:sz="8" w:space="0" w:color="auto"/>
              <w:right w:val="single" w:sz="8" w:space="0" w:color="auto"/>
            </w:tcBorders>
            <w:shd w:val="clear" w:color="auto" w:fill="auto"/>
            <w:vAlign w:val="center"/>
            <w:hideMark/>
          </w:tcPr>
          <w:p w14:paraId="31E53B8F" w14:textId="6EC2A109" w:rsidR="006F1DA6" w:rsidRPr="000C42E6" w:rsidRDefault="006F1DA6" w:rsidP="004C0398">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100</w:t>
            </w:r>
          </w:p>
        </w:tc>
      </w:tr>
    </w:tbl>
    <w:p w14:paraId="60F02032" w14:textId="1685CEDB" w:rsidR="00A35764" w:rsidRPr="000C42E6" w:rsidRDefault="00A35764" w:rsidP="00A35764">
      <w:pPr>
        <w:spacing w:line="240" w:lineRule="auto"/>
        <w:jc w:val="both"/>
        <w:rPr>
          <w:rFonts w:ascii="Arial" w:hAnsi="Arial" w:cs="Arial"/>
          <w:sz w:val="20"/>
          <w:szCs w:val="20"/>
        </w:rPr>
      </w:pPr>
    </w:p>
    <w:p w14:paraId="301A48F3" w14:textId="0154B741" w:rsidR="00780F6D" w:rsidRPr="000C42E6" w:rsidRDefault="00780F6D" w:rsidP="00780F6D">
      <w:pPr>
        <w:pStyle w:val="Prrafodelista"/>
        <w:numPr>
          <w:ilvl w:val="0"/>
          <w:numId w:val="23"/>
        </w:numPr>
        <w:spacing w:after="160" w:line="240" w:lineRule="auto"/>
        <w:jc w:val="both"/>
        <w:rPr>
          <w:rFonts w:ascii="Arial" w:hAnsi="Arial" w:cs="Arial"/>
          <w:sz w:val="20"/>
          <w:szCs w:val="20"/>
        </w:rPr>
      </w:pPr>
      <w:r w:rsidRPr="000C42E6">
        <w:rPr>
          <w:rFonts w:ascii="Arial" w:hAnsi="Arial" w:cs="Arial"/>
          <w:b/>
          <w:sz w:val="20"/>
          <w:szCs w:val="20"/>
        </w:rPr>
        <w:t>Ingresos por Clasificar</w:t>
      </w:r>
      <w:r w:rsidR="006E08A5" w:rsidRPr="000C42E6">
        <w:rPr>
          <w:rFonts w:ascii="Arial" w:hAnsi="Arial" w:cs="Arial"/>
          <w:b/>
          <w:sz w:val="20"/>
          <w:szCs w:val="20"/>
        </w:rPr>
        <w:t xml:space="preserve"> </w:t>
      </w:r>
      <w:r w:rsidR="006E08A5" w:rsidRPr="000C42E6">
        <w:rPr>
          <w:rFonts w:ascii="Arial" w:hAnsi="Arial" w:cs="Arial"/>
          <w:sz w:val="20"/>
          <w:szCs w:val="20"/>
        </w:rPr>
        <w:t>por</w:t>
      </w:r>
      <w:r w:rsidRPr="000C42E6">
        <w:rPr>
          <w:rFonts w:ascii="Arial" w:hAnsi="Arial" w:cs="Arial"/>
          <w:sz w:val="20"/>
          <w:szCs w:val="20"/>
        </w:rPr>
        <w:t xml:space="preserve"> </w:t>
      </w:r>
      <w:r w:rsidR="002B3662" w:rsidRPr="000C42E6">
        <w:rPr>
          <w:rFonts w:ascii="Arial" w:hAnsi="Arial" w:cs="Arial"/>
          <w:sz w:val="20"/>
          <w:szCs w:val="20"/>
        </w:rPr>
        <w:t>$11</w:t>
      </w:r>
      <w:proofErr w:type="gramStart"/>
      <w:r w:rsidR="002B3662" w:rsidRPr="000C42E6">
        <w:rPr>
          <w:rFonts w:ascii="Arial" w:hAnsi="Arial" w:cs="Arial"/>
          <w:sz w:val="20"/>
          <w:szCs w:val="20"/>
        </w:rPr>
        <w:t>,029,063</w:t>
      </w:r>
      <w:proofErr w:type="gramEnd"/>
      <w:r w:rsidR="002B3662" w:rsidRPr="000C42E6">
        <w:rPr>
          <w:rFonts w:ascii="Arial" w:hAnsi="Arial" w:cs="Arial"/>
          <w:sz w:val="20"/>
          <w:szCs w:val="20"/>
        </w:rPr>
        <w:t xml:space="preserve"> </w:t>
      </w:r>
      <w:r w:rsidRPr="000C42E6">
        <w:rPr>
          <w:rFonts w:ascii="Arial" w:hAnsi="Arial" w:cs="Arial"/>
          <w:sz w:val="20"/>
          <w:szCs w:val="20"/>
        </w:rPr>
        <w:t xml:space="preserve">corresponde a depósitos que se etiquetaron como no identificados. Del total del saldo el 23% corresponde a 90 días, el 16% menor a 365 días  y el 61% mayor a 365 días de antigüedad. </w:t>
      </w:r>
      <w:r w:rsidR="00BA726E" w:rsidRPr="000C42E6">
        <w:rPr>
          <w:rFonts w:ascii="Arial" w:hAnsi="Arial" w:cs="Arial"/>
          <w:sz w:val="20"/>
          <w:szCs w:val="20"/>
        </w:rPr>
        <w:t>(año 2024)</w:t>
      </w:r>
    </w:p>
    <w:p w14:paraId="7B6D56D5" w14:textId="77777777" w:rsidR="00780F6D" w:rsidRPr="000C42E6" w:rsidRDefault="00780F6D" w:rsidP="00780F6D">
      <w:pPr>
        <w:pStyle w:val="Prrafodelista"/>
        <w:spacing w:line="240" w:lineRule="auto"/>
        <w:ind w:left="360"/>
        <w:jc w:val="both"/>
        <w:rPr>
          <w:rFonts w:ascii="Arial" w:hAnsi="Arial" w:cs="Arial"/>
          <w:sz w:val="20"/>
          <w:szCs w:val="20"/>
        </w:rPr>
      </w:pPr>
    </w:p>
    <w:p w14:paraId="2CA9314D" w14:textId="07C2BD78" w:rsidR="00780F6D" w:rsidRPr="000C42E6" w:rsidRDefault="00780F6D" w:rsidP="00780F6D">
      <w:pPr>
        <w:pStyle w:val="Prrafodelista"/>
        <w:numPr>
          <w:ilvl w:val="0"/>
          <w:numId w:val="23"/>
        </w:numPr>
        <w:spacing w:before="240" w:after="160" w:line="240" w:lineRule="auto"/>
        <w:jc w:val="both"/>
        <w:rPr>
          <w:rFonts w:ascii="Arial" w:hAnsi="Arial" w:cs="Arial"/>
          <w:sz w:val="20"/>
          <w:szCs w:val="20"/>
        </w:rPr>
      </w:pPr>
      <w:r w:rsidRPr="000C42E6">
        <w:rPr>
          <w:rFonts w:ascii="Arial" w:hAnsi="Arial" w:cs="Arial"/>
          <w:b/>
          <w:sz w:val="20"/>
          <w:szCs w:val="20"/>
        </w:rPr>
        <w:t xml:space="preserve">Recaudación por participar </w:t>
      </w:r>
      <w:r w:rsidR="006E08A5" w:rsidRPr="000C42E6">
        <w:rPr>
          <w:rFonts w:ascii="Arial" w:hAnsi="Arial" w:cs="Arial"/>
          <w:sz w:val="20"/>
          <w:szCs w:val="20"/>
        </w:rPr>
        <w:t xml:space="preserve">por </w:t>
      </w:r>
      <w:r w:rsidRPr="000C42E6">
        <w:rPr>
          <w:rFonts w:ascii="Arial" w:hAnsi="Arial" w:cs="Arial"/>
          <w:sz w:val="20"/>
          <w:szCs w:val="20"/>
        </w:rPr>
        <w:t>$42,061,550 por el registro de los incentivos derivados de la colaboración fiscal, autoliquidados en la constancia de recaudación de los ingresos federales coordinados y el monto de los fideicomisos descontados del anticipo de las participaciones mensuales. Del total del saldo el 63% corresponde a 180 días y el 37% mayor a 365 días de antigüedad.</w:t>
      </w:r>
      <w:r w:rsidR="00BA726E" w:rsidRPr="000C42E6">
        <w:rPr>
          <w:rFonts w:ascii="Arial" w:hAnsi="Arial" w:cs="Arial"/>
          <w:sz w:val="20"/>
          <w:szCs w:val="20"/>
        </w:rPr>
        <w:t xml:space="preserve"> (año 2024)</w:t>
      </w:r>
    </w:p>
    <w:p w14:paraId="17DE8E58" w14:textId="77777777" w:rsidR="00780F6D" w:rsidRPr="000C42E6" w:rsidRDefault="00780F6D" w:rsidP="00780F6D">
      <w:pPr>
        <w:pStyle w:val="Prrafodelista"/>
        <w:spacing w:before="240" w:line="240" w:lineRule="auto"/>
        <w:ind w:left="360"/>
        <w:jc w:val="both"/>
        <w:rPr>
          <w:rFonts w:ascii="Arial" w:hAnsi="Arial" w:cs="Arial"/>
          <w:sz w:val="20"/>
          <w:szCs w:val="20"/>
        </w:rPr>
      </w:pPr>
    </w:p>
    <w:p w14:paraId="0F5CF4F2" w14:textId="77777777" w:rsidR="00FD1C98" w:rsidRPr="000C42E6" w:rsidRDefault="00780F6D" w:rsidP="00FD1C98">
      <w:pPr>
        <w:pStyle w:val="Prrafodelista"/>
        <w:numPr>
          <w:ilvl w:val="0"/>
          <w:numId w:val="23"/>
        </w:numPr>
        <w:spacing w:after="160" w:line="240" w:lineRule="auto"/>
        <w:jc w:val="both"/>
        <w:rPr>
          <w:rFonts w:ascii="Arial" w:hAnsi="Arial" w:cs="Arial"/>
          <w:sz w:val="20"/>
          <w:szCs w:val="20"/>
        </w:rPr>
      </w:pPr>
      <w:r w:rsidRPr="000C42E6">
        <w:rPr>
          <w:rFonts w:ascii="Arial" w:hAnsi="Arial" w:cs="Arial"/>
          <w:b/>
          <w:sz w:val="20"/>
          <w:szCs w:val="20"/>
        </w:rPr>
        <w:t>Otros Pasivos circulantes</w:t>
      </w:r>
      <w:r w:rsidRPr="000C42E6">
        <w:rPr>
          <w:rFonts w:ascii="Arial" w:hAnsi="Arial" w:cs="Arial"/>
          <w:sz w:val="20"/>
          <w:szCs w:val="20"/>
        </w:rPr>
        <w:t xml:space="preserve"> por $3</w:t>
      </w:r>
      <w:r w:rsidR="00FD1C98" w:rsidRPr="000C42E6">
        <w:rPr>
          <w:rFonts w:ascii="Arial" w:hAnsi="Arial" w:cs="Arial"/>
          <w:sz w:val="20"/>
          <w:szCs w:val="20"/>
        </w:rPr>
        <w:t>0,981,016 se integra como sigue:</w:t>
      </w:r>
    </w:p>
    <w:p w14:paraId="4C9F3B7F" w14:textId="43959125" w:rsidR="00780F6D" w:rsidRDefault="00E21243" w:rsidP="00FD1C98">
      <w:pPr>
        <w:pStyle w:val="Prrafodelista"/>
        <w:spacing w:after="160" w:line="240" w:lineRule="auto"/>
        <w:ind w:left="360"/>
        <w:jc w:val="both"/>
        <w:rPr>
          <w:rFonts w:ascii="Arial" w:hAnsi="Arial" w:cs="Arial"/>
          <w:sz w:val="20"/>
          <w:szCs w:val="20"/>
        </w:rPr>
      </w:pPr>
      <w:r w:rsidRPr="000C42E6">
        <w:rPr>
          <w:rFonts w:ascii="Arial" w:hAnsi="Arial" w:cs="Arial"/>
          <w:sz w:val="20"/>
          <w:szCs w:val="20"/>
        </w:rPr>
        <w:t>$23</w:t>
      </w:r>
      <w:proofErr w:type="gramStart"/>
      <w:r w:rsidRPr="000C42E6">
        <w:rPr>
          <w:rFonts w:ascii="Arial" w:hAnsi="Arial" w:cs="Arial"/>
          <w:sz w:val="20"/>
          <w:szCs w:val="20"/>
        </w:rPr>
        <w:t>,753,261</w:t>
      </w:r>
      <w:proofErr w:type="gramEnd"/>
      <w:r w:rsidRPr="000C42E6">
        <w:rPr>
          <w:rFonts w:ascii="Arial" w:hAnsi="Arial" w:cs="Arial"/>
          <w:sz w:val="20"/>
          <w:szCs w:val="20"/>
        </w:rPr>
        <w:t xml:space="preserve"> de </w:t>
      </w:r>
      <w:r w:rsidR="00780F6D" w:rsidRPr="000C42E6">
        <w:rPr>
          <w:rFonts w:ascii="Arial" w:hAnsi="Arial" w:cs="Arial"/>
          <w:sz w:val="20"/>
          <w:szCs w:val="20"/>
        </w:rPr>
        <w:t>las provisiones pendientes de comprobar por las 14 dependencias y 7 órganos desconcentrados las cuales serán comprobadas en el primer trimestre de 2026; $6,693,368 saldo de las retenciones efectuadas a los trabajadores del Estado de ejercicios anteriores (2015-2019) por concepto de compensaciones y pensiones alimenticias, dicho saldo se va amortizando al efectuar el pago la Dirección de Tesorería mediante oficios de solicitud y $534,387 de Donativos DIF.</w:t>
      </w:r>
    </w:p>
    <w:p w14:paraId="600AFC26" w14:textId="77777777" w:rsidR="00946B18" w:rsidRDefault="00946B18" w:rsidP="00FD1C98">
      <w:pPr>
        <w:pStyle w:val="Prrafodelista"/>
        <w:spacing w:after="160" w:line="240" w:lineRule="auto"/>
        <w:ind w:left="360"/>
        <w:jc w:val="both"/>
        <w:rPr>
          <w:rFonts w:ascii="Arial" w:hAnsi="Arial" w:cs="Arial"/>
          <w:sz w:val="20"/>
          <w:szCs w:val="20"/>
        </w:rPr>
      </w:pPr>
    </w:p>
    <w:p w14:paraId="3BB843E1" w14:textId="77777777" w:rsidR="00CB7883" w:rsidRPr="000C42E6" w:rsidRDefault="00CB7883" w:rsidP="00CB7883">
      <w:pPr>
        <w:spacing w:after="0" w:line="240" w:lineRule="auto"/>
        <w:jc w:val="both"/>
        <w:rPr>
          <w:rFonts w:ascii="Arial" w:eastAsia="Calibri" w:hAnsi="Arial" w:cs="Arial"/>
          <w:b/>
          <w:bCs/>
          <w:sz w:val="20"/>
          <w:szCs w:val="20"/>
          <w:u w:val="single"/>
          <w:lang w:eastAsia="es-MX"/>
        </w:rPr>
      </w:pPr>
      <w:r w:rsidRPr="000C42E6">
        <w:rPr>
          <w:rFonts w:ascii="Arial" w:eastAsia="Calibri" w:hAnsi="Arial" w:cs="Arial"/>
          <w:b/>
          <w:bCs/>
          <w:sz w:val="20"/>
          <w:szCs w:val="20"/>
          <w:u w:val="single"/>
          <w:lang w:eastAsia="es-MX"/>
        </w:rPr>
        <w:t>Cuentas por Pagar a Largo Plazo</w:t>
      </w:r>
    </w:p>
    <w:p w14:paraId="2710E462" w14:textId="77777777" w:rsidR="00CB7883" w:rsidRPr="000C42E6" w:rsidRDefault="00CB7883" w:rsidP="00CB7883">
      <w:pPr>
        <w:spacing w:after="0" w:line="240" w:lineRule="auto"/>
        <w:jc w:val="both"/>
        <w:rPr>
          <w:rFonts w:ascii="Arial" w:eastAsia="Calibri" w:hAnsi="Arial" w:cs="Arial"/>
          <w:b/>
          <w:bCs/>
          <w:sz w:val="20"/>
          <w:szCs w:val="20"/>
          <w:lang w:eastAsia="es-MX"/>
        </w:rPr>
      </w:pPr>
    </w:p>
    <w:p w14:paraId="4E164EAE" w14:textId="77777777" w:rsidR="00CB7883" w:rsidRPr="000C42E6" w:rsidRDefault="00CB7883" w:rsidP="00CB7883">
      <w:pPr>
        <w:spacing w:after="200" w:line="240" w:lineRule="auto"/>
        <w:jc w:val="both"/>
        <w:rPr>
          <w:rFonts w:ascii="Arial" w:eastAsia="Calibri" w:hAnsi="Arial" w:cs="Arial"/>
          <w:sz w:val="20"/>
          <w:szCs w:val="20"/>
          <w:lang w:eastAsia="es-MX"/>
        </w:rPr>
      </w:pPr>
      <w:r w:rsidRPr="000C42E6">
        <w:rPr>
          <w:rFonts w:ascii="Arial" w:eastAsia="Calibri" w:hAnsi="Arial" w:cs="Arial"/>
          <w:sz w:val="20"/>
          <w:szCs w:val="20"/>
          <w:lang w:eastAsia="es-MX"/>
        </w:rPr>
        <w:t>No se tiene Cuentas por Pagar a Largo Plazo</w:t>
      </w:r>
    </w:p>
    <w:p w14:paraId="48D54333" w14:textId="77777777" w:rsidR="00CB7883" w:rsidRPr="000C42E6" w:rsidRDefault="00CB7883" w:rsidP="00CB7883">
      <w:pPr>
        <w:spacing w:after="0" w:line="240" w:lineRule="auto"/>
        <w:jc w:val="both"/>
        <w:rPr>
          <w:rFonts w:ascii="Arial" w:eastAsia="Calibri" w:hAnsi="Arial" w:cs="Arial"/>
          <w:b/>
          <w:bCs/>
          <w:sz w:val="20"/>
          <w:szCs w:val="20"/>
          <w:u w:val="single"/>
          <w:lang w:eastAsia="es-MX"/>
        </w:rPr>
      </w:pPr>
      <w:r w:rsidRPr="000C42E6">
        <w:rPr>
          <w:rFonts w:ascii="Arial" w:eastAsia="Calibri" w:hAnsi="Arial" w:cs="Arial"/>
          <w:b/>
          <w:bCs/>
          <w:sz w:val="20"/>
          <w:szCs w:val="20"/>
          <w:u w:val="single"/>
          <w:lang w:eastAsia="es-MX"/>
        </w:rPr>
        <w:t xml:space="preserve">Documentos por Pagar a Largo Plazo </w:t>
      </w:r>
    </w:p>
    <w:p w14:paraId="387FDB23" w14:textId="77777777" w:rsidR="00E059F3" w:rsidRPr="000C42E6" w:rsidRDefault="00E059F3" w:rsidP="00E059F3">
      <w:pPr>
        <w:spacing w:after="0" w:line="240" w:lineRule="auto"/>
        <w:jc w:val="both"/>
        <w:rPr>
          <w:rFonts w:ascii="Arial" w:eastAsia="Calibri" w:hAnsi="Arial" w:cs="Arial"/>
          <w:sz w:val="20"/>
          <w:szCs w:val="20"/>
          <w:lang w:eastAsia="es-MX"/>
        </w:rPr>
      </w:pPr>
    </w:p>
    <w:p w14:paraId="1C069EDD" w14:textId="77777777" w:rsidR="00CB7883" w:rsidRPr="000C42E6" w:rsidRDefault="00CB7883" w:rsidP="00E059F3">
      <w:pPr>
        <w:spacing w:after="0" w:line="240" w:lineRule="auto"/>
        <w:jc w:val="both"/>
        <w:rPr>
          <w:rFonts w:ascii="Arial" w:eastAsia="Calibri" w:hAnsi="Arial" w:cs="Arial"/>
          <w:sz w:val="20"/>
          <w:szCs w:val="20"/>
          <w:lang w:eastAsia="es-MX"/>
        </w:rPr>
      </w:pPr>
      <w:r w:rsidRPr="000C42E6">
        <w:rPr>
          <w:rFonts w:ascii="Arial" w:eastAsia="Calibri" w:hAnsi="Arial" w:cs="Arial"/>
          <w:sz w:val="20"/>
          <w:szCs w:val="20"/>
          <w:lang w:eastAsia="es-MX"/>
        </w:rPr>
        <w:t>No se tiene Documentos por Pagar a Largo Plazo</w:t>
      </w:r>
    </w:p>
    <w:p w14:paraId="45095342" w14:textId="77777777" w:rsidR="00023064" w:rsidRPr="000C42E6" w:rsidRDefault="00023064" w:rsidP="00E059F3">
      <w:pPr>
        <w:spacing w:after="0" w:line="240" w:lineRule="auto"/>
        <w:jc w:val="both"/>
        <w:rPr>
          <w:rFonts w:ascii="Arial" w:eastAsia="Calibri" w:hAnsi="Arial" w:cs="Arial"/>
          <w:sz w:val="20"/>
          <w:szCs w:val="20"/>
          <w:lang w:eastAsia="es-MX"/>
        </w:rPr>
      </w:pPr>
    </w:p>
    <w:p w14:paraId="58AB19DA" w14:textId="77777777" w:rsidR="00CB7883" w:rsidRPr="000C42E6" w:rsidRDefault="00CB7883" w:rsidP="00CB7883">
      <w:pPr>
        <w:spacing w:after="0" w:line="240" w:lineRule="auto"/>
        <w:jc w:val="both"/>
        <w:rPr>
          <w:rFonts w:ascii="Arial" w:eastAsia="Calibri" w:hAnsi="Arial" w:cs="Arial"/>
          <w:b/>
          <w:bCs/>
          <w:sz w:val="20"/>
          <w:szCs w:val="20"/>
          <w:u w:val="single"/>
          <w:lang w:eastAsia="es-MX"/>
        </w:rPr>
      </w:pPr>
      <w:r w:rsidRPr="000C42E6">
        <w:rPr>
          <w:rFonts w:ascii="Arial" w:eastAsia="Calibri" w:hAnsi="Arial" w:cs="Arial"/>
          <w:b/>
          <w:bCs/>
          <w:sz w:val="20"/>
          <w:szCs w:val="20"/>
          <w:u w:val="single"/>
          <w:lang w:eastAsia="es-MX"/>
        </w:rPr>
        <w:t xml:space="preserve">Deuda Pública a Largo Plazo   </w:t>
      </w:r>
    </w:p>
    <w:p w14:paraId="370BA4D3" w14:textId="77777777" w:rsidR="00CB7883" w:rsidRPr="000C42E6" w:rsidRDefault="00CB7883" w:rsidP="00CB7883">
      <w:pPr>
        <w:spacing w:after="0" w:line="240" w:lineRule="auto"/>
        <w:jc w:val="both"/>
        <w:rPr>
          <w:rFonts w:ascii="Arial" w:eastAsia="Calibri" w:hAnsi="Arial" w:cs="Arial"/>
          <w:sz w:val="20"/>
          <w:szCs w:val="20"/>
        </w:rPr>
      </w:pPr>
    </w:p>
    <w:p w14:paraId="54BF0A51" w14:textId="6BDAA5AD" w:rsidR="00CB7883" w:rsidRPr="000C42E6" w:rsidRDefault="00CB7883" w:rsidP="00CB7883">
      <w:pPr>
        <w:spacing w:after="200" w:line="240" w:lineRule="auto"/>
        <w:jc w:val="both"/>
        <w:rPr>
          <w:rFonts w:ascii="Arial" w:eastAsia="Calibri" w:hAnsi="Arial" w:cs="Arial"/>
          <w:bCs/>
          <w:sz w:val="20"/>
          <w:szCs w:val="20"/>
          <w:lang w:eastAsia="es-MX"/>
        </w:rPr>
      </w:pPr>
      <w:r w:rsidRPr="000C42E6">
        <w:rPr>
          <w:rFonts w:ascii="Arial" w:eastAsia="Calibri" w:hAnsi="Arial" w:cs="Arial"/>
          <w:bCs/>
          <w:sz w:val="20"/>
          <w:szCs w:val="20"/>
          <w:lang w:eastAsia="es-MX"/>
        </w:rPr>
        <w:t xml:space="preserve">El saldo de este rubro es </w:t>
      </w:r>
      <w:r w:rsidR="00697F19" w:rsidRPr="000C42E6">
        <w:rPr>
          <w:rFonts w:ascii="Arial" w:eastAsia="Calibri" w:hAnsi="Arial" w:cs="Arial"/>
          <w:b/>
          <w:bCs/>
          <w:sz w:val="20"/>
          <w:szCs w:val="20"/>
          <w:lang w:eastAsia="es-MX"/>
        </w:rPr>
        <w:t>$4,423,821,273</w:t>
      </w:r>
      <w:r w:rsidRPr="000C42E6">
        <w:rPr>
          <w:rFonts w:ascii="Arial" w:eastAsia="Calibri" w:hAnsi="Arial" w:cs="Arial"/>
          <w:b/>
          <w:bCs/>
          <w:sz w:val="20"/>
          <w:szCs w:val="20"/>
          <w:lang w:eastAsia="es-MX"/>
        </w:rPr>
        <w:t xml:space="preserve"> </w:t>
      </w:r>
      <w:r w:rsidRPr="000C42E6">
        <w:rPr>
          <w:rFonts w:ascii="Arial" w:eastAsia="Calibri" w:hAnsi="Arial" w:cs="Arial"/>
          <w:bCs/>
          <w:sz w:val="20"/>
          <w:szCs w:val="20"/>
          <w:lang w:eastAsia="es-MX"/>
        </w:rPr>
        <w:t>detallados en las N</w:t>
      </w:r>
      <w:r w:rsidR="003A5B93" w:rsidRPr="000C42E6">
        <w:rPr>
          <w:rFonts w:ascii="Arial" w:eastAsia="Calibri" w:hAnsi="Arial" w:cs="Arial"/>
          <w:bCs/>
          <w:sz w:val="20"/>
          <w:szCs w:val="20"/>
          <w:lang w:eastAsia="es-MX"/>
        </w:rPr>
        <w:t xml:space="preserve">otas de Gestión Administrativa, en el que se presenta el saldo total de la deuda por </w:t>
      </w:r>
      <w:r w:rsidR="004A3A85">
        <w:rPr>
          <w:rFonts w:ascii="Arial" w:eastAsia="Calibri" w:hAnsi="Arial" w:cs="Arial"/>
          <w:b/>
          <w:bCs/>
          <w:sz w:val="20"/>
          <w:szCs w:val="20"/>
          <w:lang w:eastAsia="es-MX"/>
        </w:rPr>
        <w:t>$4,751,737,673</w:t>
      </w:r>
      <w:r w:rsidR="003A5B93" w:rsidRPr="000C42E6">
        <w:rPr>
          <w:rFonts w:ascii="Arial" w:eastAsia="Calibri" w:hAnsi="Arial" w:cs="Arial"/>
          <w:bCs/>
          <w:sz w:val="20"/>
          <w:szCs w:val="20"/>
          <w:lang w:eastAsia="es-MX"/>
        </w:rPr>
        <w:t xml:space="preserve"> que se integra por </w:t>
      </w:r>
      <w:r w:rsidR="003A5B93" w:rsidRPr="000C42E6">
        <w:rPr>
          <w:rFonts w:ascii="Arial" w:eastAsia="Calibri" w:hAnsi="Arial" w:cs="Arial"/>
          <w:b/>
          <w:bCs/>
          <w:sz w:val="20"/>
          <w:szCs w:val="20"/>
          <w:lang w:eastAsia="es-MX"/>
        </w:rPr>
        <w:t>4,423,821,273</w:t>
      </w:r>
      <w:r w:rsidR="003A5B93" w:rsidRPr="000C42E6">
        <w:rPr>
          <w:rFonts w:ascii="Arial" w:eastAsia="Calibri" w:hAnsi="Arial" w:cs="Arial"/>
          <w:bCs/>
          <w:sz w:val="20"/>
          <w:szCs w:val="20"/>
          <w:lang w:eastAsia="es-MX"/>
        </w:rPr>
        <w:t xml:space="preserve"> a largo plazo</w:t>
      </w:r>
      <w:r w:rsidR="00236F85" w:rsidRPr="000C42E6">
        <w:rPr>
          <w:rFonts w:ascii="Arial" w:eastAsia="Calibri" w:hAnsi="Arial" w:cs="Arial"/>
          <w:bCs/>
          <w:sz w:val="20"/>
          <w:szCs w:val="20"/>
          <w:lang w:eastAsia="es-MX"/>
        </w:rPr>
        <w:t xml:space="preserve">; </w:t>
      </w:r>
      <w:r w:rsidR="008F1C1B" w:rsidRPr="000C42E6">
        <w:rPr>
          <w:rFonts w:ascii="Arial" w:eastAsia="Calibri" w:hAnsi="Arial" w:cs="Arial"/>
          <w:bCs/>
          <w:sz w:val="20"/>
          <w:szCs w:val="20"/>
          <w:lang w:eastAsia="es-MX"/>
        </w:rPr>
        <w:t>e</w:t>
      </w:r>
      <w:r w:rsidR="00236F85" w:rsidRPr="000C42E6">
        <w:rPr>
          <w:rFonts w:ascii="Arial" w:eastAsia="Calibri" w:hAnsi="Arial" w:cs="Arial"/>
          <w:bCs/>
          <w:sz w:val="20"/>
          <w:szCs w:val="20"/>
          <w:lang w:eastAsia="es-MX"/>
        </w:rPr>
        <w:t xml:space="preserve">s el global de los vencimientos posteriores al año 2025; </w:t>
      </w:r>
      <w:r w:rsidR="003A5B93" w:rsidRPr="000C42E6">
        <w:rPr>
          <w:rFonts w:ascii="Arial" w:eastAsia="Calibri" w:hAnsi="Arial" w:cs="Arial"/>
          <w:bCs/>
          <w:sz w:val="20"/>
          <w:szCs w:val="20"/>
          <w:lang w:eastAsia="es-MX"/>
        </w:rPr>
        <w:t xml:space="preserve">más </w:t>
      </w:r>
      <w:r w:rsidR="003A5B93" w:rsidRPr="000C42E6">
        <w:rPr>
          <w:rFonts w:ascii="Arial" w:eastAsia="Calibri" w:hAnsi="Arial" w:cs="Arial"/>
          <w:b/>
          <w:bCs/>
          <w:sz w:val="20"/>
          <w:szCs w:val="20"/>
          <w:lang w:eastAsia="es-MX"/>
        </w:rPr>
        <w:t>$327,916,400</w:t>
      </w:r>
      <w:r w:rsidR="002156EA" w:rsidRPr="000C42E6">
        <w:rPr>
          <w:rFonts w:ascii="Arial" w:eastAsia="Calibri" w:hAnsi="Arial" w:cs="Arial"/>
          <w:bCs/>
          <w:sz w:val="20"/>
          <w:szCs w:val="20"/>
          <w:lang w:eastAsia="es-MX"/>
        </w:rPr>
        <w:t xml:space="preserve"> a corto plazo a pagar en 2026.</w:t>
      </w:r>
    </w:p>
    <w:p w14:paraId="3FFBB332" w14:textId="77777777" w:rsidR="00CB7883" w:rsidRPr="000C42E6" w:rsidRDefault="00CB7883" w:rsidP="00CB7883">
      <w:pPr>
        <w:spacing w:after="200" w:line="240" w:lineRule="auto"/>
        <w:jc w:val="both"/>
        <w:rPr>
          <w:rFonts w:ascii="Arial" w:eastAsia="Calibri" w:hAnsi="Arial" w:cs="Arial"/>
          <w:bCs/>
          <w:sz w:val="20"/>
          <w:szCs w:val="20"/>
          <w:lang w:eastAsia="es-MX"/>
        </w:rPr>
      </w:pPr>
      <w:r w:rsidRPr="000C42E6">
        <w:rPr>
          <w:rFonts w:ascii="Arial" w:eastAsia="Calibri" w:hAnsi="Arial" w:cs="Arial"/>
          <w:bCs/>
          <w:sz w:val="20"/>
          <w:szCs w:val="20"/>
          <w:lang w:eastAsia="es-MX"/>
        </w:rPr>
        <w:t>El Poder Ejecutivo no tiene avales sobre créditos indirectos.</w:t>
      </w:r>
    </w:p>
    <w:p w14:paraId="361662FA" w14:textId="77777777" w:rsidR="00CB7883" w:rsidRPr="000C42E6" w:rsidRDefault="00CB7883" w:rsidP="00CB7883">
      <w:pPr>
        <w:spacing w:after="200" w:line="276" w:lineRule="auto"/>
        <w:jc w:val="both"/>
        <w:rPr>
          <w:rFonts w:ascii="Arial" w:eastAsia="Calibri" w:hAnsi="Arial" w:cs="Arial"/>
          <w:b/>
          <w:bCs/>
          <w:sz w:val="20"/>
          <w:szCs w:val="20"/>
          <w:u w:val="single"/>
          <w:lang w:eastAsia="es-MX"/>
        </w:rPr>
      </w:pPr>
      <w:r w:rsidRPr="000C42E6">
        <w:rPr>
          <w:rFonts w:ascii="Arial" w:eastAsia="Calibri" w:hAnsi="Arial" w:cs="Arial"/>
          <w:b/>
          <w:bCs/>
          <w:sz w:val="20"/>
          <w:szCs w:val="20"/>
          <w:u w:val="single"/>
          <w:lang w:eastAsia="es-MX"/>
        </w:rPr>
        <w:t>Pasivos Diferidos a Largo Plazo</w:t>
      </w:r>
    </w:p>
    <w:p w14:paraId="13DFD42F" w14:textId="77777777" w:rsidR="00CB7883" w:rsidRPr="000C42E6" w:rsidRDefault="00CB7883" w:rsidP="00CB7883">
      <w:pPr>
        <w:spacing w:before="240" w:after="0" w:line="240" w:lineRule="auto"/>
        <w:jc w:val="both"/>
        <w:rPr>
          <w:rFonts w:ascii="Arial" w:eastAsia="Calibri" w:hAnsi="Arial" w:cs="Arial"/>
          <w:sz w:val="20"/>
          <w:szCs w:val="20"/>
          <w:lang w:eastAsia="es-MX"/>
        </w:rPr>
      </w:pPr>
      <w:r w:rsidRPr="000C42E6">
        <w:rPr>
          <w:rFonts w:ascii="Arial" w:eastAsia="Calibri" w:hAnsi="Arial" w:cs="Arial"/>
          <w:sz w:val="20"/>
          <w:szCs w:val="20"/>
          <w:lang w:eastAsia="es-MX"/>
        </w:rPr>
        <w:t>No se tiene Pasivos Diferidos a Largo Plazo</w:t>
      </w:r>
    </w:p>
    <w:p w14:paraId="0CDBCDDE" w14:textId="77777777" w:rsidR="00CB7883" w:rsidRPr="000C42E6" w:rsidRDefault="00CB7883" w:rsidP="00CB7883">
      <w:pPr>
        <w:spacing w:before="240" w:after="200" w:line="240" w:lineRule="auto"/>
        <w:jc w:val="both"/>
        <w:rPr>
          <w:rFonts w:ascii="Arial" w:eastAsia="Calibri" w:hAnsi="Arial" w:cs="Arial"/>
          <w:b/>
          <w:sz w:val="20"/>
          <w:szCs w:val="20"/>
          <w:u w:val="single"/>
        </w:rPr>
      </w:pPr>
      <w:r w:rsidRPr="000C42E6">
        <w:rPr>
          <w:rFonts w:ascii="Arial" w:eastAsia="Calibri" w:hAnsi="Arial" w:cs="Arial"/>
          <w:b/>
          <w:sz w:val="20"/>
          <w:szCs w:val="20"/>
          <w:u w:val="single"/>
        </w:rPr>
        <w:lastRenderedPageBreak/>
        <w:t>Fondos y Bienes de Terceros en Garantía y/o Administración a Largo Plazo</w:t>
      </w:r>
    </w:p>
    <w:p w14:paraId="6775795D" w14:textId="77777777" w:rsidR="00442C22" w:rsidRPr="000C42E6" w:rsidRDefault="00442C22" w:rsidP="00442C22">
      <w:pPr>
        <w:spacing w:before="240" w:line="240" w:lineRule="auto"/>
        <w:jc w:val="both"/>
        <w:rPr>
          <w:rFonts w:ascii="Arial" w:hAnsi="Arial" w:cs="Arial"/>
          <w:sz w:val="20"/>
          <w:szCs w:val="20"/>
        </w:rPr>
      </w:pPr>
      <w:r w:rsidRPr="000C42E6">
        <w:rPr>
          <w:rFonts w:ascii="Arial" w:hAnsi="Arial" w:cs="Arial"/>
          <w:sz w:val="20"/>
          <w:szCs w:val="20"/>
        </w:rPr>
        <w:t xml:space="preserve">Por un importe de </w:t>
      </w:r>
      <w:r w:rsidRPr="000C42E6">
        <w:rPr>
          <w:rFonts w:ascii="Arial" w:hAnsi="Arial" w:cs="Arial"/>
          <w:b/>
          <w:sz w:val="20"/>
          <w:szCs w:val="20"/>
        </w:rPr>
        <w:t>$55,820</w:t>
      </w:r>
      <w:r w:rsidRPr="000C42E6">
        <w:rPr>
          <w:rFonts w:ascii="Arial" w:hAnsi="Arial" w:cs="Arial"/>
          <w:sz w:val="20"/>
          <w:szCs w:val="20"/>
        </w:rPr>
        <w:t>; corresponde a averiguaciones previas solicitadas por SEABA.</w:t>
      </w:r>
    </w:p>
    <w:p w14:paraId="2EB07EF9" w14:textId="77777777" w:rsidR="00CB7883" w:rsidRPr="000C42E6" w:rsidRDefault="00CB7883" w:rsidP="00CB7883">
      <w:pPr>
        <w:spacing w:before="240" w:after="0" w:line="240" w:lineRule="auto"/>
        <w:jc w:val="both"/>
        <w:rPr>
          <w:rFonts w:ascii="Arial" w:eastAsia="Calibri" w:hAnsi="Arial" w:cs="Arial"/>
          <w:b/>
          <w:bCs/>
          <w:sz w:val="20"/>
          <w:szCs w:val="20"/>
          <w:u w:val="single"/>
          <w:lang w:eastAsia="es-MX"/>
        </w:rPr>
      </w:pPr>
      <w:r w:rsidRPr="000C42E6">
        <w:rPr>
          <w:rFonts w:ascii="Arial" w:eastAsia="Calibri" w:hAnsi="Arial" w:cs="Arial"/>
          <w:b/>
          <w:bCs/>
          <w:sz w:val="20"/>
          <w:szCs w:val="20"/>
          <w:u w:val="single"/>
          <w:lang w:eastAsia="es-MX"/>
        </w:rPr>
        <w:t>Provisiones a Largo Plazo</w:t>
      </w:r>
    </w:p>
    <w:p w14:paraId="4403E788" w14:textId="77777777" w:rsidR="00CB7883" w:rsidRPr="000C42E6" w:rsidRDefault="00CB7883" w:rsidP="00CB7883">
      <w:pPr>
        <w:spacing w:before="240" w:after="200" w:line="240" w:lineRule="auto"/>
        <w:jc w:val="both"/>
        <w:rPr>
          <w:rFonts w:ascii="Arial" w:eastAsia="Calibri" w:hAnsi="Arial" w:cs="Arial"/>
          <w:sz w:val="20"/>
          <w:szCs w:val="20"/>
          <w:lang w:eastAsia="es-MX"/>
        </w:rPr>
      </w:pPr>
      <w:r w:rsidRPr="000C42E6">
        <w:rPr>
          <w:rFonts w:ascii="Arial" w:eastAsia="Calibri" w:hAnsi="Arial" w:cs="Arial"/>
          <w:sz w:val="20"/>
          <w:szCs w:val="20"/>
          <w:lang w:eastAsia="es-MX"/>
        </w:rPr>
        <w:t>No se tiene Provisiones a Largo Plazo.</w:t>
      </w:r>
    </w:p>
    <w:p w14:paraId="5ABFA55C" w14:textId="77777777" w:rsidR="00CB7883" w:rsidRPr="000C42E6" w:rsidRDefault="00CB7883" w:rsidP="00CB7883">
      <w:pPr>
        <w:spacing w:after="0" w:line="240" w:lineRule="auto"/>
        <w:rPr>
          <w:rFonts w:ascii="Arial" w:eastAsia="Calibri" w:hAnsi="Arial" w:cs="Arial"/>
          <w:b/>
          <w:bCs/>
          <w:sz w:val="20"/>
          <w:szCs w:val="20"/>
          <w:lang w:eastAsia="es-MX"/>
        </w:rPr>
      </w:pPr>
      <w:r w:rsidRPr="000C42E6">
        <w:rPr>
          <w:rFonts w:ascii="Arial" w:eastAsia="Calibri" w:hAnsi="Arial" w:cs="Arial"/>
          <w:b/>
          <w:bCs/>
          <w:sz w:val="20"/>
          <w:szCs w:val="20"/>
          <w:lang w:eastAsia="es-MX"/>
        </w:rPr>
        <w:t xml:space="preserve">III) NOTAS AL ESTADO DE VARIACIÓN EN LA HACIENDA PÚBLICA   </w:t>
      </w:r>
    </w:p>
    <w:p w14:paraId="0537A293" w14:textId="77777777" w:rsidR="00CB7883" w:rsidRPr="000C42E6" w:rsidRDefault="00CB7883" w:rsidP="00CB7883">
      <w:pPr>
        <w:spacing w:after="0" w:line="240" w:lineRule="auto"/>
        <w:rPr>
          <w:rFonts w:ascii="Arial" w:eastAsia="Calibri" w:hAnsi="Arial" w:cs="Arial"/>
          <w:b/>
          <w:bCs/>
          <w:sz w:val="20"/>
          <w:szCs w:val="20"/>
          <w:lang w:eastAsia="es-MX"/>
        </w:rPr>
      </w:pPr>
    </w:p>
    <w:p w14:paraId="4264A750" w14:textId="1997BB40" w:rsidR="00AF0AE5" w:rsidRPr="000C42E6" w:rsidRDefault="00AF0AE5" w:rsidP="00AF0AE5">
      <w:pPr>
        <w:spacing w:after="0" w:line="240" w:lineRule="auto"/>
        <w:rPr>
          <w:rFonts w:ascii="Arial" w:eastAsia="Times New Roman" w:hAnsi="Arial" w:cs="Arial"/>
          <w:color w:val="000000"/>
          <w:sz w:val="20"/>
          <w:szCs w:val="20"/>
          <w:lang w:eastAsia="es-MX"/>
        </w:rPr>
      </w:pPr>
      <w:r w:rsidRPr="000C42E6">
        <w:rPr>
          <w:rFonts w:ascii="Arial" w:eastAsia="Calibri" w:hAnsi="Arial" w:cs="Arial"/>
          <w:b/>
          <w:bCs/>
          <w:sz w:val="20"/>
          <w:szCs w:val="20"/>
          <w:lang w:eastAsia="es-MX"/>
        </w:rPr>
        <w:t xml:space="preserve"> </w:t>
      </w:r>
      <w:r w:rsidRPr="000C42E6">
        <w:rPr>
          <w:rFonts w:ascii="Arial" w:eastAsia="Calibri" w:hAnsi="Arial" w:cs="Arial"/>
          <w:sz w:val="20"/>
          <w:szCs w:val="20"/>
        </w:rPr>
        <w:t>La variación neta</w:t>
      </w:r>
      <w:r w:rsidRPr="000C42E6">
        <w:rPr>
          <w:rFonts w:ascii="Arial" w:eastAsia="Times New Roman" w:hAnsi="Arial" w:cs="Arial"/>
          <w:color w:val="000000"/>
          <w:sz w:val="20"/>
          <w:szCs w:val="20"/>
          <w:lang w:eastAsia="es-MX"/>
        </w:rPr>
        <w:t xml:space="preserve"> total de Hacie</w:t>
      </w:r>
      <w:r w:rsidR="003F0312">
        <w:rPr>
          <w:rFonts w:ascii="Arial" w:eastAsia="Times New Roman" w:hAnsi="Arial" w:cs="Arial"/>
          <w:color w:val="000000"/>
          <w:sz w:val="20"/>
          <w:szCs w:val="20"/>
          <w:lang w:eastAsia="es-MX"/>
        </w:rPr>
        <w:t>nda Pública/Patrimonio fue un in</w:t>
      </w:r>
      <w:r w:rsidRPr="000C42E6">
        <w:rPr>
          <w:rFonts w:ascii="Arial" w:eastAsia="Times New Roman" w:hAnsi="Arial" w:cs="Arial"/>
          <w:color w:val="000000"/>
          <w:sz w:val="20"/>
          <w:szCs w:val="20"/>
          <w:lang w:eastAsia="es-MX"/>
        </w:rPr>
        <w:t xml:space="preserve">cremento por </w:t>
      </w:r>
      <w:r w:rsidRPr="000C42E6">
        <w:rPr>
          <w:rFonts w:ascii="Arial" w:eastAsia="Times New Roman" w:hAnsi="Arial" w:cs="Arial"/>
          <w:b/>
          <w:color w:val="000000"/>
          <w:sz w:val="20"/>
          <w:szCs w:val="20"/>
          <w:lang w:eastAsia="es-MX"/>
        </w:rPr>
        <w:t>$</w:t>
      </w:r>
      <w:r w:rsidR="003F0312">
        <w:rPr>
          <w:rFonts w:ascii="Arial" w:eastAsia="Times New Roman" w:hAnsi="Arial" w:cs="Arial"/>
          <w:b/>
          <w:color w:val="000000"/>
          <w:sz w:val="20"/>
          <w:szCs w:val="20"/>
          <w:lang w:eastAsia="es-MX"/>
        </w:rPr>
        <w:t>195,039,304</w:t>
      </w:r>
      <w:r w:rsidR="00F54B24" w:rsidRPr="000C42E6">
        <w:rPr>
          <w:rFonts w:ascii="Arial" w:eastAsia="Times New Roman" w:hAnsi="Arial" w:cs="Arial"/>
          <w:color w:val="000000"/>
          <w:sz w:val="20"/>
          <w:szCs w:val="20"/>
          <w:lang w:eastAsia="es-MX"/>
        </w:rPr>
        <w:t xml:space="preserve"> </w:t>
      </w:r>
      <w:r w:rsidRPr="000C42E6">
        <w:rPr>
          <w:rFonts w:ascii="Arial" w:eastAsia="Times New Roman" w:hAnsi="Arial" w:cs="Arial"/>
          <w:color w:val="000000"/>
          <w:sz w:val="20"/>
          <w:szCs w:val="20"/>
          <w:lang w:eastAsia="es-MX"/>
        </w:rPr>
        <w:t xml:space="preserve"> al pasar de </w:t>
      </w:r>
      <w:r w:rsidRPr="000C42E6">
        <w:rPr>
          <w:rFonts w:ascii="Arial" w:eastAsia="Times New Roman" w:hAnsi="Arial" w:cs="Arial"/>
          <w:b/>
          <w:color w:val="000000"/>
          <w:sz w:val="20"/>
          <w:szCs w:val="20"/>
          <w:lang w:eastAsia="es-MX"/>
        </w:rPr>
        <w:t>$</w:t>
      </w:r>
      <w:r w:rsidR="007111DF" w:rsidRPr="000C42E6">
        <w:rPr>
          <w:rFonts w:ascii="Arial" w:eastAsia="Times New Roman" w:hAnsi="Arial" w:cs="Arial"/>
          <w:b/>
          <w:color w:val="000000"/>
          <w:sz w:val="20"/>
          <w:szCs w:val="20"/>
          <w:lang w:eastAsia="es-MX"/>
        </w:rPr>
        <w:t>24,809,919,810</w:t>
      </w:r>
      <w:r w:rsidRPr="000C42E6">
        <w:rPr>
          <w:rFonts w:ascii="Arial" w:eastAsia="Times New Roman" w:hAnsi="Arial" w:cs="Arial"/>
          <w:color w:val="000000"/>
          <w:sz w:val="20"/>
          <w:szCs w:val="20"/>
          <w:lang w:eastAsia="es-MX"/>
        </w:rPr>
        <w:t xml:space="preserve"> con </w:t>
      </w:r>
      <w:r w:rsidR="00491713" w:rsidRPr="000C42E6">
        <w:rPr>
          <w:rFonts w:ascii="Arial" w:eastAsia="Times New Roman" w:hAnsi="Arial" w:cs="Arial"/>
          <w:bCs/>
          <w:color w:val="000000"/>
          <w:sz w:val="20"/>
          <w:szCs w:val="20"/>
          <w:lang w:eastAsia="es-MX"/>
        </w:rPr>
        <w:t>que cerró diciembre</w:t>
      </w:r>
      <w:r w:rsidR="0020186F" w:rsidRPr="000C42E6">
        <w:rPr>
          <w:rFonts w:ascii="Arial" w:eastAsia="Times New Roman" w:hAnsi="Arial" w:cs="Arial"/>
          <w:bCs/>
          <w:color w:val="000000"/>
          <w:sz w:val="20"/>
          <w:szCs w:val="20"/>
          <w:lang w:eastAsia="es-MX"/>
        </w:rPr>
        <w:t xml:space="preserve"> </w:t>
      </w:r>
      <w:r w:rsidRPr="000C42E6">
        <w:rPr>
          <w:rFonts w:ascii="Arial" w:eastAsia="Times New Roman" w:hAnsi="Arial" w:cs="Arial"/>
          <w:bCs/>
          <w:color w:val="000000"/>
          <w:sz w:val="20"/>
          <w:szCs w:val="20"/>
          <w:lang w:eastAsia="es-MX"/>
        </w:rPr>
        <w:t xml:space="preserve"> 2024, </w:t>
      </w:r>
      <w:r w:rsidRPr="000C42E6">
        <w:rPr>
          <w:rFonts w:ascii="Arial" w:eastAsia="Times New Roman" w:hAnsi="Arial" w:cs="Arial"/>
          <w:color w:val="000000"/>
          <w:sz w:val="20"/>
          <w:szCs w:val="20"/>
          <w:lang w:eastAsia="es-MX"/>
        </w:rPr>
        <w:t xml:space="preserve">a </w:t>
      </w:r>
      <w:r w:rsidRPr="000C42E6">
        <w:rPr>
          <w:rFonts w:ascii="Arial" w:eastAsia="Times New Roman" w:hAnsi="Arial" w:cs="Arial"/>
          <w:b/>
          <w:color w:val="000000"/>
          <w:sz w:val="20"/>
          <w:szCs w:val="20"/>
          <w:lang w:eastAsia="es-MX"/>
        </w:rPr>
        <w:t>$</w:t>
      </w:r>
      <w:r w:rsidR="003F0312">
        <w:rPr>
          <w:rFonts w:ascii="Arial" w:eastAsia="Times New Roman" w:hAnsi="Arial" w:cs="Arial"/>
          <w:b/>
          <w:color w:val="000000"/>
          <w:sz w:val="20"/>
          <w:szCs w:val="20"/>
          <w:lang w:eastAsia="es-MX"/>
        </w:rPr>
        <w:t>25,004,959,114</w:t>
      </w:r>
      <w:r w:rsidRPr="000C42E6">
        <w:rPr>
          <w:rFonts w:ascii="Arial" w:eastAsia="Times New Roman" w:hAnsi="Arial" w:cs="Arial"/>
          <w:color w:val="000000"/>
          <w:sz w:val="20"/>
          <w:szCs w:val="20"/>
          <w:lang w:eastAsia="es-MX"/>
        </w:rPr>
        <w:t xml:space="preserve"> al </w:t>
      </w:r>
      <w:r w:rsidR="00491713" w:rsidRPr="000C42E6">
        <w:rPr>
          <w:rFonts w:ascii="Arial" w:eastAsia="Calibri" w:hAnsi="Arial" w:cs="Arial"/>
          <w:sz w:val="20"/>
          <w:szCs w:val="20"/>
        </w:rPr>
        <w:t>31 de diciembre</w:t>
      </w:r>
      <w:r w:rsidR="0020186F" w:rsidRPr="000C42E6">
        <w:rPr>
          <w:rFonts w:ascii="Arial" w:eastAsia="Calibri" w:hAnsi="Arial" w:cs="Arial"/>
          <w:sz w:val="20"/>
          <w:szCs w:val="20"/>
        </w:rPr>
        <w:t xml:space="preserve"> de</w:t>
      </w:r>
      <w:r w:rsidRPr="000C42E6">
        <w:rPr>
          <w:rFonts w:ascii="Arial" w:eastAsia="Calibri" w:hAnsi="Arial" w:cs="Arial"/>
          <w:sz w:val="20"/>
          <w:szCs w:val="20"/>
        </w:rPr>
        <w:t xml:space="preserve"> 2025; integrado por los movimientos de los siguientes rubros y grupos</w:t>
      </w:r>
      <w:r w:rsidRPr="000C42E6">
        <w:rPr>
          <w:rFonts w:ascii="Arial" w:eastAsia="Times New Roman" w:hAnsi="Arial" w:cs="Arial"/>
          <w:color w:val="000000"/>
          <w:sz w:val="20"/>
          <w:szCs w:val="20"/>
          <w:lang w:eastAsia="es-MX"/>
        </w:rPr>
        <w:t>:</w:t>
      </w:r>
    </w:p>
    <w:p w14:paraId="2A736D99" w14:textId="77777777" w:rsidR="00AF0AE5" w:rsidRPr="000C42E6" w:rsidRDefault="00AF0AE5" w:rsidP="00AF0AE5">
      <w:pPr>
        <w:spacing w:after="0" w:line="240" w:lineRule="auto"/>
        <w:rPr>
          <w:rFonts w:ascii="Arial" w:eastAsia="Times New Roman" w:hAnsi="Arial" w:cs="Arial"/>
          <w:color w:val="000000"/>
          <w:sz w:val="20"/>
          <w:szCs w:val="20"/>
          <w:lang w:eastAsia="es-MX"/>
        </w:rPr>
      </w:pPr>
    </w:p>
    <w:tbl>
      <w:tblPr>
        <w:tblpPr w:leftFromText="141" w:rightFromText="141" w:vertAnchor="text" w:tblpXSpec="center" w:tblpY="1"/>
        <w:tblOverlap w:val="never"/>
        <w:tblW w:w="10201" w:type="dxa"/>
        <w:tblCellMar>
          <w:left w:w="70" w:type="dxa"/>
          <w:right w:w="70" w:type="dxa"/>
        </w:tblCellMar>
        <w:tblLook w:val="04A0" w:firstRow="1" w:lastRow="0" w:firstColumn="1" w:lastColumn="0" w:noHBand="0" w:noVBand="1"/>
      </w:tblPr>
      <w:tblGrid>
        <w:gridCol w:w="7360"/>
        <w:gridCol w:w="1420"/>
        <w:gridCol w:w="1421"/>
      </w:tblGrid>
      <w:tr w:rsidR="003E7493" w:rsidRPr="000C42E6" w14:paraId="09D53EA9" w14:textId="77777777" w:rsidTr="0080602D">
        <w:trPr>
          <w:trHeight w:val="525"/>
        </w:trPr>
        <w:tc>
          <w:tcPr>
            <w:tcW w:w="73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A24DE87" w14:textId="77777777" w:rsidR="003E7493" w:rsidRPr="000C42E6" w:rsidRDefault="003E7493" w:rsidP="006E13FF">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w:t>
            </w:r>
            <w:r w:rsidRPr="000C42E6">
              <w:rPr>
                <w:rFonts w:ascii="Arial" w:eastAsia="Times New Roman" w:hAnsi="Arial" w:cs="Arial"/>
                <w:b/>
                <w:bCs/>
                <w:color w:val="000000"/>
                <w:sz w:val="20"/>
                <w:szCs w:val="20"/>
                <w:lang w:eastAsia="es-MX"/>
              </w:rPr>
              <w:t>Concepto</w:t>
            </w:r>
          </w:p>
        </w:tc>
        <w:tc>
          <w:tcPr>
            <w:tcW w:w="1420" w:type="dxa"/>
            <w:tcBorders>
              <w:top w:val="single" w:sz="4" w:space="0" w:color="auto"/>
              <w:left w:val="nil"/>
              <w:bottom w:val="single" w:sz="4" w:space="0" w:color="auto"/>
              <w:right w:val="nil"/>
            </w:tcBorders>
            <w:shd w:val="clear" w:color="000000" w:fill="A6A6A6"/>
            <w:vAlign w:val="center"/>
            <w:hideMark/>
          </w:tcPr>
          <w:p w14:paraId="7379DE3F" w14:textId="77777777" w:rsidR="003E7493" w:rsidRPr="000C42E6" w:rsidRDefault="003E7493" w:rsidP="006E13FF">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Variación del Rubro</w:t>
            </w:r>
          </w:p>
        </w:tc>
        <w:tc>
          <w:tcPr>
            <w:tcW w:w="142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55004CF" w14:textId="77777777" w:rsidR="003E7493" w:rsidRPr="000C42E6" w:rsidRDefault="003E7493" w:rsidP="006E13FF">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Variación del Grupo</w:t>
            </w:r>
          </w:p>
        </w:tc>
      </w:tr>
      <w:tr w:rsidR="003E7493" w:rsidRPr="000C42E6" w14:paraId="186073A5" w14:textId="77777777" w:rsidTr="0080602D">
        <w:trPr>
          <w:trHeight w:val="342"/>
        </w:trPr>
        <w:tc>
          <w:tcPr>
            <w:tcW w:w="87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D19B7B" w14:textId="77777777" w:rsidR="003E7493" w:rsidRPr="000C42E6" w:rsidRDefault="003E7493" w:rsidP="006E13FF">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1.     </w:t>
            </w:r>
            <w:r w:rsidRPr="000C42E6">
              <w:rPr>
                <w:rFonts w:ascii="Arial" w:eastAsia="Times New Roman" w:hAnsi="Arial" w:cs="Arial"/>
                <w:b/>
                <w:bCs/>
                <w:color w:val="000000"/>
                <w:sz w:val="20"/>
                <w:szCs w:val="20"/>
                <w:lang w:eastAsia="es-MX"/>
              </w:rPr>
              <w:t>Modificaciones al Patrimonio Contribuido:</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14:paraId="08469F78" w14:textId="77777777" w:rsidR="003E7493" w:rsidRPr="000C42E6" w:rsidRDefault="003E7493" w:rsidP="006E13FF">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15,037,509</w:t>
            </w:r>
          </w:p>
        </w:tc>
      </w:tr>
      <w:tr w:rsidR="003E7493" w:rsidRPr="000C42E6" w14:paraId="5B685824" w14:textId="77777777" w:rsidTr="006A2B01">
        <w:trPr>
          <w:trHeight w:val="236"/>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47414B7F" w14:textId="77777777"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Aportaciones</w:t>
            </w:r>
          </w:p>
        </w:tc>
        <w:tc>
          <w:tcPr>
            <w:tcW w:w="1420" w:type="dxa"/>
            <w:tcBorders>
              <w:top w:val="nil"/>
              <w:left w:val="nil"/>
              <w:bottom w:val="single" w:sz="4" w:space="0" w:color="auto"/>
              <w:right w:val="nil"/>
            </w:tcBorders>
            <w:shd w:val="clear" w:color="auto" w:fill="auto"/>
            <w:vAlign w:val="center"/>
            <w:hideMark/>
          </w:tcPr>
          <w:p w14:paraId="2EFA16B6" w14:textId="77777777" w:rsidR="003E7493" w:rsidRPr="000C42E6" w:rsidRDefault="003E7493" w:rsidP="006E13FF">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421" w:type="dxa"/>
            <w:vMerge/>
            <w:tcBorders>
              <w:top w:val="nil"/>
              <w:left w:val="single" w:sz="4" w:space="0" w:color="auto"/>
              <w:bottom w:val="single" w:sz="4" w:space="0" w:color="auto"/>
              <w:right w:val="single" w:sz="4" w:space="0" w:color="auto"/>
            </w:tcBorders>
            <w:vAlign w:val="center"/>
            <w:hideMark/>
          </w:tcPr>
          <w:p w14:paraId="4B461A36"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r w:rsidR="003E7493" w:rsidRPr="000C42E6" w14:paraId="78D28B7F" w14:textId="77777777" w:rsidTr="006A2B01">
        <w:trPr>
          <w:trHeight w:val="125"/>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4D0A44B4" w14:textId="77777777"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Donaciones de Capital</w:t>
            </w:r>
          </w:p>
        </w:tc>
        <w:tc>
          <w:tcPr>
            <w:tcW w:w="1420" w:type="dxa"/>
            <w:tcBorders>
              <w:top w:val="nil"/>
              <w:left w:val="nil"/>
              <w:bottom w:val="single" w:sz="4" w:space="0" w:color="auto"/>
              <w:right w:val="nil"/>
            </w:tcBorders>
            <w:shd w:val="clear" w:color="auto" w:fill="auto"/>
            <w:vAlign w:val="center"/>
            <w:hideMark/>
          </w:tcPr>
          <w:p w14:paraId="1DFA8F40" w14:textId="77777777" w:rsidR="003E7493" w:rsidRPr="000C42E6" w:rsidRDefault="003E7493" w:rsidP="006E13FF">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14,493,181</w:t>
            </w:r>
          </w:p>
        </w:tc>
        <w:tc>
          <w:tcPr>
            <w:tcW w:w="1421" w:type="dxa"/>
            <w:vMerge/>
            <w:tcBorders>
              <w:top w:val="nil"/>
              <w:left w:val="single" w:sz="4" w:space="0" w:color="auto"/>
              <w:bottom w:val="single" w:sz="4" w:space="0" w:color="auto"/>
              <w:right w:val="single" w:sz="4" w:space="0" w:color="auto"/>
            </w:tcBorders>
            <w:vAlign w:val="center"/>
            <w:hideMark/>
          </w:tcPr>
          <w:p w14:paraId="30564645"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r w:rsidR="003E7493" w:rsidRPr="000C42E6" w14:paraId="4CC3E76D" w14:textId="77777777" w:rsidTr="006A2B01">
        <w:trPr>
          <w:trHeight w:val="171"/>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403E7D73" w14:textId="77777777"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Actualización de la Hacienda Pública/Patrimonio</w:t>
            </w:r>
          </w:p>
        </w:tc>
        <w:tc>
          <w:tcPr>
            <w:tcW w:w="1420" w:type="dxa"/>
            <w:tcBorders>
              <w:top w:val="nil"/>
              <w:left w:val="nil"/>
              <w:bottom w:val="single" w:sz="4" w:space="0" w:color="auto"/>
              <w:right w:val="nil"/>
            </w:tcBorders>
            <w:shd w:val="clear" w:color="auto" w:fill="auto"/>
            <w:vAlign w:val="center"/>
            <w:hideMark/>
          </w:tcPr>
          <w:p w14:paraId="385F776D" w14:textId="77777777" w:rsidR="003E7493" w:rsidRPr="000C42E6" w:rsidRDefault="003E7493" w:rsidP="006E13FF">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544,328</w:t>
            </w:r>
          </w:p>
        </w:tc>
        <w:tc>
          <w:tcPr>
            <w:tcW w:w="1421" w:type="dxa"/>
            <w:vMerge/>
            <w:tcBorders>
              <w:top w:val="nil"/>
              <w:left w:val="single" w:sz="4" w:space="0" w:color="auto"/>
              <w:bottom w:val="single" w:sz="4" w:space="0" w:color="auto"/>
              <w:right w:val="single" w:sz="4" w:space="0" w:color="auto"/>
            </w:tcBorders>
            <w:vAlign w:val="center"/>
            <w:hideMark/>
          </w:tcPr>
          <w:p w14:paraId="4175517C"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bl>
    <w:p w14:paraId="7B397446" w14:textId="77777777" w:rsidR="00040063" w:rsidRDefault="00040063"/>
    <w:tbl>
      <w:tblPr>
        <w:tblpPr w:leftFromText="141" w:rightFromText="141" w:vertAnchor="text" w:tblpXSpec="center" w:tblpY="1"/>
        <w:tblOverlap w:val="never"/>
        <w:tblW w:w="10201" w:type="dxa"/>
        <w:tblCellMar>
          <w:left w:w="70" w:type="dxa"/>
          <w:right w:w="70" w:type="dxa"/>
        </w:tblCellMar>
        <w:tblLook w:val="04A0" w:firstRow="1" w:lastRow="0" w:firstColumn="1" w:lastColumn="0" w:noHBand="0" w:noVBand="1"/>
      </w:tblPr>
      <w:tblGrid>
        <w:gridCol w:w="7360"/>
        <w:gridCol w:w="1420"/>
        <w:gridCol w:w="1421"/>
      </w:tblGrid>
      <w:tr w:rsidR="003E7493" w:rsidRPr="000C42E6" w14:paraId="35CB1E43" w14:textId="77777777" w:rsidTr="0080602D">
        <w:trPr>
          <w:trHeight w:val="342"/>
        </w:trPr>
        <w:tc>
          <w:tcPr>
            <w:tcW w:w="87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921139" w14:textId="77777777" w:rsidR="003E7493" w:rsidRPr="000C42E6" w:rsidRDefault="003E7493" w:rsidP="006E13FF">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2.     </w:t>
            </w:r>
            <w:r w:rsidRPr="000C42E6">
              <w:rPr>
                <w:rFonts w:ascii="Arial" w:eastAsia="Times New Roman" w:hAnsi="Arial" w:cs="Arial"/>
                <w:b/>
                <w:bCs/>
                <w:color w:val="000000"/>
                <w:sz w:val="20"/>
                <w:szCs w:val="20"/>
                <w:lang w:eastAsia="es-MX"/>
              </w:rPr>
              <w:t xml:space="preserve">Modificaciones al Patrimonio Generado:                                                                                                                                      </w:t>
            </w:r>
          </w:p>
        </w:tc>
        <w:tc>
          <w:tcPr>
            <w:tcW w:w="1421" w:type="dxa"/>
            <w:vMerge w:val="restart"/>
            <w:tcBorders>
              <w:top w:val="nil"/>
              <w:left w:val="single" w:sz="4" w:space="0" w:color="auto"/>
              <w:bottom w:val="single" w:sz="4" w:space="0" w:color="auto"/>
              <w:right w:val="single" w:sz="4" w:space="0" w:color="auto"/>
            </w:tcBorders>
            <w:shd w:val="clear" w:color="auto" w:fill="auto"/>
            <w:vAlign w:val="center"/>
            <w:hideMark/>
          </w:tcPr>
          <w:p w14:paraId="08AB7C45" w14:textId="13642551" w:rsidR="003E7493" w:rsidRPr="000C42E6" w:rsidRDefault="00404C7D" w:rsidP="00404C7D">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180,001,794</w:t>
            </w:r>
          </w:p>
        </w:tc>
      </w:tr>
      <w:tr w:rsidR="003E7493" w:rsidRPr="000C42E6" w14:paraId="0ACA4A30" w14:textId="77777777" w:rsidTr="0080602D">
        <w:trPr>
          <w:trHeight w:val="342"/>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4C54B6D9" w14:textId="77777777"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Resultados del Ejercicio (Ahorro/Desahorro) diciembre 2025 menos diciembre 2024</w:t>
            </w:r>
          </w:p>
        </w:tc>
        <w:tc>
          <w:tcPr>
            <w:tcW w:w="1420" w:type="dxa"/>
            <w:tcBorders>
              <w:top w:val="nil"/>
              <w:left w:val="nil"/>
              <w:bottom w:val="single" w:sz="4" w:space="0" w:color="auto"/>
              <w:right w:val="nil"/>
            </w:tcBorders>
            <w:shd w:val="clear" w:color="auto" w:fill="auto"/>
            <w:vAlign w:val="center"/>
            <w:hideMark/>
          </w:tcPr>
          <w:p w14:paraId="68F779BF" w14:textId="6E166313" w:rsidR="003E7493" w:rsidRPr="000C42E6" w:rsidRDefault="0080602D" w:rsidP="006E13F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880,151,358</w:t>
            </w:r>
          </w:p>
        </w:tc>
        <w:tc>
          <w:tcPr>
            <w:tcW w:w="1421" w:type="dxa"/>
            <w:vMerge/>
            <w:tcBorders>
              <w:top w:val="nil"/>
              <w:left w:val="single" w:sz="4" w:space="0" w:color="auto"/>
              <w:bottom w:val="single" w:sz="4" w:space="0" w:color="auto"/>
              <w:right w:val="single" w:sz="4" w:space="0" w:color="auto"/>
            </w:tcBorders>
            <w:vAlign w:val="center"/>
            <w:hideMark/>
          </w:tcPr>
          <w:p w14:paraId="79068932"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r w:rsidR="003E7493" w:rsidRPr="000C42E6" w14:paraId="1D154F80" w14:textId="77777777" w:rsidTr="006A2B01">
        <w:trPr>
          <w:trHeight w:val="165"/>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0D8CD334" w14:textId="77777777"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Resultados de Ejercicios Anteriores, decremento en el periodo</w:t>
            </w:r>
          </w:p>
        </w:tc>
        <w:tc>
          <w:tcPr>
            <w:tcW w:w="1420" w:type="dxa"/>
            <w:tcBorders>
              <w:top w:val="nil"/>
              <w:left w:val="nil"/>
              <w:bottom w:val="single" w:sz="4" w:space="0" w:color="auto"/>
              <w:right w:val="nil"/>
            </w:tcBorders>
            <w:shd w:val="clear" w:color="auto" w:fill="auto"/>
            <w:vAlign w:val="center"/>
            <w:hideMark/>
          </w:tcPr>
          <w:p w14:paraId="6E8F3B78" w14:textId="0FEF719F" w:rsidR="003E7493" w:rsidRPr="000C42E6" w:rsidRDefault="00AC4BA0" w:rsidP="006E13F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Pr="00AC4BA0">
              <w:rPr>
                <w:rFonts w:ascii="Arial" w:eastAsia="Times New Roman" w:hAnsi="Arial" w:cs="Arial"/>
                <w:color w:val="000000"/>
                <w:sz w:val="20"/>
                <w:szCs w:val="20"/>
                <w:lang w:eastAsia="es-MX"/>
              </w:rPr>
              <w:t>365,569,158</w:t>
            </w:r>
          </w:p>
        </w:tc>
        <w:tc>
          <w:tcPr>
            <w:tcW w:w="1421" w:type="dxa"/>
            <w:vMerge/>
            <w:tcBorders>
              <w:top w:val="nil"/>
              <w:left w:val="single" w:sz="4" w:space="0" w:color="auto"/>
              <w:bottom w:val="single" w:sz="4" w:space="0" w:color="auto"/>
              <w:right w:val="single" w:sz="4" w:space="0" w:color="auto"/>
            </w:tcBorders>
            <w:vAlign w:val="center"/>
            <w:hideMark/>
          </w:tcPr>
          <w:p w14:paraId="07E952AC"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r w:rsidR="003E7493" w:rsidRPr="000C42E6" w14:paraId="738A535B" w14:textId="77777777" w:rsidTr="006A2B01">
        <w:trPr>
          <w:trHeight w:val="196"/>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5597B21F" w14:textId="77777777"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Más Revalúas de bienes inmuebles   </w:t>
            </w:r>
          </w:p>
        </w:tc>
        <w:tc>
          <w:tcPr>
            <w:tcW w:w="1420" w:type="dxa"/>
            <w:tcBorders>
              <w:top w:val="nil"/>
              <w:left w:val="nil"/>
              <w:bottom w:val="single" w:sz="4" w:space="0" w:color="auto"/>
              <w:right w:val="nil"/>
            </w:tcBorders>
            <w:shd w:val="clear" w:color="auto" w:fill="auto"/>
            <w:vAlign w:val="center"/>
            <w:hideMark/>
          </w:tcPr>
          <w:p w14:paraId="37993A2F" w14:textId="77777777" w:rsidR="003E7493" w:rsidRPr="000C42E6" w:rsidRDefault="003E7493" w:rsidP="006E13FF">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6,630,445</w:t>
            </w:r>
          </w:p>
        </w:tc>
        <w:tc>
          <w:tcPr>
            <w:tcW w:w="1421" w:type="dxa"/>
            <w:vMerge/>
            <w:tcBorders>
              <w:top w:val="nil"/>
              <w:left w:val="single" w:sz="4" w:space="0" w:color="auto"/>
              <w:bottom w:val="single" w:sz="4" w:space="0" w:color="auto"/>
              <w:right w:val="single" w:sz="4" w:space="0" w:color="auto"/>
            </w:tcBorders>
            <w:vAlign w:val="center"/>
            <w:hideMark/>
          </w:tcPr>
          <w:p w14:paraId="0C59FEA2"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r w:rsidR="003E7493" w:rsidRPr="000C42E6" w14:paraId="3C2A4F00" w14:textId="77777777" w:rsidTr="006A2B01">
        <w:trPr>
          <w:trHeight w:val="100"/>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1CACC757" w14:textId="77777777"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Reservas</w:t>
            </w:r>
          </w:p>
        </w:tc>
        <w:tc>
          <w:tcPr>
            <w:tcW w:w="1420" w:type="dxa"/>
            <w:tcBorders>
              <w:top w:val="nil"/>
              <w:left w:val="nil"/>
              <w:bottom w:val="single" w:sz="4" w:space="0" w:color="auto"/>
              <w:right w:val="nil"/>
            </w:tcBorders>
            <w:shd w:val="clear" w:color="auto" w:fill="auto"/>
            <w:vAlign w:val="center"/>
            <w:hideMark/>
          </w:tcPr>
          <w:p w14:paraId="2B68230F" w14:textId="77777777" w:rsidR="003E7493" w:rsidRPr="000C42E6" w:rsidRDefault="003E7493" w:rsidP="006E13FF">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421" w:type="dxa"/>
            <w:vMerge/>
            <w:tcBorders>
              <w:top w:val="nil"/>
              <w:left w:val="single" w:sz="4" w:space="0" w:color="auto"/>
              <w:bottom w:val="single" w:sz="4" w:space="0" w:color="auto"/>
              <w:right w:val="single" w:sz="4" w:space="0" w:color="auto"/>
            </w:tcBorders>
            <w:vAlign w:val="center"/>
            <w:hideMark/>
          </w:tcPr>
          <w:p w14:paraId="5515B0BE"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r w:rsidR="003E7493" w:rsidRPr="000C42E6" w14:paraId="73A419E6" w14:textId="77777777" w:rsidTr="006A2B01">
        <w:trPr>
          <w:trHeight w:val="147"/>
        </w:trPr>
        <w:tc>
          <w:tcPr>
            <w:tcW w:w="7360" w:type="dxa"/>
            <w:tcBorders>
              <w:top w:val="nil"/>
              <w:left w:val="single" w:sz="4" w:space="0" w:color="auto"/>
              <w:bottom w:val="single" w:sz="4" w:space="0" w:color="auto"/>
              <w:right w:val="single" w:sz="4" w:space="0" w:color="auto"/>
            </w:tcBorders>
            <w:shd w:val="clear" w:color="auto" w:fill="auto"/>
            <w:vAlign w:val="center"/>
            <w:hideMark/>
          </w:tcPr>
          <w:p w14:paraId="3E259502" w14:textId="7902D24A" w:rsidR="003E7493" w:rsidRPr="000C42E6" w:rsidRDefault="003E7493" w:rsidP="006E13FF">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Rectificaciones de Resultados de Ejercicios Anteriores</w:t>
            </w:r>
            <w:r w:rsidR="000C272D">
              <w:rPr>
                <w:rFonts w:ascii="Arial" w:eastAsia="Times New Roman" w:hAnsi="Arial" w:cs="Arial"/>
                <w:color w:val="000000"/>
                <w:sz w:val="20"/>
                <w:szCs w:val="20"/>
                <w:lang w:eastAsia="es-MX"/>
              </w:rPr>
              <w:t>:</w:t>
            </w:r>
          </w:p>
        </w:tc>
        <w:tc>
          <w:tcPr>
            <w:tcW w:w="1420" w:type="dxa"/>
            <w:tcBorders>
              <w:top w:val="nil"/>
              <w:left w:val="nil"/>
              <w:bottom w:val="single" w:sz="4" w:space="0" w:color="auto"/>
              <w:right w:val="nil"/>
            </w:tcBorders>
            <w:shd w:val="clear" w:color="auto" w:fill="auto"/>
            <w:vAlign w:val="center"/>
            <w:hideMark/>
          </w:tcPr>
          <w:p w14:paraId="42D237AE" w14:textId="77777777" w:rsidR="003E7493" w:rsidRPr="000C42E6" w:rsidRDefault="003E7493" w:rsidP="006E13FF">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-341,210,851</w:t>
            </w:r>
          </w:p>
        </w:tc>
        <w:tc>
          <w:tcPr>
            <w:tcW w:w="1421" w:type="dxa"/>
            <w:vMerge/>
            <w:tcBorders>
              <w:top w:val="nil"/>
              <w:left w:val="single" w:sz="4" w:space="0" w:color="auto"/>
              <w:bottom w:val="single" w:sz="4" w:space="0" w:color="auto"/>
              <w:right w:val="single" w:sz="4" w:space="0" w:color="auto"/>
            </w:tcBorders>
            <w:vAlign w:val="center"/>
            <w:hideMark/>
          </w:tcPr>
          <w:p w14:paraId="15AEF2C5" w14:textId="77777777" w:rsidR="003E7493" w:rsidRPr="000C42E6" w:rsidRDefault="003E7493" w:rsidP="006E13FF">
            <w:pPr>
              <w:spacing w:after="0" w:line="240" w:lineRule="auto"/>
              <w:rPr>
                <w:rFonts w:ascii="Arial" w:eastAsia="Times New Roman" w:hAnsi="Arial" w:cs="Arial"/>
                <w:b/>
                <w:bCs/>
                <w:color w:val="000000"/>
                <w:sz w:val="20"/>
                <w:szCs w:val="20"/>
                <w:lang w:eastAsia="es-MX"/>
              </w:rPr>
            </w:pPr>
          </w:p>
        </w:tc>
      </w:tr>
    </w:tbl>
    <w:tbl>
      <w:tblPr>
        <w:tblW w:w="10196" w:type="dxa"/>
        <w:jc w:val="center"/>
        <w:tblLayout w:type="fixed"/>
        <w:tblCellMar>
          <w:left w:w="70" w:type="dxa"/>
          <w:right w:w="70" w:type="dxa"/>
        </w:tblCellMar>
        <w:tblLook w:val="04A0" w:firstRow="1" w:lastRow="0" w:firstColumn="1" w:lastColumn="0" w:noHBand="0" w:noVBand="1"/>
      </w:tblPr>
      <w:tblGrid>
        <w:gridCol w:w="426"/>
        <w:gridCol w:w="6945"/>
        <w:gridCol w:w="1418"/>
        <w:gridCol w:w="1407"/>
      </w:tblGrid>
      <w:tr w:rsidR="000D3A27" w:rsidRPr="006E441C" w14:paraId="36AC8B05" w14:textId="77777777" w:rsidTr="0080602D">
        <w:trPr>
          <w:trHeight w:val="750"/>
          <w:jc w:val="center"/>
        </w:trPr>
        <w:tc>
          <w:tcPr>
            <w:tcW w:w="737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BC287B1" w14:textId="5D751E73" w:rsidR="000D3A27" w:rsidRPr="006E441C" w:rsidRDefault="000D3A27" w:rsidP="00B52912">
            <w:pPr>
              <w:spacing w:after="0" w:line="240" w:lineRule="auto"/>
              <w:jc w:val="center"/>
              <w:rPr>
                <w:rFonts w:ascii="Arial" w:eastAsia="Times New Roman" w:hAnsi="Arial" w:cs="Arial"/>
                <w:b/>
                <w:bCs/>
                <w:color w:val="000000"/>
                <w:sz w:val="20"/>
                <w:szCs w:val="20"/>
                <w:lang w:eastAsia="es-MX"/>
              </w:rPr>
            </w:pPr>
            <w:r w:rsidRPr="006E441C">
              <w:rPr>
                <w:rFonts w:ascii="Arial" w:eastAsia="Times New Roman" w:hAnsi="Arial" w:cs="Arial"/>
                <w:b/>
                <w:bCs/>
                <w:color w:val="000000"/>
                <w:sz w:val="20"/>
                <w:szCs w:val="20"/>
                <w:lang w:eastAsia="es-MX"/>
              </w:rPr>
              <w:t>Modificaciones al Patrimonio Generado</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20DC7987" w14:textId="77777777" w:rsidR="000D3A27" w:rsidRPr="006E441C" w:rsidRDefault="000D3A27" w:rsidP="00B52912">
            <w:pPr>
              <w:spacing w:after="0" w:line="240" w:lineRule="auto"/>
              <w:jc w:val="center"/>
              <w:rPr>
                <w:rFonts w:ascii="Arial" w:eastAsia="Times New Roman" w:hAnsi="Arial" w:cs="Arial"/>
                <w:b/>
                <w:bCs/>
                <w:color w:val="000000"/>
                <w:sz w:val="20"/>
                <w:szCs w:val="20"/>
                <w:lang w:eastAsia="es-MX"/>
              </w:rPr>
            </w:pPr>
            <w:r w:rsidRPr="006E441C">
              <w:rPr>
                <w:rFonts w:ascii="Arial" w:eastAsia="Times New Roman" w:hAnsi="Arial" w:cs="Arial"/>
                <w:b/>
                <w:bCs/>
                <w:color w:val="000000"/>
                <w:sz w:val="20"/>
                <w:szCs w:val="20"/>
                <w:lang w:eastAsia="es-MX"/>
              </w:rPr>
              <w:t>Variación del Rubro</w:t>
            </w:r>
          </w:p>
        </w:tc>
        <w:tc>
          <w:tcPr>
            <w:tcW w:w="1407" w:type="dxa"/>
            <w:tcBorders>
              <w:top w:val="single" w:sz="8" w:space="0" w:color="auto"/>
              <w:left w:val="nil"/>
              <w:bottom w:val="single" w:sz="8" w:space="0" w:color="auto"/>
              <w:right w:val="single" w:sz="8" w:space="0" w:color="auto"/>
            </w:tcBorders>
            <w:shd w:val="clear" w:color="000000" w:fill="D9D9D9"/>
            <w:vAlign w:val="center"/>
            <w:hideMark/>
          </w:tcPr>
          <w:p w14:paraId="452EFCFF" w14:textId="77777777" w:rsidR="000D3A27" w:rsidRPr="006E441C" w:rsidRDefault="000D3A27" w:rsidP="00B52912">
            <w:pPr>
              <w:spacing w:after="0" w:line="240" w:lineRule="auto"/>
              <w:jc w:val="center"/>
              <w:rPr>
                <w:rFonts w:ascii="Arial" w:eastAsia="Times New Roman" w:hAnsi="Arial" w:cs="Arial"/>
                <w:b/>
                <w:bCs/>
                <w:color w:val="000000"/>
                <w:sz w:val="20"/>
                <w:szCs w:val="20"/>
                <w:lang w:eastAsia="es-MX"/>
              </w:rPr>
            </w:pPr>
            <w:r w:rsidRPr="006E441C">
              <w:rPr>
                <w:rFonts w:ascii="Arial" w:eastAsia="Times New Roman" w:hAnsi="Arial" w:cs="Arial"/>
                <w:b/>
                <w:bCs/>
                <w:color w:val="000000"/>
                <w:sz w:val="20"/>
                <w:szCs w:val="20"/>
                <w:lang w:eastAsia="es-MX"/>
              </w:rPr>
              <w:t>Variación del Grupo</w:t>
            </w:r>
          </w:p>
        </w:tc>
      </w:tr>
      <w:tr w:rsidR="000D3A27" w:rsidRPr="006E441C" w14:paraId="75D11A23" w14:textId="77777777" w:rsidTr="006A2B01">
        <w:trPr>
          <w:trHeight w:val="209"/>
          <w:jc w:val="center"/>
        </w:trPr>
        <w:tc>
          <w:tcPr>
            <w:tcW w:w="1019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45E0421"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r w:rsidRPr="006E441C">
              <w:rPr>
                <w:rFonts w:ascii="Arial" w:eastAsia="Times New Roman" w:hAnsi="Arial" w:cs="Arial"/>
                <w:b/>
                <w:bCs/>
                <w:color w:val="000000"/>
                <w:sz w:val="20"/>
                <w:szCs w:val="20"/>
                <w:lang w:eastAsia="es-MX"/>
              </w:rPr>
              <w:t>Cambios por Errores Contables:</w:t>
            </w:r>
          </w:p>
        </w:tc>
      </w:tr>
      <w:tr w:rsidR="000D3A27" w:rsidRPr="006E441C" w14:paraId="01B1006E" w14:textId="77777777" w:rsidTr="0080602D">
        <w:trPr>
          <w:trHeight w:val="17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1E49ABC"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w:t>
            </w:r>
          </w:p>
        </w:tc>
        <w:tc>
          <w:tcPr>
            <w:tcW w:w="6945" w:type="dxa"/>
            <w:tcBorders>
              <w:top w:val="nil"/>
              <w:left w:val="nil"/>
              <w:bottom w:val="single" w:sz="8" w:space="0" w:color="auto"/>
              <w:right w:val="single" w:sz="8" w:space="0" w:color="auto"/>
            </w:tcBorders>
            <w:shd w:val="clear" w:color="auto" w:fill="auto"/>
            <w:vAlign w:val="center"/>
            <w:hideMark/>
          </w:tcPr>
          <w:p w14:paraId="6A111F65"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Reclasificación y registros contables de reintegros</w:t>
            </w:r>
          </w:p>
        </w:tc>
        <w:tc>
          <w:tcPr>
            <w:tcW w:w="1418" w:type="dxa"/>
            <w:tcBorders>
              <w:top w:val="nil"/>
              <w:left w:val="nil"/>
              <w:bottom w:val="single" w:sz="8" w:space="0" w:color="auto"/>
              <w:right w:val="single" w:sz="8" w:space="0" w:color="auto"/>
            </w:tcBorders>
            <w:shd w:val="clear" w:color="auto" w:fill="auto"/>
            <w:noWrap/>
            <w:vAlign w:val="center"/>
            <w:hideMark/>
          </w:tcPr>
          <w:p w14:paraId="2DEE64B2" w14:textId="77777777" w:rsidR="000D3A27" w:rsidRPr="006E441C" w:rsidRDefault="000D3A27" w:rsidP="00B52912">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57,265,797 </w:t>
            </w:r>
          </w:p>
        </w:tc>
        <w:tc>
          <w:tcPr>
            <w:tcW w:w="1407" w:type="dxa"/>
            <w:vMerge w:val="restart"/>
            <w:tcBorders>
              <w:top w:val="nil"/>
              <w:left w:val="single" w:sz="8" w:space="0" w:color="auto"/>
              <w:bottom w:val="single" w:sz="8" w:space="0" w:color="000000"/>
              <w:right w:val="single" w:sz="8" w:space="0" w:color="auto"/>
            </w:tcBorders>
            <w:shd w:val="clear" w:color="auto" w:fill="auto"/>
            <w:vAlign w:val="center"/>
            <w:hideMark/>
          </w:tcPr>
          <w:p w14:paraId="2D99D5EF" w14:textId="3193FB9B" w:rsidR="000D3A27" w:rsidRPr="006E441C" w:rsidRDefault="000D3A27" w:rsidP="00040063">
            <w:pPr>
              <w:spacing w:after="0" w:line="240" w:lineRule="auto"/>
              <w:jc w:val="center"/>
              <w:rPr>
                <w:rFonts w:ascii="Arial" w:eastAsia="Times New Roman" w:hAnsi="Arial" w:cs="Arial"/>
                <w:b/>
                <w:bCs/>
                <w:color w:val="000000"/>
                <w:sz w:val="20"/>
                <w:szCs w:val="20"/>
                <w:lang w:eastAsia="es-MX"/>
              </w:rPr>
            </w:pPr>
            <w:r w:rsidRPr="006E441C">
              <w:rPr>
                <w:rFonts w:ascii="Arial" w:eastAsia="Times New Roman" w:hAnsi="Arial" w:cs="Arial"/>
                <w:b/>
                <w:bCs/>
                <w:color w:val="000000"/>
                <w:sz w:val="20"/>
                <w:szCs w:val="20"/>
                <w:lang w:eastAsia="es-MX"/>
              </w:rPr>
              <w:t>-</w:t>
            </w:r>
          </w:p>
        </w:tc>
      </w:tr>
      <w:tr w:rsidR="000D3A27" w:rsidRPr="006E441C" w14:paraId="5CE661DA" w14:textId="77777777" w:rsidTr="0080602D">
        <w:trPr>
          <w:trHeight w:val="1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E6A1DD3"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2</w:t>
            </w:r>
          </w:p>
        </w:tc>
        <w:tc>
          <w:tcPr>
            <w:tcW w:w="6945" w:type="dxa"/>
            <w:tcBorders>
              <w:top w:val="nil"/>
              <w:left w:val="nil"/>
              <w:bottom w:val="single" w:sz="8" w:space="0" w:color="auto"/>
              <w:right w:val="single" w:sz="8" w:space="0" w:color="auto"/>
            </w:tcBorders>
            <w:shd w:val="clear" w:color="auto" w:fill="auto"/>
            <w:vAlign w:val="center"/>
            <w:hideMark/>
          </w:tcPr>
          <w:p w14:paraId="48072BC1"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Cancelación de pólizas diversas</w:t>
            </w:r>
          </w:p>
        </w:tc>
        <w:tc>
          <w:tcPr>
            <w:tcW w:w="1418" w:type="dxa"/>
            <w:tcBorders>
              <w:top w:val="nil"/>
              <w:left w:val="nil"/>
              <w:bottom w:val="single" w:sz="8" w:space="0" w:color="auto"/>
              <w:right w:val="single" w:sz="8" w:space="0" w:color="auto"/>
            </w:tcBorders>
            <w:shd w:val="clear" w:color="auto" w:fill="auto"/>
            <w:noWrap/>
            <w:vAlign w:val="center"/>
            <w:hideMark/>
          </w:tcPr>
          <w:p w14:paraId="56265E82" w14:textId="77777777" w:rsidR="000D3A27" w:rsidRPr="006E441C" w:rsidRDefault="000D3A27" w:rsidP="00B52912">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16,972,187 </w:t>
            </w:r>
          </w:p>
        </w:tc>
        <w:tc>
          <w:tcPr>
            <w:tcW w:w="1407" w:type="dxa"/>
            <w:vMerge/>
            <w:tcBorders>
              <w:top w:val="nil"/>
              <w:left w:val="single" w:sz="8" w:space="0" w:color="auto"/>
              <w:bottom w:val="single" w:sz="8" w:space="0" w:color="000000"/>
              <w:right w:val="single" w:sz="8" w:space="0" w:color="auto"/>
            </w:tcBorders>
            <w:vAlign w:val="center"/>
            <w:hideMark/>
          </w:tcPr>
          <w:p w14:paraId="19048170"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1AF9AA0A" w14:textId="77777777" w:rsidTr="0080602D">
        <w:trPr>
          <w:trHeight w:val="15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D44E2EE"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3</w:t>
            </w:r>
          </w:p>
        </w:tc>
        <w:tc>
          <w:tcPr>
            <w:tcW w:w="6945" w:type="dxa"/>
            <w:tcBorders>
              <w:top w:val="nil"/>
              <w:left w:val="nil"/>
              <w:bottom w:val="single" w:sz="8" w:space="0" w:color="auto"/>
              <w:right w:val="single" w:sz="8" w:space="0" w:color="auto"/>
            </w:tcBorders>
            <w:shd w:val="clear" w:color="auto" w:fill="auto"/>
            <w:vAlign w:val="center"/>
            <w:hideMark/>
          </w:tcPr>
          <w:p w14:paraId="26C28C2B"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Transferencia del día</w:t>
            </w:r>
          </w:p>
        </w:tc>
        <w:tc>
          <w:tcPr>
            <w:tcW w:w="1418" w:type="dxa"/>
            <w:tcBorders>
              <w:top w:val="nil"/>
              <w:left w:val="nil"/>
              <w:bottom w:val="single" w:sz="8" w:space="0" w:color="auto"/>
              <w:right w:val="single" w:sz="8" w:space="0" w:color="auto"/>
            </w:tcBorders>
            <w:shd w:val="clear" w:color="auto" w:fill="auto"/>
            <w:noWrap/>
            <w:vAlign w:val="center"/>
            <w:hideMark/>
          </w:tcPr>
          <w:p w14:paraId="108820F2"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7,658,776 </w:t>
            </w:r>
          </w:p>
        </w:tc>
        <w:tc>
          <w:tcPr>
            <w:tcW w:w="1407" w:type="dxa"/>
            <w:vMerge/>
            <w:tcBorders>
              <w:top w:val="nil"/>
              <w:left w:val="single" w:sz="8" w:space="0" w:color="auto"/>
              <w:bottom w:val="single" w:sz="8" w:space="0" w:color="000000"/>
              <w:right w:val="single" w:sz="8" w:space="0" w:color="auto"/>
            </w:tcBorders>
            <w:vAlign w:val="center"/>
            <w:hideMark/>
          </w:tcPr>
          <w:p w14:paraId="516496CA"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57F50FC6" w14:textId="77777777" w:rsidTr="0080602D">
        <w:trPr>
          <w:trHeight w:val="281"/>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6FCEF43"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4</w:t>
            </w:r>
          </w:p>
        </w:tc>
        <w:tc>
          <w:tcPr>
            <w:tcW w:w="6945" w:type="dxa"/>
            <w:tcBorders>
              <w:top w:val="nil"/>
              <w:left w:val="nil"/>
              <w:bottom w:val="single" w:sz="8" w:space="0" w:color="auto"/>
              <w:right w:val="single" w:sz="8" w:space="0" w:color="auto"/>
            </w:tcBorders>
            <w:shd w:val="clear" w:color="auto" w:fill="auto"/>
            <w:vAlign w:val="center"/>
            <w:hideMark/>
          </w:tcPr>
          <w:p w14:paraId="6073CEEE"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Regist</w:t>
            </w:r>
            <w:r>
              <w:rPr>
                <w:rFonts w:ascii="Arial" w:eastAsia="Times New Roman" w:hAnsi="Arial" w:cs="Arial"/>
                <w:color w:val="000000"/>
                <w:sz w:val="20"/>
                <w:szCs w:val="20"/>
                <w:lang w:eastAsia="es-MX"/>
              </w:rPr>
              <w:t>ro de ingresos propios de  Dependencia</w:t>
            </w:r>
            <w:r w:rsidRPr="006E441C">
              <w:rPr>
                <w:rFonts w:ascii="Arial" w:eastAsia="Times New Roman" w:hAnsi="Arial" w:cs="Arial"/>
                <w:color w:val="000000"/>
                <w:sz w:val="20"/>
                <w:szCs w:val="20"/>
                <w:lang w:eastAsia="es-MX"/>
              </w:rPr>
              <w:t>, Organismos Descentral</w:t>
            </w:r>
            <w:r>
              <w:rPr>
                <w:rFonts w:ascii="Arial" w:eastAsia="Times New Roman" w:hAnsi="Arial" w:cs="Arial"/>
                <w:color w:val="000000"/>
                <w:sz w:val="20"/>
                <w:szCs w:val="20"/>
                <w:lang w:eastAsia="es-MX"/>
              </w:rPr>
              <w:t>izados y Desconcentrados</w:t>
            </w:r>
            <w:r w:rsidRPr="006E441C">
              <w:rPr>
                <w:rFonts w:ascii="Arial" w:eastAsia="Times New Roman" w:hAnsi="Arial" w:cs="Arial"/>
                <w:color w:val="000000"/>
                <w:sz w:val="20"/>
                <w:szCs w:val="20"/>
                <w:lang w:eastAsia="es-MX"/>
              </w:rPr>
              <w:t>. Junio de 2024</w:t>
            </w:r>
          </w:p>
        </w:tc>
        <w:tc>
          <w:tcPr>
            <w:tcW w:w="1418" w:type="dxa"/>
            <w:tcBorders>
              <w:top w:val="nil"/>
              <w:left w:val="nil"/>
              <w:bottom w:val="single" w:sz="8" w:space="0" w:color="auto"/>
              <w:right w:val="single" w:sz="8" w:space="0" w:color="auto"/>
            </w:tcBorders>
            <w:shd w:val="clear" w:color="auto" w:fill="auto"/>
            <w:noWrap/>
            <w:vAlign w:val="center"/>
            <w:hideMark/>
          </w:tcPr>
          <w:p w14:paraId="55D66863"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3,742,224 </w:t>
            </w:r>
          </w:p>
        </w:tc>
        <w:tc>
          <w:tcPr>
            <w:tcW w:w="1407" w:type="dxa"/>
            <w:vMerge/>
            <w:tcBorders>
              <w:top w:val="nil"/>
              <w:left w:val="single" w:sz="8" w:space="0" w:color="auto"/>
              <w:bottom w:val="single" w:sz="8" w:space="0" w:color="000000"/>
              <w:right w:val="single" w:sz="8" w:space="0" w:color="auto"/>
            </w:tcBorders>
            <w:vAlign w:val="center"/>
            <w:hideMark/>
          </w:tcPr>
          <w:p w14:paraId="1D6F7555"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13AFA008" w14:textId="77777777" w:rsidTr="0080602D">
        <w:trPr>
          <w:trHeight w:val="74"/>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6F6B0D39"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5</w:t>
            </w:r>
          </w:p>
        </w:tc>
        <w:tc>
          <w:tcPr>
            <w:tcW w:w="6945" w:type="dxa"/>
            <w:tcBorders>
              <w:top w:val="nil"/>
              <w:left w:val="nil"/>
              <w:bottom w:val="single" w:sz="8" w:space="0" w:color="auto"/>
              <w:right w:val="single" w:sz="8" w:space="0" w:color="auto"/>
            </w:tcBorders>
            <w:shd w:val="clear" w:color="auto" w:fill="auto"/>
            <w:vAlign w:val="center"/>
            <w:hideMark/>
          </w:tcPr>
          <w:p w14:paraId="78E72BEE"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Productos financieros 2024</w:t>
            </w:r>
          </w:p>
        </w:tc>
        <w:tc>
          <w:tcPr>
            <w:tcW w:w="1418" w:type="dxa"/>
            <w:tcBorders>
              <w:top w:val="nil"/>
              <w:left w:val="nil"/>
              <w:bottom w:val="single" w:sz="8" w:space="0" w:color="auto"/>
              <w:right w:val="single" w:sz="8" w:space="0" w:color="auto"/>
            </w:tcBorders>
            <w:shd w:val="clear" w:color="auto" w:fill="auto"/>
            <w:noWrap/>
            <w:vAlign w:val="center"/>
            <w:hideMark/>
          </w:tcPr>
          <w:p w14:paraId="578D3CC6"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3,010,678 </w:t>
            </w:r>
          </w:p>
        </w:tc>
        <w:tc>
          <w:tcPr>
            <w:tcW w:w="1407" w:type="dxa"/>
            <w:vMerge/>
            <w:tcBorders>
              <w:top w:val="nil"/>
              <w:left w:val="single" w:sz="8" w:space="0" w:color="auto"/>
              <w:bottom w:val="single" w:sz="8" w:space="0" w:color="000000"/>
              <w:right w:val="single" w:sz="8" w:space="0" w:color="auto"/>
            </w:tcBorders>
            <w:vAlign w:val="center"/>
            <w:hideMark/>
          </w:tcPr>
          <w:p w14:paraId="606166BF"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3DD21F9A" w14:textId="77777777" w:rsidTr="0080602D">
        <w:trPr>
          <w:trHeight w:val="106"/>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39B02EF"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6</w:t>
            </w:r>
          </w:p>
        </w:tc>
        <w:tc>
          <w:tcPr>
            <w:tcW w:w="6945" w:type="dxa"/>
            <w:tcBorders>
              <w:top w:val="nil"/>
              <w:left w:val="nil"/>
              <w:bottom w:val="single" w:sz="8" w:space="0" w:color="auto"/>
              <w:right w:val="single" w:sz="8" w:space="0" w:color="auto"/>
            </w:tcBorders>
            <w:shd w:val="clear" w:color="auto" w:fill="auto"/>
            <w:vAlign w:val="center"/>
            <w:hideMark/>
          </w:tcPr>
          <w:p w14:paraId="7CCC7538"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Registro Contable por bonificación de comisión  de enero a diciembre 2024.</w:t>
            </w:r>
          </w:p>
        </w:tc>
        <w:tc>
          <w:tcPr>
            <w:tcW w:w="1418" w:type="dxa"/>
            <w:tcBorders>
              <w:top w:val="nil"/>
              <w:left w:val="nil"/>
              <w:bottom w:val="single" w:sz="8" w:space="0" w:color="auto"/>
              <w:right w:val="single" w:sz="8" w:space="0" w:color="auto"/>
            </w:tcBorders>
            <w:shd w:val="clear" w:color="auto" w:fill="auto"/>
            <w:noWrap/>
            <w:vAlign w:val="center"/>
            <w:hideMark/>
          </w:tcPr>
          <w:p w14:paraId="4AB9E2D9"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1,190,593 </w:t>
            </w:r>
          </w:p>
        </w:tc>
        <w:tc>
          <w:tcPr>
            <w:tcW w:w="1407" w:type="dxa"/>
            <w:vMerge/>
            <w:tcBorders>
              <w:top w:val="nil"/>
              <w:left w:val="single" w:sz="8" w:space="0" w:color="auto"/>
              <w:bottom w:val="single" w:sz="8" w:space="0" w:color="000000"/>
              <w:right w:val="single" w:sz="8" w:space="0" w:color="auto"/>
            </w:tcBorders>
            <w:vAlign w:val="center"/>
            <w:hideMark/>
          </w:tcPr>
          <w:p w14:paraId="58408243"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77E6A4F6" w14:textId="77777777" w:rsidTr="0080602D">
        <w:trPr>
          <w:trHeight w:val="138"/>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411339ED"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7</w:t>
            </w:r>
          </w:p>
        </w:tc>
        <w:tc>
          <w:tcPr>
            <w:tcW w:w="6945" w:type="dxa"/>
            <w:tcBorders>
              <w:top w:val="nil"/>
              <w:left w:val="nil"/>
              <w:bottom w:val="single" w:sz="8" w:space="0" w:color="auto"/>
              <w:right w:val="single" w:sz="8" w:space="0" w:color="auto"/>
            </w:tcBorders>
            <w:shd w:val="clear" w:color="auto" w:fill="auto"/>
            <w:vAlign w:val="center"/>
            <w:hideMark/>
          </w:tcPr>
          <w:p w14:paraId="19A210EB"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Reintegros y productos financieros de hidrocarburos</w:t>
            </w:r>
          </w:p>
        </w:tc>
        <w:tc>
          <w:tcPr>
            <w:tcW w:w="1418" w:type="dxa"/>
            <w:tcBorders>
              <w:top w:val="nil"/>
              <w:left w:val="nil"/>
              <w:bottom w:val="single" w:sz="8" w:space="0" w:color="auto"/>
              <w:right w:val="single" w:sz="8" w:space="0" w:color="auto"/>
            </w:tcBorders>
            <w:shd w:val="clear" w:color="auto" w:fill="auto"/>
            <w:noWrap/>
            <w:vAlign w:val="center"/>
            <w:hideMark/>
          </w:tcPr>
          <w:p w14:paraId="796FB659"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569,561 </w:t>
            </w:r>
          </w:p>
        </w:tc>
        <w:tc>
          <w:tcPr>
            <w:tcW w:w="1407" w:type="dxa"/>
            <w:vMerge/>
            <w:tcBorders>
              <w:top w:val="nil"/>
              <w:left w:val="single" w:sz="8" w:space="0" w:color="auto"/>
              <w:bottom w:val="single" w:sz="8" w:space="0" w:color="000000"/>
              <w:right w:val="single" w:sz="8" w:space="0" w:color="auto"/>
            </w:tcBorders>
            <w:vAlign w:val="center"/>
            <w:hideMark/>
          </w:tcPr>
          <w:p w14:paraId="4DB37043"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77FC171C" w14:textId="77777777" w:rsidTr="0080602D">
        <w:trPr>
          <w:trHeight w:val="311"/>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66535D69"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8</w:t>
            </w:r>
          </w:p>
        </w:tc>
        <w:tc>
          <w:tcPr>
            <w:tcW w:w="6945" w:type="dxa"/>
            <w:tcBorders>
              <w:top w:val="nil"/>
              <w:left w:val="nil"/>
              <w:bottom w:val="single" w:sz="8" w:space="0" w:color="auto"/>
              <w:right w:val="single" w:sz="8" w:space="0" w:color="auto"/>
            </w:tcBorders>
            <w:shd w:val="clear" w:color="auto" w:fill="auto"/>
            <w:vAlign w:val="center"/>
            <w:hideMark/>
          </w:tcPr>
          <w:p w14:paraId="273382A7"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Transf</w:t>
            </w:r>
            <w:r>
              <w:rPr>
                <w:rFonts w:ascii="Arial" w:eastAsia="Times New Roman" w:hAnsi="Arial" w:cs="Arial"/>
                <w:color w:val="000000"/>
                <w:sz w:val="20"/>
                <w:szCs w:val="20"/>
                <w:lang w:eastAsia="es-MX"/>
              </w:rPr>
              <w:t>erencia</w:t>
            </w:r>
            <w:r w:rsidRPr="006E441C">
              <w:rPr>
                <w:rFonts w:ascii="Arial" w:eastAsia="Times New Roman" w:hAnsi="Arial" w:cs="Arial"/>
                <w:color w:val="000000"/>
                <w:sz w:val="20"/>
                <w:szCs w:val="20"/>
                <w:lang w:eastAsia="es-MX"/>
              </w:rPr>
              <w:t xml:space="preserve"> inter </w:t>
            </w:r>
            <w:proofErr w:type="spellStart"/>
            <w:r w:rsidRPr="006E441C">
              <w:rPr>
                <w:rFonts w:ascii="Arial" w:eastAsia="Times New Roman" w:hAnsi="Arial" w:cs="Arial"/>
                <w:color w:val="000000"/>
                <w:sz w:val="20"/>
                <w:szCs w:val="20"/>
                <w:lang w:eastAsia="es-MX"/>
              </w:rPr>
              <w:t>spei</w:t>
            </w:r>
            <w:proofErr w:type="spellEnd"/>
            <w:r w:rsidRPr="006E441C">
              <w:rPr>
                <w:rFonts w:ascii="Arial" w:eastAsia="Times New Roman" w:hAnsi="Arial" w:cs="Arial"/>
                <w:color w:val="000000"/>
                <w:sz w:val="20"/>
                <w:szCs w:val="20"/>
                <w:lang w:eastAsia="es-MX"/>
              </w:rPr>
              <w:t xml:space="preserve"> pago de actuali</w:t>
            </w:r>
            <w:r>
              <w:rPr>
                <w:rFonts w:ascii="Arial" w:eastAsia="Times New Roman" w:hAnsi="Arial" w:cs="Arial"/>
                <w:color w:val="000000"/>
                <w:sz w:val="20"/>
                <w:szCs w:val="20"/>
                <w:lang w:eastAsia="es-MX"/>
              </w:rPr>
              <w:t>zación</w:t>
            </w:r>
            <w:r w:rsidRPr="006E441C">
              <w:rPr>
                <w:rFonts w:ascii="Arial" w:eastAsia="Times New Roman" w:hAnsi="Arial" w:cs="Arial"/>
                <w:color w:val="000000"/>
                <w:sz w:val="20"/>
                <w:szCs w:val="20"/>
                <w:lang w:eastAsia="es-MX"/>
              </w:rPr>
              <w:t>   jun grupo operador de alimentos  18 jun 2024</w:t>
            </w:r>
          </w:p>
        </w:tc>
        <w:tc>
          <w:tcPr>
            <w:tcW w:w="1418" w:type="dxa"/>
            <w:tcBorders>
              <w:top w:val="nil"/>
              <w:left w:val="nil"/>
              <w:bottom w:val="single" w:sz="8" w:space="0" w:color="auto"/>
              <w:right w:val="single" w:sz="8" w:space="0" w:color="auto"/>
            </w:tcBorders>
            <w:shd w:val="clear" w:color="000000" w:fill="FFFFFF"/>
            <w:noWrap/>
            <w:vAlign w:val="center"/>
            <w:hideMark/>
          </w:tcPr>
          <w:p w14:paraId="7E27FDA8"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223,817 </w:t>
            </w:r>
          </w:p>
        </w:tc>
        <w:tc>
          <w:tcPr>
            <w:tcW w:w="1407" w:type="dxa"/>
            <w:vMerge/>
            <w:tcBorders>
              <w:top w:val="nil"/>
              <w:left w:val="single" w:sz="8" w:space="0" w:color="auto"/>
              <w:bottom w:val="single" w:sz="8" w:space="0" w:color="000000"/>
              <w:right w:val="single" w:sz="8" w:space="0" w:color="auto"/>
            </w:tcBorders>
            <w:vAlign w:val="center"/>
            <w:hideMark/>
          </w:tcPr>
          <w:p w14:paraId="5F3B10B0"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0C416B54" w14:textId="77777777" w:rsidTr="0080602D">
        <w:trPr>
          <w:trHeight w:val="381"/>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D0F91F2"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lastRenderedPageBreak/>
              <w:t>9</w:t>
            </w:r>
          </w:p>
        </w:tc>
        <w:tc>
          <w:tcPr>
            <w:tcW w:w="6945" w:type="dxa"/>
            <w:tcBorders>
              <w:top w:val="nil"/>
              <w:left w:val="nil"/>
              <w:bottom w:val="single" w:sz="8" w:space="0" w:color="auto"/>
              <w:right w:val="single" w:sz="8" w:space="0" w:color="auto"/>
            </w:tcBorders>
            <w:shd w:val="clear" w:color="auto" w:fill="auto"/>
            <w:vAlign w:val="center"/>
            <w:hideMark/>
          </w:tcPr>
          <w:p w14:paraId="795EC5A8" w14:textId="77777777" w:rsidR="000D3A27" w:rsidRPr="006E441C" w:rsidRDefault="000D3A27" w:rsidP="00B52912">
            <w:pPr>
              <w:spacing w:after="0" w:line="240" w:lineRule="auto"/>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Abono transferencia enlace de  reintegro de recursos  del ejercicio 2023 de SOTOP</w:t>
            </w:r>
          </w:p>
        </w:tc>
        <w:tc>
          <w:tcPr>
            <w:tcW w:w="1418" w:type="dxa"/>
            <w:tcBorders>
              <w:top w:val="nil"/>
              <w:left w:val="nil"/>
              <w:bottom w:val="single" w:sz="8" w:space="0" w:color="auto"/>
              <w:right w:val="single" w:sz="8" w:space="0" w:color="auto"/>
            </w:tcBorders>
            <w:shd w:val="clear" w:color="000000" w:fill="FFFFFF"/>
            <w:noWrap/>
            <w:vAlign w:val="center"/>
            <w:hideMark/>
          </w:tcPr>
          <w:p w14:paraId="43D1A894"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107,304 </w:t>
            </w:r>
          </w:p>
        </w:tc>
        <w:tc>
          <w:tcPr>
            <w:tcW w:w="1407" w:type="dxa"/>
            <w:vMerge/>
            <w:tcBorders>
              <w:top w:val="nil"/>
              <w:left w:val="single" w:sz="8" w:space="0" w:color="auto"/>
              <w:bottom w:val="single" w:sz="8" w:space="0" w:color="000000"/>
              <w:right w:val="single" w:sz="8" w:space="0" w:color="auto"/>
            </w:tcBorders>
            <w:vAlign w:val="center"/>
            <w:hideMark/>
          </w:tcPr>
          <w:p w14:paraId="5D3D1AFE"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175375BC" w14:textId="77777777" w:rsidTr="0080602D">
        <w:trPr>
          <w:trHeight w:val="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44BF1BF4"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10</w:t>
            </w:r>
          </w:p>
        </w:tc>
        <w:tc>
          <w:tcPr>
            <w:tcW w:w="6945" w:type="dxa"/>
            <w:tcBorders>
              <w:top w:val="nil"/>
              <w:left w:val="nil"/>
              <w:bottom w:val="single" w:sz="8" w:space="0" w:color="auto"/>
              <w:right w:val="single" w:sz="8" w:space="0" w:color="auto"/>
            </w:tcBorders>
            <w:shd w:val="clear" w:color="auto" w:fill="auto"/>
            <w:vAlign w:val="center"/>
            <w:hideMark/>
          </w:tcPr>
          <w:p w14:paraId="72A04072" w14:textId="77777777" w:rsidR="000D3A27" w:rsidRPr="006E441C" w:rsidRDefault="000D3A27" w:rsidP="00B52912">
            <w:pPr>
              <w:spacing w:after="0" w:line="240" w:lineRule="auto"/>
              <w:rPr>
                <w:rFonts w:ascii="Arial" w:eastAsia="Times New Roman" w:hAnsi="Arial" w:cs="Arial"/>
                <w:color w:val="000000"/>
                <w:sz w:val="20"/>
                <w:szCs w:val="20"/>
                <w:lang w:eastAsia="es-MX"/>
              </w:rPr>
            </w:pPr>
            <w:proofErr w:type="spellStart"/>
            <w:r w:rsidRPr="006E441C">
              <w:rPr>
                <w:rFonts w:ascii="Arial" w:eastAsia="Times New Roman" w:hAnsi="Arial" w:cs="Arial"/>
                <w:color w:val="000000"/>
                <w:sz w:val="20"/>
                <w:szCs w:val="20"/>
                <w:lang w:eastAsia="es-MX"/>
              </w:rPr>
              <w:t>Spei</w:t>
            </w:r>
            <w:proofErr w:type="spellEnd"/>
            <w:r w:rsidRPr="006E441C">
              <w:rPr>
                <w:rFonts w:ascii="Arial" w:eastAsia="Times New Roman" w:hAnsi="Arial" w:cs="Arial"/>
                <w:color w:val="000000"/>
                <w:sz w:val="20"/>
                <w:szCs w:val="20"/>
                <w:lang w:eastAsia="es-MX"/>
              </w:rPr>
              <w:t xml:space="preserve"> recibido Bancos  cliente Tribunal Superior, Gobierno del Estado 2024</w:t>
            </w:r>
          </w:p>
        </w:tc>
        <w:tc>
          <w:tcPr>
            <w:tcW w:w="1418" w:type="dxa"/>
            <w:tcBorders>
              <w:top w:val="nil"/>
              <w:left w:val="nil"/>
              <w:bottom w:val="single" w:sz="8" w:space="0" w:color="auto"/>
              <w:right w:val="single" w:sz="8" w:space="0" w:color="auto"/>
            </w:tcBorders>
            <w:shd w:val="clear" w:color="000000" w:fill="FFFFFF"/>
            <w:noWrap/>
            <w:vAlign w:val="center"/>
            <w:hideMark/>
          </w:tcPr>
          <w:p w14:paraId="08D54955" w14:textId="77777777" w:rsidR="000D3A27" w:rsidRPr="006E441C" w:rsidRDefault="000D3A27" w:rsidP="00B52912">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76,542 </w:t>
            </w:r>
          </w:p>
        </w:tc>
        <w:tc>
          <w:tcPr>
            <w:tcW w:w="1407" w:type="dxa"/>
            <w:vMerge/>
            <w:tcBorders>
              <w:top w:val="nil"/>
              <w:left w:val="single" w:sz="8" w:space="0" w:color="auto"/>
              <w:bottom w:val="single" w:sz="8" w:space="0" w:color="000000"/>
              <w:right w:val="single" w:sz="8" w:space="0" w:color="auto"/>
            </w:tcBorders>
            <w:vAlign w:val="center"/>
            <w:hideMark/>
          </w:tcPr>
          <w:p w14:paraId="796AF55A"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54B470A7" w14:textId="77777777" w:rsidTr="0080602D">
        <w:trPr>
          <w:trHeight w:val="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7D86078"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11</w:t>
            </w:r>
          </w:p>
        </w:tc>
        <w:tc>
          <w:tcPr>
            <w:tcW w:w="6945" w:type="dxa"/>
            <w:tcBorders>
              <w:top w:val="nil"/>
              <w:left w:val="nil"/>
              <w:bottom w:val="single" w:sz="8" w:space="0" w:color="auto"/>
              <w:right w:val="single" w:sz="8" w:space="0" w:color="auto"/>
            </w:tcBorders>
            <w:shd w:val="clear" w:color="auto" w:fill="auto"/>
            <w:vAlign w:val="center"/>
            <w:hideMark/>
          </w:tcPr>
          <w:p w14:paraId="42F9DE1E" w14:textId="77777777" w:rsidR="000D3A27" w:rsidRPr="006E441C" w:rsidRDefault="000D3A27" w:rsidP="00B52912">
            <w:pPr>
              <w:spacing w:after="0" w:line="240" w:lineRule="auto"/>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S</w:t>
            </w:r>
            <w:r w:rsidRPr="006E441C">
              <w:rPr>
                <w:rFonts w:ascii="Arial" w:eastAsia="Times New Roman" w:hAnsi="Arial" w:cs="Arial"/>
                <w:color w:val="000000"/>
                <w:sz w:val="20"/>
                <w:szCs w:val="20"/>
                <w:lang w:eastAsia="es-MX"/>
              </w:rPr>
              <w:t>pe</w:t>
            </w:r>
            <w:r>
              <w:rPr>
                <w:rFonts w:ascii="Arial" w:eastAsia="Times New Roman" w:hAnsi="Arial" w:cs="Arial"/>
                <w:color w:val="000000"/>
                <w:sz w:val="20"/>
                <w:szCs w:val="20"/>
                <w:lang w:eastAsia="es-MX"/>
              </w:rPr>
              <w:t>i</w:t>
            </w:r>
            <w:proofErr w:type="spellEnd"/>
            <w:r>
              <w:rPr>
                <w:rFonts w:ascii="Arial" w:eastAsia="Times New Roman" w:hAnsi="Arial" w:cs="Arial"/>
                <w:color w:val="000000"/>
                <w:sz w:val="20"/>
                <w:szCs w:val="20"/>
                <w:lang w:eastAsia="es-MX"/>
              </w:rPr>
              <w:t xml:space="preserve"> recibido VICOP municipios de J</w:t>
            </w:r>
            <w:r w:rsidRPr="006E441C">
              <w:rPr>
                <w:rFonts w:ascii="Arial" w:eastAsia="Times New Roman" w:hAnsi="Arial" w:cs="Arial"/>
                <w:color w:val="000000"/>
                <w:sz w:val="20"/>
                <w:szCs w:val="20"/>
                <w:lang w:eastAsia="es-MX"/>
              </w:rPr>
              <w:t>alpa de Méndez fondo del 29/03/23</w:t>
            </w:r>
          </w:p>
        </w:tc>
        <w:tc>
          <w:tcPr>
            <w:tcW w:w="1418" w:type="dxa"/>
            <w:tcBorders>
              <w:top w:val="nil"/>
              <w:left w:val="nil"/>
              <w:bottom w:val="single" w:sz="8" w:space="0" w:color="auto"/>
              <w:right w:val="single" w:sz="8" w:space="0" w:color="auto"/>
            </w:tcBorders>
            <w:shd w:val="clear" w:color="000000" w:fill="FFFFFF"/>
            <w:noWrap/>
            <w:vAlign w:val="center"/>
            <w:hideMark/>
          </w:tcPr>
          <w:p w14:paraId="06CB0EED"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12,352 </w:t>
            </w:r>
          </w:p>
        </w:tc>
        <w:tc>
          <w:tcPr>
            <w:tcW w:w="1407" w:type="dxa"/>
            <w:vMerge/>
            <w:tcBorders>
              <w:top w:val="nil"/>
              <w:left w:val="single" w:sz="8" w:space="0" w:color="auto"/>
              <w:bottom w:val="single" w:sz="8" w:space="0" w:color="000000"/>
              <w:right w:val="single" w:sz="8" w:space="0" w:color="auto"/>
            </w:tcBorders>
            <w:vAlign w:val="center"/>
            <w:hideMark/>
          </w:tcPr>
          <w:p w14:paraId="37084E66"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05ED4D61" w14:textId="77777777" w:rsidTr="0080602D">
        <w:trPr>
          <w:trHeight w:val="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9528917"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12</w:t>
            </w:r>
          </w:p>
        </w:tc>
        <w:tc>
          <w:tcPr>
            <w:tcW w:w="6945" w:type="dxa"/>
            <w:tcBorders>
              <w:top w:val="nil"/>
              <w:left w:val="nil"/>
              <w:bottom w:val="single" w:sz="8" w:space="0" w:color="auto"/>
              <w:right w:val="single" w:sz="8" w:space="0" w:color="auto"/>
            </w:tcBorders>
            <w:shd w:val="clear" w:color="auto" w:fill="auto"/>
            <w:vAlign w:val="center"/>
            <w:hideMark/>
          </w:tcPr>
          <w:p w14:paraId="5E6209B3"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Actualiz</w:t>
            </w:r>
            <w:r>
              <w:rPr>
                <w:rFonts w:ascii="Arial" w:eastAsia="Times New Roman" w:hAnsi="Arial" w:cs="Arial"/>
                <w:color w:val="000000"/>
                <w:sz w:val="20"/>
                <w:szCs w:val="20"/>
                <w:lang w:eastAsia="es-MX"/>
              </w:rPr>
              <w:t>ación de importe de no inventario de INJUDET</w:t>
            </w:r>
          </w:p>
        </w:tc>
        <w:tc>
          <w:tcPr>
            <w:tcW w:w="1418" w:type="dxa"/>
            <w:tcBorders>
              <w:top w:val="nil"/>
              <w:left w:val="nil"/>
              <w:bottom w:val="single" w:sz="8" w:space="0" w:color="auto"/>
              <w:right w:val="single" w:sz="8" w:space="0" w:color="auto"/>
            </w:tcBorders>
            <w:shd w:val="clear" w:color="000000" w:fill="FFFFFF"/>
            <w:noWrap/>
            <w:vAlign w:val="center"/>
            <w:hideMark/>
          </w:tcPr>
          <w:p w14:paraId="721B09C4"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750 </w:t>
            </w:r>
          </w:p>
        </w:tc>
        <w:tc>
          <w:tcPr>
            <w:tcW w:w="1407" w:type="dxa"/>
            <w:vMerge/>
            <w:tcBorders>
              <w:top w:val="nil"/>
              <w:left w:val="single" w:sz="8" w:space="0" w:color="auto"/>
              <w:bottom w:val="single" w:sz="8" w:space="0" w:color="000000"/>
              <w:right w:val="single" w:sz="8" w:space="0" w:color="auto"/>
            </w:tcBorders>
            <w:vAlign w:val="center"/>
            <w:hideMark/>
          </w:tcPr>
          <w:p w14:paraId="12529A12"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42FEADE2" w14:textId="77777777" w:rsidTr="0080602D">
        <w:trPr>
          <w:trHeight w:val="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BBE357C"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13</w:t>
            </w:r>
          </w:p>
        </w:tc>
        <w:tc>
          <w:tcPr>
            <w:tcW w:w="6945" w:type="dxa"/>
            <w:tcBorders>
              <w:top w:val="nil"/>
              <w:left w:val="nil"/>
              <w:bottom w:val="single" w:sz="8" w:space="0" w:color="auto"/>
              <w:right w:val="single" w:sz="8" w:space="0" w:color="auto"/>
            </w:tcBorders>
            <w:shd w:val="clear" w:color="auto" w:fill="auto"/>
            <w:vAlign w:val="center"/>
            <w:hideMark/>
          </w:tcPr>
          <w:p w14:paraId="4B16DF8A"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Diversos movimientos</w:t>
            </w:r>
          </w:p>
        </w:tc>
        <w:tc>
          <w:tcPr>
            <w:tcW w:w="1418" w:type="dxa"/>
            <w:tcBorders>
              <w:top w:val="nil"/>
              <w:left w:val="nil"/>
              <w:bottom w:val="single" w:sz="8" w:space="0" w:color="auto"/>
              <w:right w:val="single" w:sz="8" w:space="0" w:color="auto"/>
            </w:tcBorders>
            <w:shd w:val="clear" w:color="000000" w:fill="FFFFFF"/>
            <w:noWrap/>
            <w:vAlign w:val="center"/>
            <w:hideMark/>
          </w:tcPr>
          <w:p w14:paraId="478A96F6"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6,129 </w:t>
            </w:r>
          </w:p>
        </w:tc>
        <w:tc>
          <w:tcPr>
            <w:tcW w:w="1407" w:type="dxa"/>
            <w:vMerge/>
            <w:tcBorders>
              <w:top w:val="nil"/>
              <w:left w:val="single" w:sz="8" w:space="0" w:color="auto"/>
              <w:bottom w:val="single" w:sz="8" w:space="0" w:color="000000"/>
              <w:right w:val="single" w:sz="8" w:space="0" w:color="auto"/>
            </w:tcBorders>
            <w:vAlign w:val="center"/>
            <w:hideMark/>
          </w:tcPr>
          <w:p w14:paraId="2ACE2F70"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407C7E87" w14:textId="77777777" w:rsidTr="0080602D">
        <w:trPr>
          <w:trHeight w:val="198"/>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3F619AE8"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14</w:t>
            </w:r>
          </w:p>
        </w:tc>
        <w:tc>
          <w:tcPr>
            <w:tcW w:w="6945" w:type="dxa"/>
            <w:tcBorders>
              <w:top w:val="nil"/>
              <w:left w:val="nil"/>
              <w:bottom w:val="single" w:sz="8" w:space="0" w:color="auto"/>
              <w:right w:val="single" w:sz="8" w:space="0" w:color="auto"/>
            </w:tcBorders>
            <w:shd w:val="clear" w:color="auto" w:fill="auto"/>
            <w:vAlign w:val="center"/>
            <w:hideMark/>
          </w:tcPr>
          <w:p w14:paraId="1E808E06"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Ajuste por reintegro ; no descontado en el recibo correspondiente</w:t>
            </w:r>
          </w:p>
        </w:tc>
        <w:tc>
          <w:tcPr>
            <w:tcW w:w="1418" w:type="dxa"/>
            <w:tcBorders>
              <w:top w:val="nil"/>
              <w:left w:val="nil"/>
              <w:bottom w:val="single" w:sz="8" w:space="0" w:color="auto"/>
              <w:right w:val="single" w:sz="8" w:space="0" w:color="auto"/>
            </w:tcBorders>
            <w:shd w:val="clear" w:color="000000" w:fill="FFFFFF"/>
            <w:noWrap/>
            <w:vAlign w:val="center"/>
            <w:hideMark/>
          </w:tcPr>
          <w:p w14:paraId="44D54A8E"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15,723 </w:t>
            </w:r>
          </w:p>
        </w:tc>
        <w:tc>
          <w:tcPr>
            <w:tcW w:w="1407" w:type="dxa"/>
            <w:vMerge/>
            <w:tcBorders>
              <w:top w:val="nil"/>
              <w:left w:val="single" w:sz="8" w:space="0" w:color="auto"/>
              <w:bottom w:val="single" w:sz="8" w:space="0" w:color="000000"/>
              <w:right w:val="single" w:sz="8" w:space="0" w:color="auto"/>
            </w:tcBorders>
            <w:vAlign w:val="center"/>
            <w:hideMark/>
          </w:tcPr>
          <w:p w14:paraId="459A0346"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4B8FE5E1" w14:textId="77777777" w:rsidTr="0080602D">
        <w:trPr>
          <w:trHeight w:val="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30EE2AE"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15</w:t>
            </w:r>
          </w:p>
        </w:tc>
        <w:tc>
          <w:tcPr>
            <w:tcW w:w="6945" w:type="dxa"/>
            <w:tcBorders>
              <w:top w:val="nil"/>
              <w:left w:val="nil"/>
              <w:bottom w:val="single" w:sz="8" w:space="0" w:color="auto"/>
              <w:right w:val="single" w:sz="8" w:space="0" w:color="auto"/>
            </w:tcBorders>
            <w:shd w:val="clear" w:color="auto" w:fill="auto"/>
            <w:vAlign w:val="center"/>
            <w:hideMark/>
          </w:tcPr>
          <w:p w14:paraId="6D1AD452"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Ajuste por devolución de ingresos</w:t>
            </w:r>
          </w:p>
        </w:tc>
        <w:tc>
          <w:tcPr>
            <w:tcW w:w="1418" w:type="dxa"/>
            <w:tcBorders>
              <w:top w:val="nil"/>
              <w:left w:val="nil"/>
              <w:bottom w:val="single" w:sz="8" w:space="0" w:color="auto"/>
              <w:right w:val="single" w:sz="8" w:space="0" w:color="auto"/>
            </w:tcBorders>
            <w:shd w:val="clear" w:color="000000" w:fill="FFFFFF"/>
            <w:noWrap/>
            <w:vAlign w:val="center"/>
            <w:hideMark/>
          </w:tcPr>
          <w:p w14:paraId="395046F4"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177,517 </w:t>
            </w:r>
          </w:p>
        </w:tc>
        <w:tc>
          <w:tcPr>
            <w:tcW w:w="1407" w:type="dxa"/>
            <w:vMerge/>
            <w:tcBorders>
              <w:top w:val="nil"/>
              <w:left w:val="single" w:sz="8" w:space="0" w:color="auto"/>
              <w:bottom w:val="single" w:sz="8" w:space="0" w:color="000000"/>
              <w:right w:val="single" w:sz="8" w:space="0" w:color="auto"/>
            </w:tcBorders>
            <w:vAlign w:val="center"/>
            <w:hideMark/>
          </w:tcPr>
          <w:p w14:paraId="57BEBE1B"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0CB8E5E4" w14:textId="77777777" w:rsidTr="0080602D">
        <w:trPr>
          <w:trHeight w:val="78"/>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6A72BAEF"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16</w:t>
            </w:r>
          </w:p>
        </w:tc>
        <w:tc>
          <w:tcPr>
            <w:tcW w:w="6945" w:type="dxa"/>
            <w:tcBorders>
              <w:top w:val="nil"/>
              <w:left w:val="nil"/>
              <w:bottom w:val="single" w:sz="8" w:space="0" w:color="auto"/>
              <w:right w:val="single" w:sz="8" w:space="0" w:color="auto"/>
            </w:tcBorders>
            <w:shd w:val="clear" w:color="auto" w:fill="auto"/>
            <w:vAlign w:val="center"/>
            <w:hideMark/>
          </w:tcPr>
          <w:p w14:paraId="4E7A46A1"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Reclasif</w:t>
            </w:r>
            <w:r>
              <w:rPr>
                <w:rFonts w:ascii="Arial" w:eastAsia="Times New Roman" w:hAnsi="Arial" w:cs="Arial"/>
                <w:color w:val="000000"/>
                <w:sz w:val="20"/>
                <w:szCs w:val="20"/>
                <w:lang w:eastAsia="es-MX"/>
              </w:rPr>
              <w:t>icación c</w:t>
            </w:r>
            <w:r w:rsidRPr="006E441C">
              <w:rPr>
                <w:rFonts w:ascii="Arial" w:eastAsia="Times New Roman" w:hAnsi="Arial" w:cs="Arial"/>
                <w:color w:val="000000"/>
                <w:sz w:val="20"/>
                <w:szCs w:val="20"/>
                <w:lang w:eastAsia="es-MX"/>
              </w:rPr>
              <w:t>onceptos de ejercicios anteriores</w:t>
            </w:r>
          </w:p>
        </w:tc>
        <w:tc>
          <w:tcPr>
            <w:tcW w:w="1418" w:type="dxa"/>
            <w:tcBorders>
              <w:top w:val="nil"/>
              <w:left w:val="nil"/>
              <w:bottom w:val="single" w:sz="8" w:space="0" w:color="auto"/>
              <w:right w:val="single" w:sz="8" w:space="0" w:color="auto"/>
            </w:tcBorders>
            <w:shd w:val="clear" w:color="000000" w:fill="FFFFFF"/>
            <w:noWrap/>
            <w:vAlign w:val="center"/>
            <w:hideMark/>
          </w:tcPr>
          <w:p w14:paraId="43F4663B"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269,594 </w:t>
            </w:r>
          </w:p>
        </w:tc>
        <w:tc>
          <w:tcPr>
            <w:tcW w:w="1407" w:type="dxa"/>
            <w:vMerge/>
            <w:tcBorders>
              <w:top w:val="nil"/>
              <w:left w:val="single" w:sz="8" w:space="0" w:color="auto"/>
              <w:bottom w:val="single" w:sz="8" w:space="0" w:color="000000"/>
              <w:right w:val="single" w:sz="8" w:space="0" w:color="auto"/>
            </w:tcBorders>
            <w:vAlign w:val="center"/>
            <w:hideMark/>
          </w:tcPr>
          <w:p w14:paraId="1202B3D0"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4177BE73" w14:textId="77777777" w:rsidTr="0080602D">
        <w:trPr>
          <w:trHeight w:val="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C581F91"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17</w:t>
            </w:r>
          </w:p>
        </w:tc>
        <w:tc>
          <w:tcPr>
            <w:tcW w:w="6945" w:type="dxa"/>
            <w:tcBorders>
              <w:top w:val="nil"/>
              <w:left w:val="nil"/>
              <w:bottom w:val="single" w:sz="8" w:space="0" w:color="auto"/>
              <w:right w:val="single" w:sz="8" w:space="0" w:color="auto"/>
            </w:tcBorders>
            <w:shd w:val="clear" w:color="auto" w:fill="auto"/>
            <w:vAlign w:val="center"/>
            <w:hideMark/>
          </w:tcPr>
          <w:p w14:paraId="4BBFB8F2"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Depuración de cuentas</w:t>
            </w:r>
          </w:p>
        </w:tc>
        <w:tc>
          <w:tcPr>
            <w:tcW w:w="1418" w:type="dxa"/>
            <w:tcBorders>
              <w:top w:val="nil"/>
              <w:left w:val="nil"/>
              <w:bottom w:val="single" w:sz="8" w:space="0" w:color="auto"/>
              <w:right w:val="single" w:sz="8" w:space="0" w:color="auto"/>
            </w:tcBorders>
            <w:shd w:val="clear" w:color="000000" w:fill="FFFFFF"/>
            <w:noWrap/>
            <w:vAlign w:val="center"/>
            <w:hideMark/>
          </w:tcPr>
          <w:p w14:paraId="1526E965"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1,078,160 </w:t>
            </w:r>
          </w:p>
        </w:tc>
        <w:tc>
          <w:tcPr>
            <w:tcW w:w="1407" w:type="dxa"/>
            <w:vMerge/>
            <w:tcBorders>
              <w:top w:val="nil"/>
              <w:left w:val="single" w:sz="8" w:space="0" w:color="auto"/>
              <w:bottom w:val="single" w:sz="8" w:space="0" w:color="000000"/>
              <w:right w:val="single" w:sz="8" w:space="0" w:color="auto"/>
            </w:tcBorders>
            <w:vAlign w:val="center"/>
            <w:hideMark/>
          </w:tcPr>
          <w:p w14:paraId="10D47421"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046150E0" w14:textId="77777777" w:rsidTr="0080602D">
        <w:trPr>
          <w:trHeight w:val="6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9D21EEA"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18</w:t>
            </w:r>
          </w:p>
        </w:tc>
        <w:tc>
          <w:tcPr>
            <w:tcW w:w="6945" w:type="dxa"/>
            <w:tcBorders>
              <w:top w:val="nil"/>
              <w:left w:val="nil"/>
              <w:bottom w:val="single" w:sz="8" w:space="0" w:color="auto"/>
              <w:right w:val="single" w:sz="8" w:space="0" w:color="auto"/>
            </w:tcBorders>
            <w:shd w:val="clear" w:color="auto" w:fill="auto"/>
            <w:vAlign w:val="center"/>
            <w:hideMark/>
          </w:tcPr>
          <w:p w14:paraId="7CF8C860"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Rec. Ajuste 281119 devoluciones ingresos</w:t>
            </w:r>
          </w:p>
        </w:tc>
        <w:tc>
          <w:tcPr>
            <w:tcW w:w="1418" w:type="dxa"/>
            <w:tcBorders>
              <w:top w:val="nil"/>
              <w:left w:val="nil"/>
              <w:bottom w:val="single" w:sz="8" w:space="0" w:color="auto"/>
              <w:right w:val="single" w:sz="8" w:space="0" w:color="auto"/>
            </w:tcBorders>
            <w:shd w:val="clear" w:color="000000" w:fill="FFFFFF"/>
            <w:noWrap/>
            <w:vAlign w:val="center"/>
            <w:hideMark/>
          </w:tcPr>
          <w:p w14:paraId="6F2C151D"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1,245,104 </w:t>
            </w:r>
          </w:p>
        </w:tc>
        <w:tc>
          <w:tcPr>
            <w:tcW w:w="1407" w:type="dxa"/>
            <w:vMerge/>
            <w:tcBorders>
              <w:top w:val="nil"/>
              <w:left w:val="single" w:sz="8" w:space="0" w:color="auto"/>
              <w:bottom w:val="single" w:sz="8" w:space="0" w:color="000000"/>
              <w:right w:val="single" w:sz="8" w:space="0" w:color="auto"/>
            </w:tcBorders>
            <w:vAlign w:val="center"/>
            <w:hideMark/>
          </w:tcPr>
          <w:p w14:paraId="0932FEB0"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5BA7C8CD" w14:textId="77777777" w:rsidTr="0080602D">
        <w:trPr>
          <w:trHeight w:val="358"/>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46857ED"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19</w:t>
            </w:r>
          </w:p>
        </w:tc>
        <w:tc>
          <w:tcPr>
            <w:tcW w:w="6945" w:type="dxa"/>
            <w:tcBorders>
              <w:top w:val="nil"/>
              <w:left w:val="nil"/>
              <w:bottom w:val="single" w:sz="8" w:space="0" w:color="auto"/>
              <w:right w:val="single" w:sz="8" w:space="0" w:color="auto"/>
            </w:tcBorders>
            <w:shd w:val="clear" w:color="auto" w:fill="auto"/>
            <w:vAlign w:val="center"/>
            <w:hideMark/>
          </w:tcPr>
          <w:p w14:paraId="5201DB90"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Registro contable  de ingresos no identificados correspondientes al ejercicio 2024.</w:t>
            </w:r>
          </w:p>
        </w:tc>
        <w:tc>
          <w:tcPr>
            <w:tcW w:w="1418" w:type="dxa"/>
            <w:tcBorders>
              <w:top w:val="nil"/>
              <w:left w:val="nil"/>
              <w:bottom w:val="single" w:sz="8" w:space="0" w:color="auto"/>
              <w:right w:val="single" w:sz="8" w:space="0" w:color="auto"/>
            </w:tcBorders>
            <w:shd w:val="clear" w:color="000000" w:fill="FFFFFF"/>
            <w:noWrap/>
            <w:vAlign w:val="center"/>
            <w:hideMark/>
          </w:tcPr>
          <w:p w14:paraId="2C51138E"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6,757,740 </w:t>
            </w:r>
          </w:p>
        </w:tc>
        <w:tc>
          <w:tcPr>
            <w:tcW w:w="1407" w:type="dxa"/>
            <w:vMerge/>
            <w:tcBorders>
              <w:top w:val="nil"/>
              <w:left w:val="single" w:sz="8" w:space="0" w:color="auto"/>
              <w:bottom w:val="single" w:sz="8" w:space="0" w:color="000000"/>
              <w:right w:val="single" w:sz="8" w:space="0" w:color="auto"/>
            </w:tcBorders>
            <w:vAlign w:val="center"/>
            <w:hideMark/>
          </w:tcPr>
          <w:p w14:paraId="3D680C2C"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7883099D" w14:textId="77777777" w:rsidTr="0080602D">
        <w:trPr>
          <w:trHeight w:val="166"/>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4ECF51FD"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20</w:t>
            </w:r>
          </w:p>
        </w:tc>
        <w:tc>
          <w:tcPr>
            <w:tcW w:w="6945" w:type="dxa"/>
            <w:tcBorders>
              <w:top w:val="nil"/>
              <w:left w:val="nil"/>
              <w:bottom w:val="single" w:sz="8" w:space="0" w:color="auto"/>
              <w:right w:val="single" w:sz="8" w:space="0" w:color="auto"/>
            </w:tcBorders>
            <w:shd w:val="clear" w:color="auto" w:fill="auto"/>
            <w:vAlign w:val="center"/>
            <w:hideMark/>
          </w:tcPr>
          <w:p w14:paraId="028937DF"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Revierte parcial del id </w:t>
            </w:r>
            <w:proofErr w:type="spellStart"/>
            <w:r>
              <w:rPr>
                <w:rFonts w:ascii="Arial" w:eastAsia="Times New Roman" w:hAnsi="Arial" w:cs="Arial"/>
                <w:color w:val="000000"/>
                <w:sz w:val="20"/>
                <w:szCs w:val="20"/>
                <w:lang w:eastAsia="es-MX"/>
              </w:rPr>
              <w:t>G</w:t>
            </w:r>
            <w:r w:rsidRPr="006E441C">
              <w:rPr>
                <w:rFonts w:ascii="Arial" w:eastAsia="Times New Roman" w:hAnsi="Arial" w:cs="Arial"/>
                <w:color w:val="000000"/>
                <w:sz w:val="20"/>
                <w:szCs w:val="20"/>
                <w:lang w:eastAsia="es-MX"/>
              </w:rPr>
              <w:t>et</w:t>
            </w:r>
            <w:proofErr w:type="spellEnd"/>
            <w:r w:rsidRPr="006E441C">
              <w:rPr>
                <w:rFonts w:ascii="Arial" w:eastAsia="Times New Roman" w:hAnsi="Arial" w:cs="Arial"/>
                <w:color w:val="000000"/>
                <w:sz w:val="20"/>
                <w:szCs w:val="20"/>
                <w:lang w:eastAsia="es-MX"/>
              </w:rPr>
              <w:t xml:space="preserve"> manual por duplicidad de registro.</w:t>
            </w:r>
          </w:p>
        </w:tc>
        <w:tc>
          <w:tcPr>
            <w:tcW w:w="1418" w:type="dxa"/>
            <w:tcBorders>
              <w:top w:val="nil"/>
              <w:left w:val="nil"/>
              <w:bottom w:val="single" w:sz="8" w:space="0" w:color="auto"/>
              <w:right w:val="single" w:sz="8" w:space="0" w:color="auto"/>
            </w:tcBorders>
            <w:shd w:val="clear" w:color="000000" w:fill="FFFFFF"/>
            <w:noWrap/>
            <w:vAlign w:val="center"/>
            <w:hideMark/>
          </w:tcPr>
          <w:p w14:paraId="65311B22"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7,032,842 </w:t>
            </w:r>
          </w:p>
        </w:tc>
        <w:tc>
          <w:tcPr>
            <w:tcW w:w="1407" w:type="dxa"/>
            <w:vMerge/>
            <w:tcBorders>
              <w:top w:val="nil"/>
              <w:left w:val="single" w:sz="8" w:space="0" w:color="auto"/>
              <w:bottom w:val="single" w:sz="8" w:space="0" w:color="000000"/>
              <w:right w:val="single" w:sz="8" w:space="0" w:color="auto"/>
            </w:tcBorders>
            <w:vAlign w:val="center"/>
            <w:hideMark/>
          </w:tcPr>
          <w:p w14:paraId="27EADF3E"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5A9C4072" w14:textId="77777777" w:rsidTr="0080602D">
        <w:trPr>
          <w:trHeight w:val="7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614BFCC"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21</w:t>
            </w:r>
          </w:p>
        </w:tc>
        <w:tc>
          <w:tcPr>
            <w:tcW w:w="6945" w:type="dxa"/>
            <w:tcBorders>
              <w:top w:val="nil"/>
              <w:left w:val="nil"/>
              <w:bottom w:val="single" w:sz="8" w:space="0" w:color="auto"/>
              <w:right w:val="single" w:sz="8" w:space="0" w:color="auto"/>
            </w:tcBorders>
            <w:shd w:val="clear" w:color="auto" w:fill="auto"/>
            <w:vAlign w:val="center"/>
            <w:hideMark/>
          </w:tcPr>
          <w:p w14:paraId="750EE75F"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Ping-2024 </w:t>
            </w:r>
            <w:proofErr w:type="spellStart"/>
            <w:r>
              <w:rPr>
                <w:rFonts w:ascii="Arial" w:eastAsia="Times New Roman" w:hAnsi="Arial" w:cs="Arial"/>
                <w:color w:val="000000"/>
                <w:sz w:val="20"/>
                <w:szCs w:val="20"/>
                <w:lang w:eastAsia="es-MX"/>
              </w:rPr>
              <w:t>G</w:t>
            </w:r>
            <w:r w:rsidRPr="006E441C">
              <w:rPr>
                <w:rFonts w:ascii="Arial" w:eastAsia="Times New Roman" w:hAnsi="Arial" w:cs="Arial"/>
                <w:color w:val="000000"/>
                <w:sz w:val="20"/>
                <w:szCs w:val="20"/>
                <w:lang w:eastAsia="es-MX"/>
              </w:rPr>
              <w:t>et</w:t>
            </w:r>
            <w:proofErr w:type="spellEnd"/>
            <w:r w:rsidRPr="006E441C">
              <w:rPr>
                <w:rFonts w:ascii="Arial" w:eastAsia="Times New Roman" w:hAnsi="Arial" w:cs="Arial"/>
                <w:color w:val="000000"/>
                <w:sz w:val="20"/>
                <w:szCs w:val="20"/>
                <w:lang w:eastAsia="es-MX"/>
              </w:rPr>
              <w:t xml:space="preserve"> ingreso recaudador</w:t>
            </w:r>
          </w:p>
        </w:tc>
        <w:tc>
          <w:tcPr>
            <w:tcW w:w="1418" w:type="dxa"/>
            <w:tcBorders>
              <w:top w:val="nil"/>
              <w:left w:val="nil"/>
              <w:bottom w:val="single" w:sz="8" w:space="0" w:color="auto"/>
              <w:right w:val="single" w:sz="8" w:space="0" w:color="auto"/>
            </w:tcBorders>
            <w:shd w:val="clear" w:color="000000" w:fill="FFFFFF"/>
            <w:noWrap/>
            <w:vAlign w:val="center"/>
            <w:hideMark/>
          </w:tcPr>
          <w:p w14:paraId="57CF27CA"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10,768,717 </w:t>
            </w:r>
          </w:p>
        </w:tc>
        <w:tc>
          <w:tcPr>
            <w:tcW w:w="1407" w:type="dxa"/>
            <w:vMerge/>
            <w:tcBorders>
              <w:top w:val="nil"/>
              <w:left w:val="single" w:sz="8" w:space="0" w:color="auto"/>
              <w:bottom w:val="single" w:sz="8" w:space="0" w:color="000000"/>
              <w:right w:val="single" w:sz="8" w:space="0" w:color="auto"/>
            </w:tcBorders>
            <w:vAlign w:val="center"/>
            <w:hideMark/>
          </w:tcPr>
          <w:p w14:paraId="41364906"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70BF9557" w14:textId="77777777" w:rsidTr="0080602D">
        <w:trPr>
          <w:trHeight w:val="274"/>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37614A61"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22</w:t>
            </w:r>
          </w:p>
        </w:tc>
        <w:tc>
          <w:tcPr>
            <w:tcW w:w="6945" w:type="dxa"/>
            <w:tcBorders>
              <w:top w:val="nil"/>
              <w:left w:val="nil"/>
              <w:bottom w:val="single" w:sz="8" w:space="0" w:color="auto"/>
              <w:right w:val="single" w:sz="8" w:space="0" w:color="auto"/>
            </w:tcBorders>
            <w:shd w:val="clear" w:color="auto" w:fill="auto"/>
            <w:vAlign w:val="center"/>
            <w:hideMark/>
          </w:tcPr>
          <w:p w14:paraId="2A6F3379"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Complemento de depreciación</w:t>
            </w:r>
          </w:p>
        </w:tc>
        <w:tc>
          <w:tcPr>
            <w:tcW w:w="1418" w:type="dxa"/>
            <w:tcBorders>
              <w:top w:val="nil"/>
              <w:left w:val="nil"/>
              <w:bottom w:val="single" w:sz="8" w:space="0" w:color="auto"/>
              <w:right w:val="single" w:sz="8" w:space="0" w:color="auto"/>
            </w:tcBorders>
            <w:shd w:val="clear" w:color="000000" w:fill="FFFFFF"/>
            <w:noWrap/>
            <w:vAlign w:val="center"/>
            <w:hideMark/>
          </w:tcPr>
          <w:p w14:paraId="07166055"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13,149,430 </w:t>
            </w:r>
          </w:p>
        </w:tc>
        <w:tc>
          <w:tcPr>
            <w:tcW w:w="1407" w:type="dxa"/>
            <w:vMerge/>
            <w:tcBorders>
              <w:top w:val="nil"/>
              <w:left w:val="single" w:sz="8" w:space="0" w:color="auto"/>
              <w:bottom w:val="single" w:sz="8" w:space="0" w:color="000000"/>
              <w:right w:val="single" w:sz="8" w:space="0" w:color="auto"/>
            </w:tcBorders>
            <w:vAlign w:val="center"/>
            <w:hideMark/>
          </w:tcPr>
          <w:p w14:paraId="007A5946"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109E0ED3" w14:textId="77777777" w:rsidTr="0080602D">
        <w:trPr>
          <w:trHeight w:val="510"/>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0D10C51"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23</w:t>
            </w:r>
          </w:p>
        </w:tc>
        <w:tc>
          <w:tcPr>
            <w:tcW w:w="6945" w:type="dxa"/>
            <w:tcBorders>
              <w:top w:val="nil"/>
              <w:left w:val="nil"/>
              <w:bottom w:val="single" w:sz="8" w:space="0" w:color="auto"/>
              <w:right w:val="single" w:sz="8" w:space="0" w:color="auto"/>
            </w:tcBorders>
            <w:shd w:val="clear" w:color="auto" w:fill="auto"/>
            <w:vAlign w:val="center"/>
            <w:hideMark/>
          </w:tcPr>
          <w:p w14:paraId="6ED2390B"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Provisión a la TESOFE</w:t>
            </w:r>
            <w:r w:rsidRPr="006E441C">
              <w:rPr>
                <w:rFonts w:ascii="Arial" w:eastAsia="Times New Roman" w:hAnsi="Arial" w:cs="Arial"/>
                <w:color w:val="000000"/>
                <w:sz w:val="20"/>
                <w:szCs w:val="20"/>
                <w:lang w:eastAsia="es-MX"/>
              </w:rPr>
              <w:t xml:space="preserve"> correspondiente a productos financieros del ejercicio 2025</w:t>
            </w:r>
          </w:p>
        </w:tc>
        <w:tc>
          <w:tcPr>
            <w:tcW w:w="1418" w:type="dxa"/>
            <w:tcBorders>
              <w:top w:val="nil"/>
              <w:left w:val="nil"/>
              <w:bottom w:val="single" w:sz="8" w:space="0" w:color="auto"/>
              <w:right w:val="single" w:sz="8" w:space="0" w:color="auto"/>
            </w:tcBorders>
            <w:shd w:val="clear" w:color="000000" w:fill="FFFFFF"/>
            <w:noWrap/>
            <w:vAlign w:val="center"/>
            <w:hideMark/>
          </w:tcPr>
          <w:p w14:paraId="11E34EFD"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50,123,334 </w:t>
            </w:r>
          </w:p>
        </w:tc>
        <w:tc>
          <w:tcPr>
            <w:tcW w:w="1407" w:type="dxa"/>
            <w:vMerge/>
            <w:tcBorders>
              <w:top w:val="nil"/>
              <w:left w:val="single" w:sz="8" w:space="0" w:color="auto"/>
              <w:bottom w:val="single" w:sz="8" w:space="0" w:color="000000"/>
              <w:right w:val="single" w:sz="8" w:space="0" w:color="auto"/>
            </w:tcBorders>
            <w:vAlign w:val="center"/>
            <w:hideMark/>
          </w:tcPr>
          <w:p w14:paraId="585A05D1"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7EBBE2E8" w14:textId="77777777" w:rsidTr="0080602D">
        <w:trPr>
          <w:trHeight w:val="2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AAB7DB6"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24</w:t>
            </w:r>
          </w:p>
        </w:tc>
        <w:tc>
          <w:tcPr>
            <w:tcW w:w="6945" w:type="dxa"/>
            <w:tcBorders>
              <w:top w:val="nil"/>
              <w:left w:val="nil"/>
              <w:bottom w:val="single" w:sz="8" w:space="0" w:color="auto"/>
              <w:right w:val="single" w:sz="8" w:space="0" w:color="auto"/>
            </w:tcBorders>
            <w:shd w:val="clear" w:color="auto" w:fill="auto"/>
            <w:vAlign w:val="center"/>
            <w:hideMark/>
          </w:tcPr>
          <w:p w14:paraId="4002666A" w14:textId="77777777"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Comprobación extemporánea de dotación de combustible y asfalto</w:t>
            </w:r>
          </w:p>
        </w:tc>
        <w:tc>
          <w:tcPr>
            <w:tcW w:w="1418" w:type="dxa"/>
            <w:tcBorders>
              <w:top w:val="nil"/>
              <w:left w:val="nil"/>
              <w:bottom w:val="single" w:sz="8" w:space="0" w:color="auto"/>
              <w:right w:val="single" w:sz="8" w:space="0" w:color="auto"/>
            </w:tcBorders>
            <w:shd w:val="clear" w:color="000000" w:fill="FFFFFF"/>
            <w:noWrap/>
            <w:vAlign w:val="center"/>
            <w:hideMark/>
          </w:tcPr>
          <w:p w14:paraId="371FCC4C"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- 124,775,529 </w:t>
            </w:r>
          </w:p>
        </w:tc>
        <w:tc>
          <w:tcPr>
            <w:tcW w:w="1407" w:type="dxa"/>
            <w:vMerge/>
            <w:tcBorders>
              <w:top w:val="nil"/>
              <w:left w:val="single" w:sz="8" w:space="0" w:color="auto"/>
              <w:bottom w:val="single" w:sz="8" w:space="0" w:color="000000"/>
              <w:right w:val="single" w:sz="8" w:space="0" w:color="auto"/>
            </w:tcBorders>
            <w:vAlign w:val="center"/>
            <w:hideMark/>
          </w:tcPr>
          <w:p w14:paraId="59ED46A4"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r w:rsidR="000D3A27" w:rsidRPr="006E441C" w14:paraId="42AD6E1D" w14:textId="77777777" w:rsidTr="0080602D">
        <w:trPr>
          <w:trHeight w:val="374"/>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8FCDC9D" w14:textId="77777777" w:rsidR="000D3A27" w:rsidRPr="006E441C" w:rsidRDefault="000D3A27" w:rsidP="00B52912">
            <w:pPr>
              <w:spacing w:after="0" w:line="240" w:lineRule="auto"/>
              <w:jc w:val="center"/>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25</w:t>
            </w:r>
          </w:p>
        </w:tc>
        <w:tc>
          <w:tcPr>
            <w:tcW w:w="6945" w:type="dxa"/>
            <w:tcBorders>
              <w:top w:val="nil"/>
              <w:left w:val="nil"/>
              <w:bottom w:val="single" w:sz="8" w:space="0" w:color="auto"/>
              <w:right w:val="single" w:sz="8" w:space="0" w:color="auto"/>
            </w:tcBorders>
            <w:shd w:val="clear" w:color="auto" w:fill="auto"/>
            <w:vAlign w:val="center"/>
            <w:hideMark/>
          </w:tcPr>
          <w:p w14:paraId="67A8301A" w14:textId="468D6AB0" w:rsidR="000D3A27" w:rsidRPr="006E441C" w:rsidRDefault="000D3A27" w:rsidP="00B52912">
            <w:pPr>
              <w:spacing w:after="0" w:line="240" w:lineRule="auto"/>
              <w:jc w:val="both"/>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Reclasificación de fideicomisos:</w:t>
            </w:r>
            <w:r>
              <w:rPr>
                <w:rFonts w:ascii="Arial" w:eastAsia="Times New Roman" w:hAnsi="Arial" w:cs="Arial"/>
                <w:color w:val="000000"/>
                <w:sz w:val="20"/>
                <w:szCs w:val="20"/>
                <w:lang w:eastAsia="es-MX"/>
              </w:rPr>
              <w:t xml:space="preserve"> </w:t>
            </w:r>
            <w:r w:rsidRPr="006E441C">
              <w:rPr>
                <w:rFonts w:ascii="Arial" w:eastAsia="Times New Roman" w:hAnsi="Arial" w:cs="Arial"/>
                <w:color w:val="000000"/>
                <w:sz w:val="20"/>
                <w:szCs w:val="20"/>
                <w:lang w:eastAsia="es-MX"/>
              </w:rPr>
              <w:t>PROMOTUR, FINCAMPO ,FOF</w:t>
            </w:r>
            <w:r>
              <w:rPr>
                <w:rFonts w:ascii="Arial" w:eastAsia="Times New Roman" w:hAnsi="Arial" w:cs="Arial"/>
                <w:color w:val="000000"/>
                <w:sz w:val="20"/>
                <w:szCs w:val="20"/>
                <w:lang w:eastAsia="es-MX"/>
              </w:rPr>
              <w:t>AE, FINTAB, C.INDUSTRIA</w:t>
            </w:r>
            <w:r w:rsidR="008A4B84">
              <w:rPr>
                <w:rFonts w:ascii="Arial" w:eastAsia="Times New Roman" w:hAnsi="Arial" w:cs="Arial"/>
                <w:color w:val="000000"/>
                <w:sz w:val="20"/>
                <w:szCs w:val="20"/>
                <w:lang w:eastAsia="es-MX"/>
              </w:rPr>
              <w:t>L</w:t>
            </w:r>
            <w:r>
              <w:rPr>
                <w:rFonts w:ascii="Arial" w:eastAsia="Times New Roman" w:hAnsi="Arial" w:cs="Arial"/>
                <w:color w:val="000000"/>
                <w:sz w:val="20"/>
                <w:szCs w:val="20"/>
                <w:lang w:eastAsia="es-MX"/>
              </w:rPr>
              <w:t>, FET ,FI</w:t>
            </w:r>
            <w:r w:rsidRPr="006E441C">
              <w:rPr>
                <w:rFonts w:ascii="Arial" w:eastAsia="Times New Roman" w:hAnsi="Arial" w:cs="Arial"/>
                <w:color w:val="000000"/>
                <w:sz w:val="20"/>
                <w:szCs w:val="20"/>
                <w:lang w:eastAsia="es-MX"/>
              </w:rPr>
              <w:t>DEET</w:t>
            </w:r>
          </w:p>
        </w:tc>
        <w:tc>
          <w:tcPr>
            <w:tcW w:w="1418" w:type="dxa"/>
            <w:tcBorders>
              <w:top w:val="nil"/>
              <w:left w:val="nil"/>
              <w:bottom w:val="single" w:sz="8" w:space="0" w:color="auto"/>
              <w:right w:val="single" w:sz="8" w:space="0" w:color="auto"/>
            </w:tcBorders>
            <w:shd w:val="clear" w:color="auto" w:fill="auto"/>
            <w:noWrap/>
            <w:vAlign w:val="bottom"/>
            <w:hideMark/>
          </w:tcPr>
          <w:p w14:paraId="3A4A30B5" w14:textId="77777777" w:rsidR="000D3A27" w:rsidRPr="006E441C" w:rsidRDefault="000D3A27" w:rsidP="000D3A27">
            <w:pPr>
              <w:spacing w:after="0" w:line="240" w:lineRule="auto"/>
              <w:jc w:val="right"/>
              <w:rPr>
                <w:rFonts w:ascii="Arial" w:eastAsia="Times New Roman" w:hAnsi="Arial" w:cs="Arial"/>
                <w:color w:val="000000"/>
                <w:sz w:val="20"/>
                <w:szCs w:val="20"/>
                <w:lang w:eastAsia="es-MX"/>
              </w:rPr>
            </w:pPr>
            <w:r w:rsidRPr="006E441C">
              <w:rPr>
                <w:rFonts w:ascii="Arial" w:eastAsia="Times New Roman" w:hAnsi="Arial" w:cs="Arial"/>
                <w:color w:val="000000"/>
                <w:sz w:val="20"/>
                <w:szCs w:val="20"/>
                <w:lang w:eastAsia="es-MX"/>
              </w:rPr>
              <w:t xml:space="preserve">- 216,641,613 </w:t>
            </w:r>
          </w:p>
        </w:tc>
        <w:tc>
          <w:tcPr>
            <w:tcW w:w="1407" w:type="dxa"/>
            <w:vMerge/>
            <w:tcBorders>
              <w:top w:val="nil"/>
              <w:left w:val="single" w:sz="8" w:space="0" w:color="auto"/>
              <w:bottom w:val="single" w:sz="8" w:space="0" w:color="000000"/>
              <w:right w:val="single" w:sz="8" w:space="0" w:color="auto"/>
            </w:tcBorders>
            <w:vAlign w:val="center"/>
            <w:hideMark/>
          </w:tcPr>
          <w:p w14:paraId="4B3B72BC" w14:textId="77777777" w:rsidR="000D3A27" w:rsidRPr="006E441C" w:rsidRDefault="000D3A27" w:rsidP="00B52912">
            <w:pPr>
              <w:spacing w:after="0" w:line="240" w:lineRule="auto"/>
              <w:rPr>
                <w:rFonts w:ascii="Arial" w:eastAsia="Times New Roman" w:hAnsi="Arial" w:cs="Arial"/>
                <w:b/>
                <w:bCs/>
                <w:color w:val="000000"/>
                <w:sz w:val="20"/>
                <w:szCs w:val="20"/>
                <w:lang w:eastAsia="es-MX"/>
              </w:rPr>
            </w:pPr>
          </w:p>
        </w:tc>
      </w:tr>
    </w:tbl>
    <w:p w14:paraId="44106683" w14:textId="3FDEF80D" w:rsidR="006E441C" w:rsidRPr="000C42E6" w:rsidRDefault="006E441C" w:rsidP="00C36FD2">
      <w:pPr>
        <w:spacing w:after="0" w:line="240" w:lineRule="auto"/>
        <w:rPr>
          <w:rFonts w:ascii="Arial" w:hAnsi="Arial" w:cs="Arial"/>
          <w:sz w:val="20"/>
          <w:szCs w:val="20"/>
        </w:rPr>
      </w:pPr>
    </w:p>
    <w:p w14:paraId="0820D46C" w14:textId="77777777" w:rsidR="00C36FD2" w:rsidRPr="000C42E6" w:rsidRDefault="00C36FD2" w:rsidP="00C36FD2">
      <w:pPr>
        <w:spacing w:after="0" w:line="240" w:lineRule="auto"/>
        <w:rPr>
          <w:rFonts w:ascii="Arial" w:eastAsia="Calibri" w:hAnsi="Arial" w:cs="Arial"/>
          <w:b/>
          <w:bCs/>
          <w:sz w:val="20"/>
          <w:szCs w:val="20"/>
          <w:lang w:eastAsia="es-MX"/>
        </w:rPr>
      </w:pPr>
      <w:r w:rsidRPr="000C42E6">
        <w:rPr>
          <w:rFonts w:ascii="Arial" w:eastAsia="Times New Roman" w:hAnsi="Arial" w:cs="Arial"/>
          <w:color w:val="000000"/>
          <w:sz w:val="20"/>
          <w:szCs w:val="20"/>
          <w:lang w:eastAsia="es-MX"/>
        </w:rPr>
        <w:t xml:space="preserve"> </w:t>
      </w:r>
      <w:r w:rsidRPr="000C42E6">
        <w:rPr>
          <w:rFonts w:ascii="Arial" w:eastAsia="Calibri" w:hAnsi="Arial" w:cs="Arial"/>
          <w:b/>
          <w:smallCaps/>
          <w:sz w:val="20"/>
          <w:szCs w:val="20"/>
        </w:rPr>
        <w:t>IV)</w:t>
      </w:r>
      <w:r w:rsidRPr="000C42E6">
        <w:rPr>
          <w:rFonts w:ascii="Arial" w:eastAsia="Calibri" w:hAnsi="Arial" w:cs="Arial"/>
          <w:b/>
          <w:smallCaps/>
          <w:sz w:val="20"/>
          <w:szCs w:val="20"/>
        </w:rPr>
        <w:tab/>
        <w:t xml:space="preserve">Notas al Estado de Flujos de Efectivo </w:t>
      </w:r>
    </w:p>
    <w:p w14:paraId="6E81E835" w14:textId="77777777" w:rsidR="00C36FD2" w:rsidRPr="000C42E6" w:rsidRDefault="00C36FD2" w:rsidP="00C36FD2">
      <w:pPr>
        <w:spacing w:after="101" w:line="224" w:lineRule="exact"/>
        <w:ind w:firstLine="288"/>
        <w:jc w:val="both"/>
        <w:rPr>
          <w:rFonts w:ascii="Arial" w:eastAsia="Times New Roman" w:hAnsi="Arial" w:cs="Arial"/>
          <w:b/>
          <w:smallCaps/>
          <w:sz w:val="20"/>
          <w:szCs w:val="20"/>
          <w:lang w:val="es-ES" w:eastAsia="es-ES"/>
        </w:rPr>
      </w:pPr>
    </w:p>
    <w:p w14:paraId="08B62335" w14:textId="77777777" w:rsidR="00045878" w:rsidRPr="000C42E6" w:rsidRDefault="00045878" w:rsidP="00045878">
      <w:pPr>
        <w:numPr>
          <w:ilvl w:val="0"/>
          <w:numId w:val="16"/>
        </w:numPr>
        <w:tabs>
          <w:tab w:val="left" w:pos="720"/>
        </w:tabs>
        <w:spacing w:after="240" w:line="220" w:lineRule="exact"/>
        <w:ind w:left="721"/>
        <w:jc w:val="both"/>
        <w:rPr>
          <w:rFonts w:ascii="Arial" w:eastAsia="Times New Roman" w:hAnsi="Arial" w:cs="Arial"/>
          <w:sz w:val="20"/>
          <w:szCs w:val="20"/>
          <w:lang w:eastAsia="es-ES"/>
        </w:rPr>
      </w:pPr>
      <w:r w:rsidRPr="000C42E6">
        <w:rPr>
          <w:rFonts w:ascii="Arial" w:eastAsia="Times New Roman" w:hAnsi="Arial" w:cs="Arial"/>
          <w:sz w:val="20"/>
          <w:szCs w:val="20"/>
          <w:lang w:eastAsia="es-ES"/>
        </w:rPr>
        <w:t>Análisis de las cifras del periodo actual y el anterior, al final del ejercicio,</w:t>
      </w:r>
      <w:r w:rsidRPr="000C42E6" w:rsidDel="005F43A8">
        <w:rPr>
          <w:rFonts w:ascii="Arial" w:eastAsia="Times New Roman" w:hAnsi="Arial" w:cs="Arial"/>
          <w:sz w:val="20"/>
          <w:szCs w:val="20"/>
          <w:lang w:eastAsia="es-ES"/>
        </w:rPr>
        <w:t xml:space="preserve"> </w:t>
      </w:r>
      <w:r w:rsidRPr="000C42E6">
        <w:rPr>
          <w:rFonts w:ascii="Arial" w:eastAsia="Times New Roman" w:hAnsi="Arial" w:cs="Arial"/>
          <w:sz w:val="20"/>
          <w:szCs w:val="20"/>
          <w:lang w:eastAsia="es-ES"/>
        </w:rPr>
        <w:t>del Estado de Flujos de Efectivo, respecto a la composición del rubro de Efectivo y Equivalentes, utilizando el siguiente cuadro:</w:t>
      </w:r>
    </w:p>
    <w:tbl>
      <w:tblPr>
        <w:tblW w:w="10586" w:type="dxa"/>
        <w:jc w:val="center"/>
        <w:tblCellMar>
          <w:left w:w="70" w:type="dxa"/>
          <w:right w:w="70" w:type="dxa"/>
        </w:tblCellMar>
        <w:tblLook w:val="04A0" w:firstRow="1" w:lastRow="0" w:firstColumn="1" w:lastColumn="0" w:noHBand="0" w:noVBand="1"/>
      </w:tblPr>
      <w:tblGrid>
        <w:gridCol w:w="6546"/>
        <w:gridCol w:w="1780"/>
        <w:gridCol w:w="2260"/>
      </w:tblGrid>
      <w:tr w:rsidR="00FE5F55" w:rsidRPr="000C42E6" w14:paraId="7AA7B356" w14:textId="77777777" w:rsidTr="00946B18">
        <w:trPr>
          <w:trHeight w:val="300"/>
          <w:jc w:val="center"/>
        </w:trPr>
        <w:tc>
          <w:tcPr>
            <w:tcW w:w="1058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E3C4ECB" w14:textId="77777777" w:rsidR="00FE5F55" w:rsidRPr="000C42E6" w:rsidRDefault="00FE5F55" w:rsidP="00FE5F5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Efectivo y Equivalentes</w:t>
            </w:r>
          </w:p>
        </w:tc>
      </w:tr>
      <w:tr w:rsidR="00FE5F55" w:rsidRPr="000C42E6" w14:paraId="23F4C82C" w14:textId="77777777" w:rsidTr="00946B18">
        <w:trPr>
          <w:trHeight w:val="510"/>
          <w:jc w:val="center"/>
        </w:trPr>
        <w:tc>
          <w:tcPr>
            <w:tcW w:w="6546" w:type="dxa"/>
            <w:tcBorders>
              <w:top w:val="nil"/>
              <w:left w:val="single" w:sz="4" w:space="0" w:color="auto"/>
              <w:bottom w:val="single" w:sz="4" w:space="0" w:color="auto"/>
              <w:right w:val="single" w:sz="4" w:space="0" w:color="auto"/>
            </w:tcBorders>
            <w:shd w:val="clear" w:color="000000" w:fill="D9D9D9"/>
            <w:vAlign w:val="center"/>
            <w:hideMark/>
          </w:tcPr>
          <w:p w14:paraId="0E97D22C" w14:textId="77777777" w:rsidR="00FE5F55" w:rsidRPr="000C42E6" w:rsidRDefault="00FE5F55" w:rsidP="00FE5F5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Concepto</w:t>
            </w:r>
          </w:p>
        </w:tc>
        <w:tc>
          <w:tcPr>
            <w:tcW w:w="1780" w:type="dxa"/>
            <w:tcBorders>
              <w:top w:val="nil"/>
              <w:left w:val="nil"/>
              <w:bottom w:val="single" w:sz="4" w:space="0" w:color="auto"/>
              <w:right w:val="single" w:sz="4" w:space="0" w:color="auto"/>
            </w:tcBorders>
            <w:shd w:val="clear" w:color="000000" w:fill="D9D9D9"/>
            <w:vAlign w:val="center"/>
            <w:hideMark/>
          </w:tcPr>
          <w:p w14:paraId="7166930F" w14:textId="77777777" w:rsidR="00FE5F55" w:rsidRPr="000C42E6" w:rsidRDefault="00FE5F55" w:rsidP="00FE5F5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31 de diciembre de 2025 </w:t>
            </w:r>
          </w:p>
        </w:tc>
        <w:tc>
          <w:tcPr>
            <w:tcW w:w="2260" w:type="dxa"/>
            <w:tcBorders>
              <w:top w:val="nil"/>
              <w:left w:val="nil"/>
              <w:bottom w:val="single" w:sz="4" w:space="0" w:color="auto"/>
              <w:right w:val="single" w:sz="4" w:space="0" w:color="auto"/>
            </w:tcBorders>
            <w:shd w:val="clear" w:color="000000" w:fill="D9D9D9"/>
            <w:vAlign w:val="center"/>
            <w:hideMark/>
          </w:tcPr>
          <w:p w14:paraId="0724A5AE" w14:textId="77777777" w:rsidR="00FE5F55" w:rsidRPr="000C42E6" w:rsidRDefault="00FE5F55" w:rsidP="00FE5F5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31 de diciembre de 2024</w:t>
            </w:r>
          </w:p>
        </w:tc>
      </w:tr>
      <w:tr w:rsidR="00FE5F55" w:rsidRPr="000C42E6" w14:paraId="713F361A" w14:textId="77777777" w:rsidTr="00946B18">
        <w:trPr>
          <w:trHeight w:val="300"/>
          <w:jc w:val="center"/>
        </w:trPr>
        <w:tc>
          <w:tcPr>
            <w:tcW w:w="6546" w:type="dxa"/>
            <w:tcBorders>
              <w:top w:val="nil"/>
              <w:left w:val="single" w:sz="4" w:space="0" w:color="auto"/>
              <w:bottom w:val="single" w:sz="4" w:space="0" w:color="auto"/>
              <w:right w:val="single" w:sz="4" w:space="0" w:color="auto"/>
            </w:tcBorders>
            <w:shd w:val="clear" w:color="auto" w:fill="auto"/>
            <w:vAlign w:val="center"/>
            <w:hideMark/>
          </w:tcPr>
          <w:p w14:paraId="00B01029" w14:textId="77777777" w:rsidR="00FE5F55" w:rsidRPr="000C42E6" w:rsidRDefault="00FE5F55" w:rsidP="00FE5F5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Efectivo</w:t>
            </w:r>
          </w:p>
        </w:tc>
        <w:tc>
          <w:tcPr>
            <w:tcW w:w="1780" w:type="dxa"/>
            <w:tcBorders>
              <w:top w:val="nil"/>
              <w:left w:val="nil"/>
              <w:bottom w:val="single" w:sz="4" w:space="0" w:color="auto"/>
              <w:right w:val="single" w:sz="4" w:space="0" w:color="auto"/>
            </w:tcBorders>
            <w:shd w:val="clear" w:color="auto" w:fill="auto"/>
            <w:vAlign w:val="center"/>
            <w:hideMark/>
          </w:tcPr>
          <w:p w14:paraId="7D68B601"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2260" w:type="dxa"/>
            <w:tcBorders>
              <w:top w:val="nil"/>
              <w:left w:val="nil"/>
              <w:bottom w:val="single" w:sz="4" w:space="0" w:color="auto"/>
              <w:right w:val="single" w:sz="4" w:space="0" w:color="auto"/>
            </w:tcBorders>
            <w:shd w:val="clear" w:color="auto" w:fill="auto"/>
            <w:vAlign w:val="center"/>
            <w:hideMark/>
          </w:tcPr>
          <w:p w14:paraId="351B3EA6"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E5F55" w:rsidRPr="000C42E6" w14:paraId="1EB5D476" w14:textId="77777777" w:rsidTr="00946B18">
        <w:trPr>
          <w:trHeight w:val="300"/>
          <w:jc w:val="center"/>
        </w:trPr>
        <w:tc>
          <w:tcPr>
            <w:tcW w:w="6546" w:type="dxa"/>
            <w:tcBorders>
              <w:top w:val="nil"/>
              <w:left w:val="single" w:sz="4" w:space="0" w:color="auto"/>
              <w:bottom w:val="single" w:sz="4" w:space="0" w:color="auto"/>
              <w:right w:val="single" w:sz="4" w:space="0" w:color="auto"/>
            </w:tcBorders>
            <w:shd w:val="clear" w:color="auto" w:fill="auto"/>
            <w:vAlign w:val="center"/>
            <w:hideMark/>
          </w:tcPr>
          <w:p w14:paraId="210B6E72" w14:textId="77777777" w:rsidR="00FE5F55" w:rsidRPr="000C42E6" w:rsidRDefault="00FE5F55" w:rsidP="00FE5F5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Bancos/Tesorería</w:t>
            </w:r>
          </w:p>
        </w:tc>
        <w:tc>
          <w:tcPr>
            <w:tcW w:w="1780" w:type="dxa"/>
            <w:tcBorders>
              <w:top w:val="nil"/>
              <w:left w:val="nil"/>
              <w:bottom w:val="single" w:sz="4" w:space="0" w:color="auto"/>
              <w:right w:val="single" w:sz="4" w:space="0" w:color="auto"/>
            </w:tcBorders>
            <w:shd w:val="clear" w:color="auto" w:fill="auto"/>
            <w:vAlign w:val="center"/>
            <w:hideMark/>
          </w:tcPr>
          <w:p w14:paraId="4E98CD93"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1,148,388,382</w:t>
            </w:r>
          </w:p>
        </w:tc>
        <w:tc>
          <w:tcPr>
            <w:tcW w:w="2260" w:type="dxa"/>
            <w:tcBorders>
              <w:top w:val="nil"/>
              <w:left w:val="nil"/>
              <w:bottom w:val="single" w:sz="4" w:space="0" w:color="auto"/>
              <w:right w:val="single" w:sz="4" w:space="0" w:color="auto"/>
            </w:tcBorders>
            <w:shd w:val="clear" w:color="auto" w:fill="auto"/>
            <w:vAlign w:val="center"/>
            <w:hideMark/>
          </w:tcPr>
          <w:p w14:paraId="57136927"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2,379,363,177 </w:t>
            </w:r>
          </w:p>
        </w:tc>
      </w:tr>
      <w:tr w:rsidR="00FE5F55" w:rsidRPr="000C42E6" w14:paraId="0C2E0ACA" w14:textId="77777777" w:rsidTr="00946B18">
        <w:trPr>
          <w:trHeight w:val="300"/>
          <w:jc w:val="center"/>
        </w:trPr>
        <w:tc>
          <w:tcPr>
            <w:tcW w:w="6546" w:type="dxa"/>
            <w:tcBorders>
              <w:top w:val="nil"/>
              <w:left w:val="single" w:sz="4" w:space="0" w:color="auto"/>
              <w:bottom w:val="single" w:sz="4" w:space="0" w:color="auto"/>
              <w:right w:val="single" w:sz="4" w:space="0" w:color="auto"/>
            </w:tcBorders>
            <w:shd w:val="clear" w:color="auto" w:fill="auto"/>
            <w:vAlign w:val="center"/>
            <w:hideMark/>
          </w:tcPr>
          <w:p w14:paraId="40A47DCC" w14:textId="77777777" w:rsidR="00FE5F55" w:rsidRPr="000C42E6" w:rsidRDefault="00FE5F55" w:rsidP="00FE5F5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Bancos/Dependencias y Otros</w:t>
            </w:r>
          </w:p>
        </w:tc>
        <w:tc>
          <w:tcPr>
            <w:tcW w:w="1780" w:type="dxa"/>
            <w:tcBorders>
              <w:top w:val="nil"/>
              <w:left w:val="nil"/>
              <w:bottom w:val="single" w:sz="4" w:space="0" w:color="auto"/>
              <w:right w:val="single" w:sz="4" w:space="0" w:color="auto"/>
            </w:tcBorders>
            <w:shd w:val="clear" w:color="auto" w:fill="auto"/>
            <w:vAlign w:val="center"/>
            <w:hideMark/>
          </w:tcPr>
          <w:p w14:paraId="017AC72A"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14,208,191</w:t>
            </w:r>
          </w:p>
        </w:tc>
        <w:tc>
          <w:tcPr>
            <w:tcW w:w="2260" w:type="dxa"/>
            <w:tcBorders>
              <w:top w:val="nil"/>
              <w:left w:val="nil"/>
              <w:bottom w:val="single" w:sz="4" w:space="0" w:color="auto"/>
              <w:right w:val="single" w:sz="4" w:space="0" w:color="auto"/>
            </w:tcBorders>
            <w:shd w:val="clear" w:color="auto" w:fill="auto"/>
            <w:vAlign w:val="center"/>
            <w:hideMark/>
          </w:tcPr>
          <w:p w14:paraId="5E3757BE"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23,791,377 </w:t>
            </w:r>
          </w:p>
        </w:tc>
      </w:tr>
      <w:tr w:rsidR="00FE5F55" w:rsidRPr="000C42E6" w14:paraId="65C81694" w14:textId="77777777" w:rsidTr="00946B18">
        <w:trPr>
          <w:trHeight w:val="270"/>
          <w:jc w:val="center"/>
        </w:trPr>
        <w:tc>
          <w:tcPr>
            <w:tcW w:w="6546" w:type="dxa"/>
            <w:tcBorders>
              <w:top w:val="nil"/>
              <w:left w:val="single" w:sz="4" w:space="0" w:color="auto"/>
              <w:bottom w:val="single" w:sz="4" w:space="0" w:color="auto"/>
              <w:right w:val="single" w:sz="4" w:space="0" w:color="auto"/>
            </w:tcBorders>
            <w:shd w:val="clear" w:color="auto" w:fill="auto"/>
            <w:vAlign w:val="center"/>
            <w:hideMark/>
          </w:tcPr>
          <w:p w14:paraId="5D60A280" w14:textId="77777777" w:rsidR="00FE5F55" w:rsidRPr="000C42E6" w:rsidRDefault="00FE5F55" w:rsidP="00FE5F5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Inversiones Temporales (Hasta 3 meses) </w:t>
            </w:r>
          </w:p>
        </w:tc>
        <w:tc>
          <w:tcPr>
            <w:tcW w:w="1780" w:type="dxa"/>
            <w:tcBorders>
              <w:top w:val="nil"/>
              <w:left w:val="nil"/>
              <w:bottom w:val="single" w:sz="4" w:space="0" w:color="auto"/>
              <w:right w:val="single" w:sz="4" w:space="0" w:color="auto"/>
            </w:tcBorders>
            <w:shd w:val="clear" w:color="auto" w:fill="auto"/>
            <w:vAlign w:val="center"/>
            <w:hideMark/>
          </w:tcPr>
          <w:p w14:paraId="5F46EE67"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2260" w:type="dxa"/>
            <w:tcBorders>
              <w:top w:val="nil"/>
              <w:left w:val="nil"/>
              <w:bottom w:val="single" w:sz="4" w:space="0" w:color="auto"/>
              <w:right w:val="single" w:sz="4" w:space="0" w:color="auto"/>
            </w:tcBorders>
            <w:shd w:val="clear" w:color="auto" w:fill="auto"/>
            <w:vAlign w:val="center"/>
            <w:hideMark/>
          </w:tcPr>
          <w:p w14:paraId="3F34C075" w14:textId="1BCFF2B0"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w:t>
            </w:r>
            <w:r w:rsidR="00F205D1" w:rsidRPr="000C42E6">
              <w:rPr>
                <w:rFonts w:ascii="Arial" w:eastAsia="Times New Roman" w:hAnsi="Arial" w:cs="Arial"/>
                <w:color w:val="000000"/>
                <w:sz w:val="20"/>
                <w:szCs w:val="20"/>
                <w:lang w:eastAsia="es-MX"/>
              </w:rPr>
              <w:t xml:space="preserve">                               0</w:t>
            </w:r>
            <w:r w:rsidRPr="000C42E6">
              <w:rPr>
                <w:rFonts w:ascii="Arial" w:eastAsia="Times New Roman" w:hAnsi="Arial" w:cs="Arial"/>
                <w:color w:val="000000"/>
                <w:sz w:val="20"/>
                <w:szCs w:val="20"/>
                <w:lang w:eastAsia="es-MX"/>
              </w:rPr>
              <w:t xml:space="preserve">   </w:t>
            </w:r>
          </w:p>
        </w:tc>
      </w:tr>
      <w:tr w:rsidR="00FE5F55" w:rsidRPr="000C42E6" w14:paraId="64E5AB9B" w14:textId="77777777" w:rsidTr="00946B18">
        <w:trPr>
          <w:trHeight w:val="274"/>
          <w:jc w:val="center"/>
        </w:trPr>
        <w:tc>
          <w:tcPr>
            <w:tcW w:w="6546" w:type="dxa"/>
            <w:tcBorders>
              <w:top w:val="nil"/>
              <w:left w:val="single" w:sz="4" w:space="0" w:color="auto"/>
              <w:bottom w:val="single" w:sz="4" w:space="0" w:color="auto"/>
              <w:right w:val="single" w:sz="4" w:space="0" w:color="auto"/>
            </w:tcBorders>
            <w:shd w:val="clear" w:color="auto" w:fill="auto"/>
            <w:vAlign w:val="center"/>
            <w:hideMark/>
          </w:tcPr>
          <w:p w14:paraId="48170FF2" w14:textId="77777777" w:rsidR="00FE5F55" w:rsidRPr="000C42E6" w:rsidRDefault="00FE5F55" w:rsidP="00FE5F5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Fondos con Afectación Específica</w:t>
            </w:r>
          </w:p>
        </w:tc>
        <w:tc>
          <w:tcPr>
            <w:tcW w:w="1780" w:type="dxa"/>
            <w:tcBorders>
              <w:top w:val="nil"/>
              <w:left w:val="nil"/>
              <w:bottom w:val="single" w:sz="4" w:space="0" w:color="auto"/>
              <w:right w:val="single" w:sz="4" w:space="0" w:color="auto"/>
            </w:tcBorders>
            <w:shd w:val="clear" w:color="auto" w:fill="auto"/>
            <w:vAlign w:val="center"/>
            <w:hideMark/>
          </w:tcPr>
          <w:p w14:paraId="37CB8B22"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2260" w:type="dxa"/>
            <w:tcBorders>
              <w:top w:val="nil"/>
              <w:left w:val="nil"/>
              <w:bottom w:val="single" w:sz="4" w:space="0" w:color="auto"/>
              <w:right w:val="single" w:sz="4" w:space="0" w:color="auto"/>
            </w:tcBorders>
            <w:shd w:val="clear" w:color="auto" w:fill="auto"/>
            <w:vAlign w:val="center"/>
            <w:hideMark/>
          </w:tcPr>
          <w:p w14:paraId="16A5777D"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E5F55" w:rsidRPr="000C42E6" w14:paraId="7581AF82" w14:textId="77777777" w:rsidTr="00946B18">
        <w:trPr>
          <w:trHeight w:val="263"/>
          <w:jc w:val="center"/>
        </w:trPr>
        <w:tc>
          <w:tcPr>
            <w:tcW w:w="6546" w:type="dxa"/>
            <w:tcBorders>
              <w:top w:val="nil"/>
              <w:left w:val="single" w:sz="4" w:space="0" w:color="auto"/>
              <w:bottom w:val="single" w:sz="4" w:space="0" w:color="auto"/>
              <w:right w:val="single" w:sz="4" w:space="0" w:color="auto"/>
            </w:tcBorders>
            <w:shd w:val="clear" w:color="auto" w:fill="auto"/>
            <w:vAlign w:val="center"/>
            <w:hideMark/>
          </w:tcPr>
          <w:p w14:paraId="59F55829" w14:textId="77777777" w:rsidR="00FE5F55" w:rsidRPr="000C42E6" w:rsidRDefault="00FE5F55" w:rsidP="00FE5F5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Depósitos de Fondos de Terceros en Garantía y/o Administración</w:t>
            </w:r>
          </w:p>
        </w:tc>
        <w:tc>
          <w:tcPr>
            <w:tcW w:w="1780" w:type="dxa"/>
            <w:tcBorders>
              <w:top w:val="nil"/>
              <w:left w:val="nil"/>
              <w:bottom w:val="single" w:sz="4" w:space="0" w:color="auto"/>
              <w:right w:val="single" w:sz="4" w:space="0" w:color="auto"/>
            </w:tcBorders>
            <w:shd w:val="clear" w:color="auto" w:fill="auto"/>
            <w:vAlign w:val="center"/>
            <w:hideMark/>
          </w:tcPr>
          <w:p w14:paraId="34440A97"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2260" w:type="dxa"/>
            <w:tcBorders>
              <w:top w:val="nil"/>
              <w:left w:val="nil"/>
              <w:bottom w:val="single" w:sz="4" w:space="0" w:color="auto"/>
              <w:right w:val="single" w:sz="4" w:space="0" w:color="auto"/>
            </w:tcBorders>
            <w:shd w:val="clear" w:color="auto" w:fill="auto"/>
            <w:vAlign w:val="center"/>
            <w:hideMark/>
          </w:tcPr>
          <w:p w14:paraId="315719B3"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E5F55" w:rsidRPr="000C42E6" w14:paraId="555C336D" w14:textId="77777777" w:rsidTr="00946B18">
        <w:trPr>
          <w:trHeight w:val="300"/>
          <w:jc w:val="center"/>
        </w:trPr>
        <w:tc>
          <w:tcPr>
            <w:tcW w:w="6546" w:type="dxa"/>
            <w:tcBorders>
              <w:top w:val="nil"/>
              <w:left w:val="single" w:sz="4" w:space="0" w:color="auto"/>
              <w:bottom w:val="single" w:sz="4" w:space="0" w:color="auto"/>
              <w:right w:val="single" w:sz="4" w:space="0" w:color="auto"/>
            </w:tcBorders>
            <w:shd w:val="clear" w:color="auto" w:fill="auto"/>
            <w:vAlign w:val="center"/>
            <w:hideMark/>
          </w:tcPr>
          <w:p w14:paraId="0B36F302" w14:textId="77777777" w:rsidR="00FE5F55" w:rsidRPr="000C42E6" w:rsidRDefault="00FE5F55" w:rsidP="00FE5F5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Otros Efectivos y Equivalentes</w:t>
            </w:r>
          </w:p>
        </w:tc>
        <w:tc>
          <w:tcPr>
            <w:tcW w:w="1780" w:type="dxa"/>
            <w:tcBorders>
              <w:top w:val="nil"/>
              <w:left w:val="nil"/>
              <w:bottom w:val="single" w:sz="4" w:space="0" w:color="auto"/>
              <w:right w:val="single" w:sz="4" w:space="0" w:color="auto"/>
            </w:tcBorders>
            <w:shd w:val="clear" w:color="auto" w:fill="auto"/>
            <w:vAlign w:val="center"/>
            <w:hideMark/>
          </w:tcPr>
          <w:p w14:paraId="5615530A"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2260" w:type="dxa"/>
            <w:tcBorders>
              <w:top w:val="nil"/>
              <w:left w:val="nil"/>
              <w:bottom w:val="single" w:sz="4" w:space="0" w:color="auto"/>
              <w:right w:val="single" w:sz="4" w:space="0" w:color="auto"/>
            </w:tcBorders>
            <w:shd w:val="clear" w:color="auto" w:fill="auto"/>
            <w:vAlign w:val="center"/>
            <w:hideMark/>
          </w:tcPr>
          <w:p w14:paraId="0B1F9322" w14:textId="77777777" w:rsidR="00FE5F55" w:rsidRPr="000C42E6" w:rsidRDefault="00FE5F55" w:rsidP="00FE5F5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E5F55" w:rsidRPr="000C42E6" w14:paraId="4293D4BA" w14:textId="77777777" w:rsidTr="00946B18">
        <w:trPr>
          <w:trHeight w:val="300"/>
          <w:jc w:val="center"/>
        </w:trPr>
        <w:tc>
          <w:tcPr>
            <w:tcW w:w="6546" w:type="dxa"/>
            <w:tcBorders>
              <w:top w:val="nil"/>
              <w:left w:val="single" w:sz="4" w:space="0" w:color="auto"/>
              <w:bottom w:val="single" w:sz="4" w:space="0" w:color="auto"/>
              <w:right w:val="single" w:sz="4" w:space="0" w:color="auto"/>
            </w:tcBorders>
            <w:shd w:val="clear" w:color="000000" w:fill="D9D9D9"/>
            <w:vAlign w:val="center"/>
            <w:hideMark/>
          </w:tcPr>
          <w:p w14:paraId="4D2DBFA7" w14:textId="77777777" w:rsidR="00FE5F55" w:rsidRPr="000C42E6" w:rsidRDefault="00FE5F55" w:rsidP="00FE5F55">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Total</w:t>
            </w:r>
          </w:p>
        </w:tc>
        <w:tc>
          <w:tcPr>
            <w:tcW w:w="1780" w:type="dxa"/>
            <w:tcBorders>
              <w:top w:val="nil"/>
              <w:left w:val="nil"/>
              <w:bottom w:val="single" w:sz="4" w:space="0" w:color="auto"/>
              <w:right w:val="single" w:sz="4" w:space="0" w:color="auto"/>
            </w:tcBorders>
            <w:shd w:val="clear" w:color="000000" w:fill="D9D9D9"/>
            <w:vAlign w:val="center"/>
            <w:hideMark/>
          </w:tcPr>
          <w:p w14:paraId="6F1E4873" w14:textId="77777777" w:rsidR="00FE5F55" w:rsidRPr="000C42E6" w:rsidRDefault="00FE5F55" w:rsidP="00FE5F55">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1,162,596,573</w:t>
            </w:r>
          </w:p>
        </w:tc>
        <w:tc>
          <w:tcPr>
            <w:tcW w:w="2260" w:type="dxa"/>
            <w:tcBorders>
              <w:top w:val="nil"/>
              <w:left w:val="nil"/>
              <w:bottom w:val="single" w:sz="4" w:space="0" w:color="auto"/>
              <w:right w:val="single" w:sz="4" w:space="0" w:color="auto"/>
            </w:tcBorders>
            <w:shd w:val="clear" w:color="000000" w:fill="D9D9D9"/>
            <w:vAlign w:val="center"/>
            <w:hideMark/>
          </w:tcPr>
          <w:p w14:paraId="77CE5B5C" w14:textId="77777777" w:rsidR="00FE5F55" w:rsidRPr="000C42E6" w:rsidRDefault="00FE5F55" w:rsidP="00893BDC">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2,403,154,554</w:t>
            </w:r>
          </w:p>
        </w:tc>
      </w:tr>
    </w:tbl>
    <w:p w14:paraId="2735B9B9" w14:textId="77777777" w:rsidR="00826DB1" w:rsidRPr="000C42E6" w:rsidRDefault="00826DB1" w:rsidP="00C36FD2">
      <w:pPr>
        <w:spacing w:after="101" w:line="224" w:lineRule="exact"/>
        <w:ind w:firstLine="288"/>
        <w:jc w:val="both"/>
        <w:rPr>
          <w:rFonts w:ascii="Arial" w:eastAsia="Times New Roman" w:hAnsi="Arial" w:cs="Arial"/>
          <w:b/>
          <w:smallCaps/>
          <w:sz w:val="20"/>
          <w:szCs w:val="20"/>
          <w:lang w:val="es-ES" w:eastAsia="es-ES"/>
        </w:rPr>
      </w:pPr>
    </w:p>
    <w:p w14:paraId="5322A594" w14:textId="77777777" w:rsidR="006F66C3" w:rsidRPr="000C42E6" w:rsidRDefault="006F66C3" w:rsidP="006F66C3">
      <w:pPr>
        <w:tabs>
          <w:tab w:val="left" w:pos="720"/>
        </w:tabs>
        <w:spacing w:after="240" w:line="220" w:lineRule="exact"/>
        <w:ind w:left="720" w:hanging="431"/>
        <w:jc w:val="center"/>
        <w:rPr>
          <w:rFonts w:ascii="Arial" w:eastAsia="Times New Roman" w:hAnsi="Arial" w:cs="Arial"/>
          <w:sz w:val="20"/>
          <w:szCs w:val="20"/>
          <w:lang w:eastAsia="es-ES"/>
        </w:rPr>
      </w:pPr>
      <w:r w:rsidRPr="000C42E6">
        <w:rPr>
          <w:rFonts w:ascii="Arial" w:eastAsia="Times New Roman" w:hAnsi="Arial" w:cs="Arial"/>
          <w:sz w:val="20"/>
          <w:szCs w:val="20"/>
          <w:lang w:eastAsia="es-ES"/>
        </w:rPr>
        <w:lastRenderedPageBreak/>
        <w:t>2.- Detalle de las adquisiciones de las Actividades de Inversión efectivamente pagadas, respecto del apartado de aplicación.</w:t>
      </w:r>
    </w:p>
    <w:tbl>
      <w:tblPr>
        <w:tblW w:w="10339" w:type="dxa"/>
        <w:jc w:val="center"/>
        <w:tblCellMar>
          <w:left w:w="70" w:type="dxa"/>
          <w:right w:w="70" w:type="dxa"/>
        </w:tblCellMar>
        <w:tblLook w:val="04A0" w:firstRow="1" w:lastRow="0" w:firstColumn="1" w:lastColumn="0" w:noHBand="0" w:noVBand="1"/>
      </w:tblPr>
      <w:tblGrid>
        <w:gridCol w:w="7079"/>
        <w:gridCol w:w="1720"/>
        <w:gridCol w:w="1540"/>
      </w:tblGrid>
      <w:tr w:rsidR="00F871DE" w:rsidRPr="00F871DE" w14:paraId="3C8ED626" w14:textId="77777777" w:rsidTr="00946B18">
        <w:trPr>
          <w:trHeight w:val="300"/>
          <w:jc w:val="center"/>
        </w:trPr>
        <w:tc>
          <w:tcPr>
            <w:tcW w:w="1033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92CF3B9" w14:textId="77777777" w:rsidR="00F871DE" w:rsidRPr="00F871DE" w:rsidRDefault="00F871DE" w:rsidP="00F871DE">
            <w:pPr>
              <w:spacing w:after="0" w:line="240" w:lineRule="auto"/>
              <w:jc w:val="center"/>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Adquisiciones de Actividades de Inversión efectivamente pagadas</w:t>
            </w:r>
          </w:p>
        </w:tc>
      </w:tr>
      <w:tr w:rsidR="00F871DE" w:rsidRPr="00F871DE" w14:paraId="1983674F" w14:textId="77777777" w:rsidTr="00946B18">
        <w:trPr>
          <w:trHeight w:val="810"/>
          <w:jc w:val="center"/>
        </w:trPr>
        <w:tc>
          <w:tcPr>
            <w:tcW w:w="7079" w:type="dxa"/>
            <w:tcBorders>
              <w:top w:val="nil"/>
              <w:left w:val="single" w:sz="4" w:space="0" w:color="auto"/>
              <w:bottom w:val="single" w:sz="4" w:space="0" w:color="auto"/>
              <w:right w:val="single" w:sz="4" w:space="0" w:color="auto"/>
            </w:tcBorders>
            <w:shd w:val="clear" w:color="000000" w:fill="D9D9D9"/>
            <w:vAlign w:val="center"/>
            <w:hideMark/>
          </w:tcPr>
          <w:p w14:paraId="4EBA56C1" w14:textId="77777777" w:rsidR="00F871DE" w:rsidRPr="00F871DE" w:rsidRDefault="00F871DE" w:rsidP="00F871DE">
            <w:pPr>
              <w:spacing w:after="0" w:line="240" w:lineRule="auto"/>
              <w:jc w:val="center"/>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Concepto</w:t>
            </w:r>
          </w:p>
        </w:tc>
        <w:tc>
          <w:tcPr>
            <w:tcW w:w="1720" w:type="dxa"/>
            <w:tcBorders>
              <w:top w:val="nil"/>
              <w:left w:val="nil"/>
              <w:bottom w:val="single" w:sz="4" w:space="0" w:color="auto"/>
              <w:right w:val="single" w:sz="4" w:space="0" w:color="auto"/>
            </w:tcBorders>
            <w:shd w:val="clear" w:color="000000" w:fill="D9D9D9"/>
            <w:vAlign w:val="center"/>
            <w:hideMark/>
          </w:tcPr>
          <w:p w14:paraId="5D9F19FB" w14:textId="77777777" w:rsidR="00F871DE" w:rsidRPr="00F871DE" w:rsidRDefault="00F871DE" w:rsidP="00F871DE">
            <w:pPr>
              <w:spacing w:after="0" w:line="240" w:lineRule="auto"/>
              <w:jc w:val="center"/>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31 de diciembre de 2025  </w:t>
            </w:r>
          </w:p>
        </w:tc>
        <w:tc>
          <w:tcPr>
            <w:tcW w:w="1540" w:type="dxa"/>
            <w:tcBorders>
              <w:top w:val="nil"/>
              <w:left w:val="nil"/>
              <w:bottom w:val="single" w:sz="4" w:space="0" w:color="auto"/>
              <w:right w:val="single" w:sz="4" w:space="0" w:color="auto"/>
            </w:tcBorders>
            <w:shd w:val="clear" w:color="000000" w:fill="D9D9D9"/>
            <w:vAlign w:val="center"/>
            <w:hideMark/>
          </w:tcPr>
          <w:p w14:paraId="3BB4934B" w14:textId="77777777" w:rsidR="00F871DE" w:rsidRPr="00F871DE" w:rsidRDefault="00F871DE" w:rsidP="00F871DE">
            <w:pPr>
              <w:spacing w:after="0" w:line="240" w:lineRule="auto"/>
              <w:jc w:val="center"/>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31 de diciembre de 2024 </w:t>
            </w:r>
          </w:p>
        </w:tc>
      </w:tr>
      <w:tr w:rsidR="00F871DE" w:rsidRPr="00F871DE" w14:paraId="5B29587C" w14:textId="77777777" w:rsidTr="00946B18">
        <w:trPr>
          <w:trHeight w:val="304"/>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611F0AFA" w14:textId="77777777" w:rsidR="00F871DE" w:rsidRPr="00F871DE" w:rsidRDefault="00F871DE" w:rsidP="00F871DE">
            <w:pPr>
              <w:spacing w:after="0" w:line="240" w:lineRule="auto"/>
              <w:jc w:val="both"/>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Bienes Inmuebles, Infraestructura y Construcciones en Proceso</w:t>
            </w:r>
          </w:p>
        </w:tc>
        <w:tc>
          <w:tcPr>
            <w:tcW w:w="1720" w:type="dxa"/>
            <w:tcBorders>
              <w:top w:val="nil"/>
              <w:left w:val="nil"/>
              <w:bottom w:val="single" w:sz="4" w:space="0" w:color="auto"/>
              <w:right w:val="single" w:sz="4" w:space="0" w:color="auto"/>
            </w:tcBorders>
            <w:shd w:val="clear" w:color="auto" w:fill="auto"/>
            <w:vAlign w:val="center"/>
            <w:hideMark/>
          </w:tcPr>
          <w:p w14:paraId="7EF50B62" w14:textId="77777777" w:rsidR="00F871DE" w:rsidRPr="00F871DE" w:rsidRDefault="00F871DE" w:rsidP="00F871DE">
            <w:pPr>
              <w:spacing w:after="0" w:line="240" w:lineRule="auto"/>
              <w:jc w:val="right"/>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2,318,322,566 </w:t>
            </w:r>
          </w:p>
        </w:tc>
        <w:tc>
          <w:tcPr>
            <w:tcW w:w="1540" w:type="dxa"/>
            <w:tcBorders>
              <w:top w:val="nil"/>
              <w:left w:val="nil"/>
              <w:bottom w:val="single" w:sz="4" w:space="0" w:color="auto"/>
              <w:right w:val="single" w:sz="4" w:space="0" w:color="auto"/>
            </w:tcBorders>
            <w:shd w:val="clear" w:color="auto" w:fill="auto"/>
            <w:vAlign w:val="center"/>
            <w:hideMark/>
          </w:tcPr>
          <w:p w14:paraId="19C2A464" w14:textId="2DE57F30" w:rsidR="00F871DE" w:rsidRPr="00F871DE" w:rsidRDefault="00F871DE" w:rsidP="00F871DE">
            <w:pPr>
              <w:spacing w:after="0" w:line="240" w:lineRule="auto"/>
              <w:jc w:val="right"/>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1,842,055,351 </w:t>
            </w:r>
          </w:p>
        </w:tc>
      </w:tr>
      <w:tr w:rsidR="00F871DE" w:rsidRPr="00F871DE" w14:paraId="7D74BDB8" w14:textId="77777777" w:rsidTr="00946B18">
        <w:trPr>
          <w:trHeight w:val="124"/>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5C3463D0"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Terrenos</w:t>
            </w:r>
          </w:p>
        </w:tc>
        <w:tc>
          <w:tcPr>
            <w:tcW w:w="1720" w:type="dxa"/>
            <w:tcBorders>
              <w:top w:val="nil"/>
              <w:left w:val="nil"/>
              <w:bottom w:val="single" w:sz="4" w:space="0" w:color="auto"/>
              <w:right w:val="single" w:sz="4" w:space="0" w:color="auto"/>
            </w:tcBorders>
            <w:shd w:val="clear" w:color="auto" w:fill="auto"/>
            <w:vAlign w:val="center"/>
            <w:hideMark/>
          </w:tcPr>
          <w:p w14:paraId="60E60970"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1,000,000 </w:t>
            </w:r>
          </w:p>
        </w:tc>
        <w:tc>
          <w:tcPr>
            <w:tcW w:w="1540" w:type="dxa"/>
            <w:tcBorders>
              <w:top w:val="nil"/>
              <w:left w:val="nil"/>
              <w:bottom w:val="single" w:sz="4" w:space="0" w:color="auto"/>
              <w:right w:val="single" w:sz="4" w:space="0" w:color="auto"/>
            </w:tcBorders>
            <w:shd w:val="clear" w:color="auto" w:fill="auto"/>
            <w:vAlign w:val="center"/>
            <w:hideMark/>
          </w:tcPr>
          <w:p w14:paraId="7404F696"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r>
      <w:tr w:rsidR="00F871DE" w:rsidRPr="00F871DE" w14:paraId="4E8CCA47" w14:textId="77777777" w:rsidTr="00946B18">
        <w:trPr>
          <w:trHeight w:val="315"/>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029F24F9"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Viviendas</w:t>
            </w:r>
          </w:p>
        </w:tc>
        <w:tc>
          <w:tcPr>
            <w:tcW w:w="1720" w:type="dxa"/>
            <w:tcBorders>
              <w:top w:val="nil"/>
              <w:left w:val="nil"/>
              <w:bottom w:val="single" w:sz="4" w:space="0" w:color="auto"/>
              <w:right w:val="single" w:sz="4" w:space="0" w:color="auto"/>
            </w:tcBorders>
            <w:shd w:val="clear" w:color="auto" w:fill="auto"/>
            <w:vAlign w:val="center"/>
            <w:hideMark/>
          </w:tcPr>
          <w:p w14:paraId="2E5A11F1"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auto" w:fill="auto"/>
            <w:vAlign w:val="center"/>
            <w:hideMark/>
          </w:tcPr>
          <w:p w14:paraId="506F07D8"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r>
      <w:tr w:rsidR="00F871DE" w:rsidRPr="00F871DE" w14:paraId="45A2C883" w14:textId="77777777" w:rsidTr="00946B18">
        <w:trPr>
          <w:trHeight w:val="260"/>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0A38D359"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Edificios no Habitacionales</w:t>
            </w:r>
          </w:p>
        </w:tc>
        <w:tc>
          <w:tcPr>
            <w:tcW w:w="1720" w:type="dxa"/>
            <w:tcBorders>
              <w:top w:val="nil"/>
              <w:left w:val="nil"/>
              <w:bottom w:val="single" w:sz="4" w:space="0" w:color="auto"/>
              <w:right w:val="single" w:sz="4" w:space="0" w:color="auto"/>
            </w:tcBorders>
            <w:shd w:val="clear" w:color="auto" w:fill="auto"/>
            <w:vAlign w:val="center"/>
            <w:hideMark/>
          </w:tcPr>
          <w:p w14:paraId="4110B0BC"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auto" w:fill="auto"/>
            <w:vAlign w:val="center"/>
            <w:hideMark/>
          </w:tcPr>
          <w:p w14:paraId="3858E700"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r>
      <w:tr w:rsidR="00F871DE" w:rsidRPr="00F871DE" w14:paraId="6A92BC4E" w14:textId="77777777" w:rsidTr="00946B18">
        <w:trPr>
          <w:trHeight w:val="420"/>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10F31772"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Infraestructura</w:t>
            </w:r>
          </w:p>
        </w:tc>
        <w:tc>
          <w:tcPr>
            <w:tcW w:w="1720" w:type="dxa"/>
            <w:tcBorders>
              <w:top w:val="nil"/>
              <w:left w:val="nil"/>
              <w:bottom w:val="single" w:sz="4" w:space="0" w:color="auto"/>
              <w:right w:val="single" w:sz="4" w:space="0" w:color="auto"/>
            </w:tcBorders>
            <w:shd w:val="clear" w:color="auto" w:fill="auto"/>
            <w:vAlign w:val="center"/>
            <w:hideMark/>
          </w:tcPr>
          <w:p w14:paraId="58D71953"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auto" w:fill="auto"/>
            <w:vAlign w:val="center"/>
            <w:hideMark/>
          </w:tcPr>
          <w:p w14:paraId="4EF365BC"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r>
      <w:tr w:rsidR="00F871DE" w:rsidRPr="00F871DE" w14:paraId="3104F3BC" w14:textId="77777777" w:rsidTr="00946B18">
        <w:trPr>
          <w:trHeight w:val="161"/>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1A4EE277"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Construcciones en Proceso en Bienes de Dominio Público</w:t>
            </w:r>
          </w:p>
        </w:tc>
        <w:tc>
          <w:tcPr>
            <w:tcW w:w="1720" w:type="dxa"/>
            <w:tcBorders>
              <w:top w:val="nil"/>
              <w:left w:val="nil"/>
              <w:bottom w:val="single" w:sz="4" w:space="0" w:color="auto"/>
              <w:right w:val="single" w:sz="4" w:space="0" w:color="auto"/>
            </w:tcBorders>
            <w:shd w:val="clear" w:color="000000" w:fill="FFFFFF"/>
            <w:vAlign w:val="center"/>
            <w:hideMark/>
          </w:tcPr>
          <w:p w14:paraId="5F52B8CF"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1,600,298,695 </w:t>
            </w:r>
          </w:p>
        </w:tc>
        <w:tc>
          <w:tcPr>
            <w:tcW w:w="1540" w:type="dxa"/>
            <w:tcBorders>
              <w:top w:val="nil"/>
              <w:left w:val="nil"/>
              <w:bottom w:val="single" w:sz="4" w:space="0" w:color="auto"/>
              <w:right w:val="single" w:sz="4" w:space="0" w:color="auto"/>
            </w:tcBorders>
            <w:shd w:val="clear" w:color="000000" w:fill="FFFFFF"/>
            <w:vAlign w:val="center"/>
            <w:hideMark/>
          </w:tcPr>
          <w:p w14:paraId="0388C547" w14:textId="584D2788"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1,338,766,556 </w:t>
            </w:r>
          </w:p>
        </w:tc>
      </w:tr>
      <w:tr w:rsidR="00F871DE" w:rsidRPr="00F871DE" w14:paraId="380A6990" w14:textId="77777777" w:rsidTr="00946B18">
        <w:trPr>
          <w:trHeight w:val="161"/>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26073CF4"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Construcciones en Proceso en Bienes Propios</w:t>
            </w:r>
          </w:p>
        </w:tc>
        <w:tc>
          <w:tcPr>
            <w:tcW w:w="1720" w:type="dxa"/>
            <w:tcBorders>
              <w:top w:val="nil"/>
              <w:left w:val="nil"/>
              <w:bottom w:val="single" w:sz="4" w:space="0" w:color="auto"/>
              <w:right w:val="single" w:sz="4" w:space="0" w:color="auto"/>
            </w:tcBorders>
            <w:shd w:val="clear" w:color="000000" w:fill="FFFFFF"/>
            <w:vAlign w:val="center"/>
            <w:hideMark/>
          </w:tcPr>
          <w:p w14:paraId="7EBA2551"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717,023,871 </w:t>
            </w:r>
          </w:p>
        </w:tc>
        <w:tc>
          <w:tcPr>
            <w:tcW w:w="1540" w:type="dxa"/>
            <w:tcBorders>
              <w:top w:val="nil"/>
              <w:left w:val="nil"/>
              <w:bottom w:val="single" w:sz="4" w:space="0" w:color="auto"/>
              <w:right w:val="single" w:sz="4" w:space="0" w:color="auto"/>
            </w:tcBorders>
            <w:shd w:val="clear" w:color="000000" w:fill="FFFFFF"/>
            <w:vAlign w:val="center"/>
            <w:hideMark/>
          </w:tcPr>
          <w:p w14:paraId="46369BF9"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503,288,795 </w:t>
            </w:r>
          </w:p>
        </w:tc>
      </w:tr>
      <w:tr w:rsidR="00F871DE" w:rsidRPr="00F871DE" w14:paraId="173E5543" w14:textId="77777777" w:rsidTr="00946B18">
        <w:trPr>
          <w:trHeight w:val="250"/>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02808572"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Otros Bienes Inmuebles</w:t>
            </w:r>
          </w:p>
        </w:tc>
        <w:tc>
          <w:tcPr>
            <w:tcW w:w="1720" w:type="dxa"/>
            <w:tcBorders>
              <w:top w:val="nil"/>
              <w:left w:val="nil"/>
              <w:bottom w:val="single" w:sz="4" w:space="0" w:color="auto"/>
              <w:right w:val="single" w:sz="4" w:space="0" w:color="auto"/>
            </w:tcBorders>
            <w:shd w:val="clear" w:color="auto" w:fill="auto"/>
            <w:vAlign w:val="center"/>
            <w:hideMark/>
          </w:tcPr>
          <w:p w14:paraId="178C0882"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auto" w:fill="auto"/>
            <w:vAlign w:val="center"/>
            <w:hideMark/>
          </w:tcPr>
          <w:p w14:paraId="722F2F81"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r>
      <w:tr w:rsidR="00F871DE" w:rsidRPr="00F871DE" w14:paraId="5912F1F6" w14:textId="77777777" w:rsidTr="00946B18">
        <w:trPr>
          <w:trHeight w:val="70"/>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4D59A64F" w14:textId="77777777" w:rsidR="00F871DE" w:rsidRPr="00F871DE" w:rsidRDefault="00F871DE" w:rsidP="00F871DE">
            <w:pPr>
              <w:spacing w:after="0" w:line="240" w:lineRule="auto"/>
              <w:jc w:val="both"/>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Bienes Muebles</w:t>
            </w:r>
          </w:p>
        </w:tc>
        <w:tc>
          <w:tcPr>
            <w:tcW w:w="1720" w:type="dxa"/>
            <w:tcBorders>
              <w:top w:val="nil"/>
              <w:left w:val="nil"/>
              <w:bottom w:val="single" w:sz="4" w:space="0" w:color="auto"/>
              <w:right w:val="single" w:sz="4" w:space="0" w:color="auto"/>
            </w:tcBorders>
            <w:shd w:val="clear" w:color="auto" w:fill="auto"/>
            <w:noWrap/>
            <w:vAlign w:val="center"/>
            <w:hideMark/>
          </w:tcPr>
          <w:p w14:paraId="034DFCAB" w14:textId="77777777" w:rsidR="00F871DE" w:rsidRPr="00F871DE" w:rsidRDefault="00F871DE" w:rsidP="00F871DE">
            <w:pPr>
              <w:spacing w:after="0" w:line="240" w:lineRule="auto"/>
              <w:jc w:val="right"/>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311,333,101 </w:t>
            </w:r>
          </w:p>
        </w:tc>
        <w:tc>
          <w:tcPr>
            <w:tcW w:w="1540" w:type="dxa"/>
            <w:tcBorders>
              <w:top w:val="nil"/>
              <w:left w:val="nil"/>
              <w:bottom w:val="single" w:sz="4" w:space="0" w:color="auto"/>
              <w:right w:val="single" w:sz="4" w:space="0" w:color="auto"/>
            </w:tcBorders>
            <w:shd w:val="clear" w:color="auto" w:fill="auto"/>
            <w:vAlign w:val="center"/>
            <w:hideMark/>
          </w:tcPr>
          <w:p w14:paraId="61E2E909" w14:textId="77777777" w:rsidR="00F871DE" w:rsidRPr="00F871DE" w:rsidRDefault="00F871DE" w:rsidP="00F871DE">
            <w:pPr>
              <w:spacing w:after="0" w:line="240" w:lineRule="auto"/>
              <w:jc w:val="right"/>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349,622,153 </w:t>
            </w:r>
          </w:p>
        </w:tc>
      </w:tr>
      <w:tr w:rsidR="00F871DE" w:rsidRPr="00F871DE" w14:paraId="02706E1D" w14:textId="77777777" w:rsidTr="00946B18">
        <w:trPr>
          <w:trHeight w:val="272"/>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46D9463B"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Mobiliario y Equipo de Administración</w:t>
            </w:r>
          </w:p>
        </w:tc>
        <w:tc>
          <w:tcPr>
            <w:tcW w:w="1720" w:type="dxa"/>
            <w:tcBorders>
              <w:top w:val="nil"/>
              <w:left w:val="nil"/>
              <w:bottom w:val="single" w:sz="4" w:space="0" w:color="auto"/>
              <w:right w:val="single" w:sz="4" w:space="0" w:color="auto"/>
            </w:tcBorders>
            <w:shd w:val="clear" w:color="000000" w:fill="FFFFFF"/>
            <w:vAlign w:val="center"/>
            <w:hideMark/>
          </w:tcPr>
          <w:p w14:paraId="18681370"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171,167,022 </w:t>
            </w:r>
          </w:p>
        </w:tc>
        <w:tc>
          <w:tcPr>
            <w:tcW w:w="1540" w:type="dxa"/>
            <w:tcBorders>
              <w:top w:val="nil"/>
              <w:left w:val="nil"/>
              <w:bottom w:val="single" w:sz="4" w:space="0" w:color="auto"/>
              <w:right w:val="single" w:sz="4" w:space="0" w:color="auto"/>
            </w:tcBorders>
            <w:shd w:val="clear" w:color="000000" w:fill="FFFFFF"/>
            <w:vAlign w:val="center"/>
            <w:hideMark/>
          </w:tcPr>
          <w:p w14:paraId="6BBE6688"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62,825,057 </w:t>
            </w:r>
          </w:p>
        </w:tc>
      </w:tr>
      <w:tr w:rsidR="00F871DE" w:rsidRPr="00F871DE" w14:paraId="3EB5262D" w14:textId="77777777" w:rsidTr="00946B18">
        <w:trPr>
          <w:trHeight w:val="330"/>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2E3D0802"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Mobiliario y Equipo Educacional y Recreativo</w:t>
            </w:r>
          </w:p>
        </w:tc>
        <w:tc>
          <w:tcPr>
            <w:tcW w:w="1720" w:type="dxa"/>
            <w:tcBorders>
              <w:top w:val="nil"/>
              <w:left w:val="nil"/>
              <w:bottom w:val="single" w:sz="4" w:space="0" w:color="auto"/>
              <w:right w:val="single" w:sz="4" w:space="0" w:color="auto"/>
            </w:tcBorders>
            <w:shd w:val="clear" w:color="000000" w:fill="FFFFFF"/>
            <w:vAlign w:val="center"/>
            <w:hideMark/>
          </w:tcPr>
          <w:p w14:paraId="7668F46A"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13,644,889 </w:t>
            </w:r>
          </w:p>
        </w:tc>
        <w:tc>
          <w:tcPr>
            <w:tcW w:w="1540" w:type="dxa"/>
            <w:tcBorders>
              <w:top w:val="nil"/>
              <w:left w:val="nil"/>
              <w:bottom w:val="single" w:sz="4" w:space="0" w:color="auto"/>
              <w:right w:val="single" w:sz="4" w:space="0" w:color="auto"/>
            </w:tcBorders>
            <w:shd w:val="clear" w:color="000000" w:fill="FFFFFF"/>
            <w:vAlign w:val="center"/>
            <w:hideMark/>
          </w:tcPr>
          <w:p w14:paraId="3375867D"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10,220,155 </w:t>
            </w:r>
          </w:p>
        </w:tc>
      </w:tr>
      <w:tr w:rsidR="00F871DE" w:rsidRPr="00F871DE" w14:paraId="3C988AC7" w14:textId="77777777" w:rsidTr="00946B18">
        <w:trPr>
          <w:trHeight w:val="223"/>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4686721A"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Equipo e Instrumental Médico y de Laboratorio</w:t>
            </w:r>
          </w:p>
        </w:tc>
        <w:tc>
          <w:tcPr>
            <w:tcW w:w="1720" w:type="dxa"/>
            <w:tcBorders>
              <w:top w:val="nil"/>
              <w:left w:val="nil"/>
              <w:bottom w:val="single" w:sz="4" w:space="0" w:color="auto"/>
              <w:right w:val="single" w:sz="4" w:space="0" w:color="auto"/>
            </w:tcBorders>
            <w:shd w:val="clear" w:color="auto" w:fill="auto"/>
            <w:vAlign w:val="center"/>
            <w:hideMark/>
          </w:tcPr>
          <w:p w14:paraId="2ED41C8C"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806,615 </w:t>
            </w:r>
          </w:p>
        </w:tc>
        <w:tc>
          <w:tcPr>
            <w:tcW w:w="1540" w:type="dxa"/>
            <w:tcBorders>
              <w:top w:val="nil"/>
              <w:left w:val="nil"/>
              <w:bottom w:val="single" w:sz="4" w:space="0" w:color="auto"/>
              <w:right w:val="single" w:sz="4" w:space="0" w:color="auto"/>
            </w:tcBorders>
            <w:shd w:val="clear" w:color="000000" w:fill="FFFFFF"/>
            <w:vAlign w:val="center"/>
            <w:hideMark/>
          </w:tcPr>
          <w:p w14:paraId="1A57FD2E"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146,584 </w:t>
            </w:r>
          </w:p>
        </w:tc>
      </w:tr>
      <w:tr w:rsidR="00F871DE" w:rsidRPr="00F871DE" w14:paraId="033BC61F" w14:textId="77777777" w:rsidTr="00946B18">
        <w:trPr>
          <w:trHeight w:val="128"/>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4310CF8E"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Vehículos y Equipo de Transporte</w:t>
            </w:r>
          </w:p>
        </w:tc>
        <w:tc>
          <w:tcPr>
            <w:tcW w:w="1720" w:type="dxa"/>
            <w:tcBorders>
              <w:top w:val="nil"/>
              <w:left w:val="nil"/>
              <w:bottom w:val="single" w:sz="4" w:space="0" w:color="auto"/>
              <w:right w:val="single" w:sz="4" w:space="0" w:color="auto"/>
            </w:tcBorders>
            <w:shd w:val="clear" w:color="000000" w:fill="FFFFFF"/>
            <w:vAlign w:val="center"/>
            <w:hideMark/>
          </w:tcPr>
          <w:p w14:paraId="76F75D90"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68,660,106 </w:t>
            </w:r>
          </w:p>
        </w:tc>
        <w:tc>
          <w:tcPr>
            <w:tcW w:w="1540" w:type="dxa"/>
            <w:tcBorders>
              <w:top w:val="nil"/>
              <w:left w:val="nil"/>
              <w:bottom w:val="single" w:sz="4" w:space="0" w:color="auto"/>
              <w:right w:val="single" w:sz="4" w:space="0" w:color="auto"/>
            </w:tcBorders>
            <w:shd w:val="clear" w:color="000000" w:fill="FFFFFF"/>
            <w:vAlign w:val="center"/>
            <w:hideMark/>
          </w:tcPr>
          <w:p w14:paraId="0ACD5B7F"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138,622,303 </w:t>
            </w:r>
          </w:p>
        </w:tc>
      </w:tr>
      <w:tr w:rsidR="00F871DE" w:rsidRPr="00F871DE" w14:paraId="2289E208" w14:textId="77777777" w:rsidTr="00946B18">
        <w:trPr>
          <w:trHeight w:val="226"/>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272C4278"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Equipo de Defensa y Seguridad</w:t>
            </w:r>
          </w:p>
        </w:tc>
        <w:tc>
          <w:tcPr>
            <w:tcW w:w="1720" w:type="dxa"/>
            <w:tcBorders>
              <w:top w:val="nil"/>
              <w:left w:val="nil"/>
              <w:bottom w:val="single" w:sz="4" w:space="0" w:color="auto"/>
              <w:right w:val="single" w:sz="4" w:space="0" w:color="auto"/>
            </w:tcBorders>
            <w:shd w:val="clear" w:color="000000" w:fill="FFFFFF"/>
            <w:vAlign w:val="center"/>
            <w:hideMark/>
          </w:tcPr>
          <w:p w14:paraId="67FEB9B4"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2,787,009 </w:t>
            </w:r>
          </w:p>
        </w:tc>
        <w:tc>
          <w:tcPr>
            <w:tcW w:w="1540" w:type="dxa"/>
            <w:tcBorders>
              <w:top w:val="nil"/>
              <w:left w:val="nil"/>
              <w:bottom w:val="single" w:sz="4" w:space="0" w:color="auto"/>
              <w:right w:val="single" w:sz="4" w:space="0" w:color="auto"/>
            </w:tcBorders>
            <w:shd w:val="clear" w:color="000000" w:fill="FFFFFF"/>
            <w:vAlign w:val="center"/>
            <w:hideMark/>
          </w:tcPr>
          <w:p w14:paraId="32272381"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31,599,830 </w:t>
            </w:r>
          </w:p>
        </w:tc>
      </w:tr>
      <w:tr w:rsidR="00F871DE" w:rsidRPr="00F871DE" w14:paraId="7A0B0991" w14:textId="77777777" w:rsidTr="00946B18">
        <w:trPr>
          <w:trHeight w:val="94"/>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1EB12267"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Maquinaria, Otros Equipos y Herramientas</w:t>
            </w:r>
          </w:p>
        </w:tc>
        <w:tc>
          <w:tcPr>
            <w:tcW w:w="1720" w:type="dxa"/>
            <w:tcBorders>
              <w:top w:val="nil"/>
              <w:left w:val="nil"/>
              <w:bottom w:val="single" w:sz="4" w:space="0" w:color="auto"/>
              <w:right w:val="single" w:sz="4" w:space="0" w:color="auto"/>
            </w:tcBorders>
            <w:shd w:val="clear" w:color="000000" w:fill="FFFFFF"/>
            <w:vAlign w:val="center"/>
            <w:hideMark/>
          </w:tcPr>
          <w:p w14:paraId="0C818690"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54,267,460 </w:t>
            </w:r>
          </w:p>
        </w:tc>
        <w:tc>
          <w:tcPr>
            <w:tcW w:w="1540" w:type="dxa"/>
            <w:tcBorders>
              <w:top w:val="nil"/>
              <w:left w:val="nil"/>
              <w:bottom w:val="single" w:sz="4" w:space="0" w:color="auto"/>
              <w:right w:val="single" w:sz="4" w:space="0" w:color="auto"/>
            </w:tcBorders>
            <w:shd w:val="clear" w:color="000000" w:fill="FFFFFF"/>
            <w:vAlign w:val="center"/>
            <w:hideMark/>
          </w:tcPr>
          <w:p w14:paraId="6013FE2E"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 xml:space="preserve">     106,208,224 </w:t>
            </w:r>
          </w:p>
        </w:tc>
      </w:tr>
      <w:tr w:rsidR="00F871DE" w:rsidRPr="00F871DE" w14:paraId="6CA6886C" w14:textId="77777777" w:rsidTr="00946B18">
        <w:trPr>
          <w:trHeight w:val="139"/>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147AFE3C"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Colecciones, Obras de Arte y Objetos Valiosos</w:t>
            </w:r>
          </w:p>
        </w:tc>
        <w:tc>
          <w:tcPr>
            <w:tcW w:w="1720" w:type="dxa"/>
            <w:tcBorders>
              <w:top w:val="nil"/>
              <w:left w:val="nil"/>
              <w:bottom w:val="single" w:sz="4" w:space="0" w:color="auto"/>
              <w:right w:val="single" w:sz="4" w:space="0" w:color="auto"/>
            </w:tcBorders>
            <w:shd w:val="clear" w:color="auto" w:fill="auto"/>
            <w:vAlign w:val="center"/>
            <w:hideMark/>
          </w:tcPr>
          <w:p w14:paraId="4D77EF54"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auto" w:fill="auto"/>
            <w:vAlign w:val="center"/>
            <w:hideMark/>
          </w:tcPr>
          <w:p w14:paraId="0D2557D0"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r>
      <w:tr w:rsidR="00F871DE" w:rsidRPr="00F871DE" w14:paraId="5AC6517E" w14:textId="77777777" w:rsidTr="00946B18">
        <w:trPr>
          <w:trHeight w:val="172"/>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4BCC8A79" w14:textId="77777777" w:rsidR="00F871DE" w:rsidRPr="00F871DE" w:rsidRDefault="00F871DE" w:rsidP="00F871DE">
            <w:pPr>
              <w:spacing w:after="0" w:line="240" w:lineRule="auto"/>
              <w:jc w:val="both"/>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Activos Biológicos</w:t>
            </w:r>
          </w:p>
        </w:tc>
        <w:tc>
          <w:tcPr>
            <w:tcW w:w="1720" w:type="dxa"/>
            <w:tcBorders>
              <w:top w:val="nil"/>
              <w:left w:val="nil"/>
              <w:bottom w:val="single" w:sz="4" w:space="0" w:color="auto"/>
              <w:right w:val="single" w:sz="4" w:space="0" w:color="auto"/>
            </w:tcBorders>
            <w:shd w:val="clear" w:color="auto" w:fill="auto"/>
            <w:vAlign w:val="center"/>
            <w:hideMark/>
          </w:tcPr>
          <w:p w14:paraId="00E92BE3"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auto" w:fill="auto"/>
            <w:vAlign w:val="center"/>
            <w:hideMark/>
          </w:tcPr>
          <w:p w14:paraId="0C455479" w14:textId="77777777" w:rsidR="00F871DE" w:rsidRPr="00F871DE" w:rsidRDefault="00F871DE" w:rsidP="00F871DE">
            <w:pPr>
              <w:spacing w:after="0" w:line="240" w:lineRule="auto"/>
              <w:jc w:val="right"/>
              <w:rPr>
                <w:rFonts w:ascii="Arial" w:eastAsia="Times New Roman" w:hAnsi="Arial" w:cs="Arial"/>
                <w:color w:val="000000"/>
                <w:sz w:val="20"/>
                <w:szCs w:val="20"/>
                <w:lang w:eastAsia="es-MX"/>
              </w:rPr>
            </w:pPr>
            <w:r w:rsidRPr="00F871DE">
              <w:rPr>
                <w:rFonts w:ascii="Arial" w:eastAsia="Times New Roman" w:hAnsi="Arial" w:cs="Arial"/>
                <w:color w:val="000000"/>
                <w:sz w:val="20"/>
                <w:szCs w:val="20"/>
                <w:lang w:eastAsia="es-MX"/>
              </w:rPr>
              <w:t>0</w:t>
            </w:r>
          </w:p>
        </w:tc>
      </w:tr>
      <w:tr w:rsidR="00F871DE" w:rsidRPr="00F871DE" w14:paraId="1C24B063" w14:textId="77777777" w:rsidTr="00946B18">
        <w:trPr>
          <w:trHeight w:val="70"/>
          <w:jc w:val="center"/>
        </w:trPr>
        <w:tc>
          <w:tcPr>
            <w:tcW w:w="7079" w:type="dxa"/>
            <w:tcBorders>
              <w:top w:val="nil"/>
              <w:left w:val="single" w:sz="4" w:space="0" w:color="auto"/>
              <w:bottom w:val="single" w:sz="4" w:space="0" w:color="auto"/>
              <w:right w:val="single" w:sz="4" w:space="0" w:color="auto"/>
            </w:tcBorders>
            <w:shd w:val="clear" w:color="auto" w:fill="auto"/>
            <w:vAlign w:val="center"/>
            <w:hideMark/>
          </w:tcPr>
          <w:p w14:paraId="05312236" w14:textId="77777777" w:rsidR="00F871DE" w:rsidRPr="00F871DE" w:rsidRDefault="00F871DE" w:rsidP="00F871DE">
            <w:pPr>
              <w:spacing w:after="0" w:line="240" w:lineRule="auto"/>
              <w:jc w:val="both"/>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Otras Inversiones</w:t>
            </w:r>
          </w:p>
        </w:tc>
        <w:tc>
          <w:tcPr>
            <w:tcW w:w="1720" w:type="dxa"/>
            <w:tcBorders>
              <w:top w:val="nil"/>
              <w:left w:val="nil"/>
              <w:bottom w:val="single" w:sz="4" w:space="0" w:color="auto"/>
              <w:right w:val="single" w:sz="4" w:space="0" w:color="auto"/>
            </w:tcBorders>
            <w:shd w:val="clear" w:color="000000" w:fill="FFFFFF"/>
            <w:vAlign w:val="center"/>
            <w:hideMark/>
          </w:tcPr>
          <w:p w14:paraId="48FA1BBA" w14:textId="77777777" w:rsidR="00F871DE" w:rsidRPr="00F871DE" w:rsidRDefault="00F871DE" w:rsidP="00F871DE">
            <w:pPr>
              <w:spacing w:after="0" w:line="240" w:lineRule="auto"/>
              <w:jc w:val="right"/>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3,935,128 </w:t>
            </w:r>
          </w:p>
        </w:tc>
        <w:tc>
          <w:tcPr>
            <w:tcW w:w="1540" w:type="dxa"/>
            <w:tcBorders>
              <w:top w:val="nil"/>
              <w:left w:val="nil"/>
              <w:bottom w:val="single" w:sz="4" w:space="0" w:color="auto"/>
              <w:right w:val="single" w:sz="4" w:space="0" w:color="auto"/>
            </w:tcBorders>
            <w:shd w:val="clear" w:color="auto" w:fill="auto"/>
            <w:vAlign w:val="center"/>
            <w:hideMark/>
          </w:tcPr>
          <w:p w14:paraId="3E068B8F" w14:textId="77777777" w:rsidR="00F871DE" w:rsidRPr="00F871DE" w:rsidRDefault="00F871DE" w:rsidP="00F871DE">
            <w:pPr>
              <w:spacing w:after="0" w:line="240" w:lineRule="auto"/>
              <w:jc w:val="right"/>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28,010,071 </w:t>
            </w:r>
          </w:p>
        </w:tc>
      </w:tr>
      <w:tr w:rsidR="00F871DE" w:rsidRPr="00F871DE" w14:paraId="56BA5448" w14:textId="77777777" w:rsidTr="00946B18">
        <w:trPr>
          <w:trHeight w:val="217"/>
          <w:jc w:val="center"/>
        </w:trPr>
        <w:tc>
          <w:tcPr>
            <w:tcW w:w="7079" w:type="dxa"/>
            <w:tcBorders>
              <w:top w:val="nil"/>
              <w:left w:val="single" w:sz="4" w:space="0" w:color="auto"/>
              <w:bottom w:val="single" w:sz="4" w:space="0" w:color="auto"/>
              <w:right w:val="single" w:sz="4" w:space="0" w:color="auto"/>
            </w:tcBorders>
            <w:shd w:val="clear" w:color="000000" w:fill="D9D9D9"/>
            <w:vAlign w:val="center"/>
            <w:hideMark/>
          </w:tcPr>
          <w:p w14:paraId="468F8BB9" w14:textId="77777777" w:rsidR="00F871DE" w:rsidRPr="00F871DE" w:rsidRDefault="00F871DE" w:rsidP="00F871DE">
            <w:pPr>
              <w:spacing w:after="0" w:line="240" w:lineRule="auto"/>
              <w:jc w:val="center"/>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Total</w:t>
            </w:r>
          </w:p>
        </w:tc>
        <w:tc>
          <w:tcPr>
            <w:tcW w:w="1720" w:type="dxa"/>
            <w:tcBorders>
              <w:top w:val="nil"/>
              <w:left w:val="nil"/>
              <w:bottom w:val="single" w:sz="4" w:space="0" w:color="auto"/>
              <w:right w:val="single" w:sz="4" w:space="0" w:color="auto"/>
            </w:tcBorders>
            <w:shd w:val="clear" w:color="000000" w:fill="D9D9D9"/>
            <w:vAlign w:val="center"/>
            <w:hideMark/>
          </w:tcPr>
          <w:p w14:paraId="0BF0162C" w14:textId="4A536068" w:rsidR="00F871DE" w:rsidRPr="00F871DE" w:rsidRDefault="008704C9" w:rsidP="00F871D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2,633,590,795</w:t>
            </w:r>
            <w:r w:rsidR="00F871DE" w:rsidRPr="00F871DE">
              <w:rPr>
                <w:rFonts w:ascii="Arial" w:eastAsia="Times New Roman" w:hAnsi="Arial" w:cs="Arial"/>
                <w:b/>
                <w:bCs/>
                <w:color w:val="000000"/>
                <w:sz w:val="20"/>
                <w:szCs w:val="20"/>
                <w:lang w:eastAsia="es-MX"/>
              </w:rPr>
              <w:t xml:space="preserve"> </w:t>
            </w:r>
          </w:p>
        </w:tc>
        <w:tc>
          <w:tcPr>
            <w:tcW w:w="1540" w:type="dxa"/>
            <w:tcBorders>
              <w:top w:val="nil"/>
              <w:left w:val="nil"/>
              <w:bottom w:val="single" w:sz="4" w:space="0" w:color="auto"/>
              <w:right w:val="single" w:sz="4" w:space="0" w:color="auto"/>
            </w:tcBorders>
            <w:shd w:val="clear" w:color="000000" w:fill="D9D9D9"/>
            <w:vAlign w:val="center"/>
            <w:hideMark/>
          </w:tcPr>
          <w:p w14:paraId="148F40EC" w14:textId="7BA6420E" w:rsidR="00F871DE" w:rsidRPr="00F871DE" w:rsidRDefault="00F871DE" w:rsidP="00F871DE">
            <w:pPr>
              <w:spacing w:after="0" w:line="240" w:lineRule="auto"/>
              <w:jc w:val="right"/>
              <w:rPr>
                <w:rFonts w:ascii="Arial" w:eastAsia="Times New Roman" w:hAnsi="Arial" w:cs="Arial"/>
                <w:b/>
                <w:bCs/>
                <w:color w:val="000000"/>
                <w:sz w:val="20"/>
                <w:szCs w:val="20"/>
                <w:lang w:eastAsia="es-MX"/>
              </w:rPr>
            </w:pPr>
            <w:r w:rsidRPr="00F871DE">
              <w:rPr>
                <w:rFonts w:ascii="Arial" w:eastAsia="Times New Roman" w:hAnsi="Arial" w:cs="Arial"/>
                <w:b/>
                <w:bCs/>
                <w:color w:val="000000"/>
                <w:sz w:val="20"/>
                <w:szCs w:val="20"/>
                <w:lang w:eastAsia="es-MX"/>
              </w:rPr>
              <w:t xml:space="preserve">  2,219,687,575 </w:t>
            </w:r>
          </w:p>
        </w:tc>
      </w:tr>
    </w:tbl>
    <w:p w14:paraId="51D0733A" w14:textId="77777777" w:rsidR="00681016" w:rsidRDefault="00681016" w:rsidP="00681016">
      <w:pPr>
        <w:spacing w:after="120" w:line="220" w:lineRule="exact"/>
        <w:ind w:left="648"/>
        <w:jc w:val="both"/>
        <w:rPr>
          <w:rFonts w:ascii="Arial" w:eastAsia="Times New Roman" w:hAnsi="Arial" w:cs="Arial"/>
          <w:sz w:val="20"/>
          <w:szCs w:val="20"/>
          <w:lang w:eastAsia="es-ES"/>
        </w:rPr>
      </w:pPr>
    </w:p>
    <w:p w14:paraId="44E16970" w14:textId="641E09E4" w:rsidR="006475DB" w:rsidRDefault="006475DB" w:rsidP="006475DB">
      <w:pPr>
        <w:spacing w:after="240" w:line="220" w:lineRule="exact"/>
        <w:jc w:val="both"/>
        <w:rPr>
          <w:rFonts w:ascii="Arial" w:eastAsia="Times New Roman" w:hAnsi="Arial" w:cs="Arial"/>
          <w:sz w:val="20"/>
          <w:szCs w:val="20"/>
          <w:lang w:eastAsia="es-ES"/>
        </w:rPr>
      </w:pPr>
      <w:r w:rsidRPr="000C42E6">
        <w:rPr>
          <w:rFonts w:ascii="Arial" w:eastAsia="Times New Roman" w:hAnsi="Arial" w:cs="Arial"/>
          <w:sz w:val="20"/>
          <w:szCs w:val="20"/>
          <w:lang w:eastAsia="es-ES"/>
        </w:rPr>
        <w:t xml:space="preserve">Las </w:t>
      </w:r>
      <w:r w:rsidRPr="000C42E6">
        <w:rPr>
          <w:rFonts w:ascii="Arial" w:eastAsia="Times New Roman" w:hAnsi="Arial" w:cs="Arial"/>
          <w:bCs/>
          <w:color w:val="000000"/>
          <w:sz w:val="20"/>
          <w:szCs w:val="20"/>
          <w:lang w:val="es-ES" w:eastAsia="es-MX"/>
        </w:rPr>
        <w:t>Adquisiciones de Actividades de Inversión efectivamente pagadas</w:t>
      </w:r>
      <w:r w:rsidRPr="000C42E6">
        <w:rPr>
          <w:rFonts w:ascii="Arial" w:eastAsia="Times New Roman" w:hAnsi="Arial" w:cs="Arial"/>
          <w:sz w:val="20"/>
          <w:szCs w:val="20"/>
          <w:lang w:eastAsia="es-ES"/>
        </w:rPr>
        <w:t xml:space="preserve"> del cuadro que antecede, para esta información, han sido obtenidas de los </w:t>
      </w:r>
      <w:r w:rsidRPr="000C42E6">
        <w:rPr>
          <w:rFonts w:ascii="Arial" w:eastAsia="Times New Roman" w:hAnsi="Arial" w:cs="Arial"/>
          <w:sz w:val="20"/>
          <w:szCs w:val="20"/>
          <w:lang w:val="es-ES" w:eastAsia="es-ES"/>
        </w:rPr>
        <w:t>Estados Analíticos del Ejercicio del Presupuesto de Egresos Clasificación por Objeto del Gasto (Capítulo y Concepto)</w:t>
      </w:r>
      <w:r w:rsidR="00704A74" w:rsidRPr="000C42E6">
        <w:rPr>
          <w:rFonts w:ascii="Arial" w:eastAsia="Times New Roman" w:hAnsi="Arial" w:cs="Arial"/>
          <w:sz w:val="20"/>
          <w:szCs w:val="20"/>
          <w:lang w:eastAsia="es-ES"/>
        </w:rPr>
        <w:t>, columna Pagado, de enero   a diciembre del 2024; y de enero</w:t>
      </w:r>
      <w:r w:rsidR="0089758A" w:rsidRPr="000C42E6">
        <w:rPr>
          <w:rFonts w:ascii="Arial" w:eastAsia="Times New Roman" w:hAnsi="Arial" w:cs="Arial"/>
          <w:sz w:val="20"/>
          <w:szCs w:val="20"/>
          <w:lang w:eastAsia="es-ES"/>
        </w:rPr>
        <w:t xml:space="preserve"> a </w:t>
      </w:r>
      <w:r w:rsidR="00704A74" w:rsidRPr="000C42E6">
        <w:rPr>
          <w:rFonts w:ascii="Arial" w:eastAsia="Times New Roman" w:hAnsi="Arial" w:cs="Arial"/>
          <w:sz w:val="20"/>
          <w:szCs w:val="20"/>
          <w:lang w:eastAsia="es-ES"/>
        </w:rPr>
        <w:t>diciembre del</w:t>
      </w:r>
      <w:r w:rsidRPr="000C42E6">
        <w:rPr>
          <w:rFonts w:ascii="Arial" w:eastAsia="Times New Roman" w:hAnsi="Arial" w:cs="Arial"/>
          <w:sz w:val="20"/>
          <w:szCs w:val="20"/>
          <w:lang w:eastAsia="es-ES"/>
        </w:rPr>
        <w:t xml:space="preserve"> 2025. Por tal motivo difieren del Estado de Flujos de Efectivo, elaborado conforme a lo dispuesto por el CONAC en el punto 8, inciso a) del instructivo vigente de llenado del Estado de Flujos de Efectivo, directamente de la Contabilidad, (del Estado de Cambios en la Situación Financiera y del Estado de Actividades). </w:t>
      </w:r>
    </w:p>
    <w:p w14:paraId="26517C88" w14:textId="0692899D" w:rsidR="000C5EAC" w:rsidRDefault="006B1AD7" w:rsidP="00FD7AAE">
      <w:pPr>
        <w:numPr>
          <w:ilvl w:val="0"/>
          <w:numId w:val="19"/>
        </w:numPr>
        <w:spacing w:after="120" w:line="220" w:lineRule="exact"/>
        <w:jc w:val="both"/>
        <w:rPr>
          <w:rFonts w:ascii="Arial" w:eastAsia="Times New Roman" w:hAnsi="Arial" w:cs="Arial"/>
          <w:sz w:val="20"/>
          <w:szCs w:val="20"/>
          <w:lang w:eastAsia="es-ES"/>
        </w:rPr>
      </w:pPr>
      <w:r w:rsidRPr="000C42E6">
        <w:rPr>
          <w:rFonts w:ascii="Arial" w:eastAsia="Times New Roman" w:hAnsi="Arial" w:cs="Arial"/>
          <w:sz w:val="20"/>
          <w:szCs w:val="20"/>
          <w:lang w:eastAsia="es-ES"/>
        </w:rPr>
        <w:t xml:space="preserve">Conciliación de los Flujos de Efectivo Netos de las Actividades de Operación y los saldos de Resultados del Ejercicio (Ahorro/Desahorro), utilizando el siguiente cuadro: </w:t>
      </w:r>
    </w:p>
    <w:p w14:paraId="1E587893" w14:textId="77777777" w:rsidR="00BC2DBE" w:rsidRDefault="00BC2DBE" w:rsidP="00556E95">
      <w:pPr>
        <w:spacing w:after="120" w:line="220" w:lineRule="exact"/>
        <w:ind w:left="648"/>
        <w:jc w:val="both"/>
        <w:rPr>
          <w:rFonts w:ascii="Arial" w:eastAsia="Times New Roman" w:hAnsi="Arial" w:cs="Arial"/>
          <w:sz w:val="20"/>
          <w:szCs w:val="20"/>
          <w:lang w:eastAsia="es-ES"/>
        </w:rPr>
      </w:pPr>
    </w:p>
    <w:p w14:paraId="37FC5699" w14:textId="77777777" w:rsidR="006A2B01" w:rsidRDefault="006A2B01" w:rsidP="00556E95">
      <w:pPr>
        <w:spacing w:after="120" w:line="220" w:lineRule="exact"/>
        <w:ind w:left="648"/>
        <w:jc w:val="both"/>
        <w:rPr>
          <w:rFonts w:ascii="Arial" w:eastAsia="Times New Roman" w:hAnsi="Arial" w:cs="Arial"/>
          <w:sz w:val="20"/>
          <w:szCs w:val="20"/>
          <w:lang w:eastAsia="es-ES"/>
        </w:rPr>
      </w:pPr>
    </w:p>
    <w:p w14:paraId="6692F4B6" w14:textId="77777777" w:rsidR="006A2B01" w:rsidRPr="000C42E6" w:rsidRDefault="006A2B01" w:rsidP="00556E95">
      <w:pPr>
        <w:spacing w:after="120" w:line="220" w:lineRule="exact"/>
        <w:ind w:left="648"/>
        <w:jc w:val="both"/>
        <w:rPr>
          <w:rFonts w:ascii="Arial" w:eastAsia="Times New Roman" w:hAnsi="Arial" w:cs="Arial"/>
          <w:sz w:val="20"/>
          <w:szCs w:val="20"/>
          <w:lang w:eastAsia="es-ES"/>
        </w:rPr>
      </w:pPr>
    </w:p>
    <w:tbl>
      <w:tblPr>
        <w:tblW w:w="9342" w:type="dxa"/>
        <w:jc w:val="center"/>
        <w:tblCellMar>
          <w:left w:w="70" w:type="dxa"/>
          <w:right w:w="70" w:type="dxa"/>
        </w:tblCellMar>
        <w:tblLook w:val="04A0" w:firstRow="1" w:lastRow="0" w:firstColumn="1" w:lastColumn="0" w:noHBand="0" w:noVBand="1"/>
      </w:tblPr>
      <w:tblGrid>
        <w:gridCol w:w="6282"/>
        <w:gridCol w:w="1500"/>
        <w:gridCol w:w="1560"/>
      </w:tblGrid>
      <w:tr w:rsidR="00CE7EB5" w:rsidRPr="000C42E6" w14:paraId="321AED80" w14:textId="77777777" w:rsidTr="003F0312">
        <w:trPr>
          <w:trHeight w:val="300"/>
          <w:jc w:val="center"/>
        </w:trPr>
        <w:tc>
          <w:tcPr>
            <w:tcW w:w="934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5BA960B" w14:textId="77777777" w:rsidR="00CE7EB5" w:rsidRPr="000C42E6" w:rsidRDefault="00CE7EB5" w:rsidP="00CE7EB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lastRenderedPageBreak/>
              <w:t>CONCILIACION DE FLUJOS DE EFECTIVO NETOS</w:t>
            </w:r>
          </w:p>
        </w:tc>
      </w:tr>
      <w:tr w:rsidR="00CE7EB5" w:rsidRPr="000C42E6" w14:paraId="75473DF7" w14:textId="77777777" w:rsidTr="003F0312">
        <w:trPr>
          <w:trHeight w:val="765"/>
          <w:jc w:val="center"/>
        </w:trPr>
        <w:tc>
          <w:tcPr>
            <w:tcW w:w="6282" w:type="dxa"/>
            <w:tcBorders>
              <w:top w:val="nil"/>
              <w:left w:val="single" w:sz="4" w:space="0" w:color="auto"/>
              <w:bottom w:val="single" w:sz="4" w:space="0" w:color="auto"/>
              <w:right w:val="single" w:sz="4" w:space="0" w:color="auto"/>
            </w:tcBorders>
            <w:shd w:val="clear" w:color="000000" w:fill="D9D9D9"/>
            <w:vAlign w:val="center"/>
            <w:hideMark/>
          </w:tcPr>
          <w:p w14:paraId="4E16289B" w14:textId="77777777" w:rsidR="00CE7EB5" w:rsidRPr="000C42E6" w:rsidRDefault="00CE7EB5" w:rsidP="00CE7EB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Concepto</w:t>
            </w:r>
          </w:p>
        </w:tc>
        <w:tc>
          <w:tcPr>
            <w:tcW w:w="1500" w:type="dxa"/>
            <w:tcBorders>
              <w:top w:val="nil"/>
              <w:left w:val="nil"/>
              <w:bottom w:val="single" w:sz="4" w:space="0" w:color="auto"/>
              <w:right w:val="single" w:sz="4" w:space="0" w:color="auto"/>
            </w:tcBorders>
            <w:shd w:val="clear" w:color="000000" w:fill="D9D9D9"/>
            <w:vAlign w:val="center"/>
            <w:hideMark/>
          </w:tcPr>
          <w:p w14:paraId="4320ABBC" w14:textId="77777777" w:rsidR="00CE7EB5" w:rsidRPr="000C42E6" w:rsidRDefault="00CE7EB5" w:rsidP="00CE7EB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31 de diciembre de 2025 </w:t>
            </w:r>
          </w:p>
        </w:tc>
        <w:tc>
          <w:tcPr>
            <w:tcW w:w="1560" w:type="dxa"/>
            <w:tcBorders>
              <w:top w:val="nil"/>
              <w:left w:val="nil"/>
              <w:bottom w:val="single" w:sz="4" w:space="0" w:color="auto"/>
              <w:right w:val="single" w:sz="4" w:space="0" w:color="auto"/>
            </w:tcBorders>
            <w:shd w:val="clear" w:color="000000" w:fill="D9D9D9"/>
            <w:vAlign w:val="center"/>
            <w:hideMark/>
          </w:tcPr>
          <w:p w14:paraId="57691493" w14:textId="77777777" w:rsidR="00CE7EB5" w:rsidRPr="000C42E6" w:rsidRDefault="00CE7EB5" w:rsidP="00CE7EB5">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31 de diciembre de 2024</w:t>
            </w:r>
          </w:p>
        </w:tc>
      </w:tr>
      <w:tr w:rsidR="00CE7EB5" w:rsidRPr="000C42E6" w14:paraId="217B4816" w14:textId="77777777" w:rsidTr="003F0312">
        <w:trPr>
          <w:trHeight w:val="360"/>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49212284" w14:textId="77777777" w:rsidR="00CE7EB5" w:rsidRPr="000C42E6" w:rsidRDefault="00CE7EB5" w:rsidP="00CE7EB5">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Resultados del Ejercicio Ahorro/Desahorro</w:t>
            </w:r>
          </w:p>
        </w:tc>
        <w:tc>
          <w:tcPr>
            <w:tcW w:w="1500" w:type="dxa"/>
            <w:tcBorders>
              <w:top w:val="nil"/>
              <w:left w:val="nil"/>
              <w:bottom w:val="single" w:sz="4" w:space="0" w:color="auto"/>
              <w:right w:val="single" w:sz="4" w:space="0" w:color="auto"/>
            </w:tcBorders>
            <w:shd w:val="clear" w:color="auto" w:fill="auto"/>
            <w:vAlign w:val="center"/>
            <w:hideMark/>
          </w:tcPr>
          <w:p w14:paraId="1736107A" w14:textId="4419B1D5" w:rsidR="00CE7EB5" w:rsidRPr="000C42E6" w:rsidRDefault="00CE7EB5" w:rsidP="003F0312">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w:t>
            </w:r>
            <w:r w:rsidR="003F0312">
              <w:rPr>
                <w:rFonts w:ascii="Arial" w:eastAsia="Times New Roman" w:hAnsi="Arial" w:cs="Arial"/>
                <w:b/>
                <w:bCs/>
                <w:color w:val="000000"/>
                <w:sz w:val="20"/>
                <w:szCs w:val="20"/>
                <w:lang w:eastAsia="es-MX"/>
              </w:rPr>
              <w:t>745,245,708</w:t>
            </w:r>
          </w:p>
        </w:tc>
        <w:tc>
          <w:tcPr>
            <w:tcW w:w="1560" w:type="dxa"/>
            <w:tcBorders>
              <w:top w:val="nil"/>
              <w:left w:val="nil"/>
              <w:bottom w:val="single" w:sz="4" w:space="0" w:color="auto"/>
              <w:right w:val="single" w:sz="4" w:space="0" w:color="auto"/>
            </w:tcBorders>
            <w:shd w:val="clear" w:color="auto" w:fill="auto"/>
            <w:vAlign w:val="center"/>
            <w:hideMark/>
          </w:tcPr>
          <w:p w14:paraId="1022C8BA" w14:textId="77777777" w:rsidR="00CE7EB5" w:rsidRPr="000C42E6" w:rsidRDefault="00CE7EB5" w:rsidP="00CE7EB5">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428,419,988</w:t>
            </w:r>
          </w:p>
        </w:tc>
      </w:tr>
      <w:tr w:rsidR="00CE7EB5" w:rsidRPr="000C42E6" w14:paraId="1383B9B4" w14:textId="77777777" w:rsidTr="003F0312">
        <w:trPr>
          <w:trHeight w:val="265"/>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11893688" w14:textId="77777777" w:rsidR="00CE7EB5" w:rsidRPr="000C42E6" w:rsidRDefault="00CE7EB5" w:rsidP="00CE7EB5">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Movimientos de partidas (o rubros) que no afectan al efectivo</w:t>
            </w:r>
          </w:p>
        </w:tc>
        <w:tc>
          <w:tcPr>
            <w:tcW w:w="1500" w:type="dxa"/>
            <w:tcBorders>
              <w:top w:val="nil"/>
              <w:left w:val="nil"/>
              <w:bottom w:val="single" w:sz="4" w:space="0" w:color="auto"/>
              <w:right w:val="single" w:sz="4" w:space="0" w:color="auto"/>
            </w:tcBorders>
            <w:shd w:val="clear" w:color="auto" w:fill="auto"/>
            <w:vAlign w:val="center"/>
            <w:hideMark/>
          </w:tcPr>
          <w:p w14:paraId="57FDBE45" w14:textId="77777777" w:rsidR="00CE7EB5" w:rsidRPr="000C42E6" w:rsidRDefault="00CE7EB5" w:rsidP="00CE7EB5">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1,625,397,066</w:t>
            </w:r>
          </w:p>
        </w:tc>
        <w:tc>
          <w:tcPr>
            <w:tcW w:w="1560" w:type="dxa"/>
            <w:tcBorders>
              <w:top w:val="nil"/>
              <w:left w:val="nil"/>
              <w:bottom w:val="single" w:sz="4" w:space="0" w:color="auto"/>
              <w:right w:val="single" w:sz="4" w:space="0" w:color="auto"/>
            </w:tcBorders>
            <w:shd w:val="clear" w:color="auto" w:fill="auto"/>
            <w:vAlign w:val="center"/>
            <w:hideMark/>
          </w:tcPr>
          <w:p w14:paraId="3C79461E" w14:textId="77777777" w:rsidR="00CE7EB5" w:rsidRPr="000C42E6" w:rsidRDefault="00CE7EB5" w:rsidP="00CE7EB5">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1,389,116,720</w:t>
            </w:r>
          </w:p>
        </w:tc>
      </w:tr>
      <w:tr w:rsidR="00CE7EB5" w:rsidRPr="000C42E6" w14:paraId="00AD37F3" w14:textId="77777777" w:rsidTr="003F0312">
        <w:trPr>
          <w:trHeight w:val="300"/>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3F77E8D6"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Depreciación</w:t>
            </w:r>
          </w:p>
        </w:tc>
        <w:tc>
          <w:tcPr>
            <w:tcW w:w="1500" w:type="dxa"/>
            <w:tcBorders>
              <w:top w:val="nil"/>
              <w:left w:val="nil"/>
              <w:bottom w:val="single" w:sz="4" w:space="0" w:color="auto"/>
              <w:right w:val="single" w:sz="4" w:space="0" w:color="auto"/>
            </w:tcBorders>
            <w:shd w:val="clear" w:color="auto" w:fill="auto"/>
            <w:vAlign w:val="center"/>
            <w:hideMark/>
          </w:tcPr>
          <w:p w14:paraId="762C274A"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411,001,315</w:t>
            </w:r>
          </w:p>
        </w:tc>
        <w:tc>
          <w:tcPr>
            <w:tcW w:w="1560" w:type="dxa"/>
            <w:tcBorders>
              <w:top w:val="nil"/>
              <w:left w:val="nil"/>
              <w:bottom w:val="single" w:sz="4" w:space="0" w:color="auto"/>
              <w:right w:val="single" w:sz="4" w:space="0" w:color="auto"/>
            </w:tcBorders>
            <w:shd w:val="clear" w:color="auto" w:fill="auto"/>
            <w:vAlign w:val="center"/>
            <w:hideMark/>
          </w:tcPr>
          <w:p w14:paraId="16EC4203"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406,041,590</w:t>
            </w:r>
          </w:p>
        </w:tc>
      </w:tr>
      <w:tr w:rsidR="00CE7EB5" w:rsidRPr="000C42E6" w14:paraId="5E25F350" w14:textId="77777777" w:rsidTr="003F0312">
        <w:trPr>
          <w:trHeight w:val="300"/>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10480400"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Amortización</w:t>
            </w:r>
          </w:p>
        </w:tc>
        <w:tc>
          <w:tcPr>
            <w:tcW w:w="1500" w:type="dxa"/>
            <w:tcBorders>
              <w:top w:val="nil"/>
              <w:left w:val="nil"/>
              <w:bottom w:val="single" w:sz="4" w:space="0" w:color="auto"/>
              <w:right w:val="single" w:sz="4" w:space="0" w:color="auto"/>
            </w:tcBorders>
            <w:shd w:val="clear" w:color="auto" w:fill="auto"/>
            <w:vAlign w:val="center"/>
            <w:hideMark/>
          </w:tcPr>
          <w:p w14:paraId="35CE399C"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auto" w:fill="auto"/>
            <w:vAlign w:val="center"/>
            <w:hideMark/>
          </w:tcPr>
          <w:p w14:paraId="4384F132"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CE7EB5" w:rsidRPr="000C42E6" w14:paraId="67085AFE" w14:textId="77777777" w:rsidTr="003F0312">
        <w:trPr>
          <w:trHeight w:val="222"/>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70F43055"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Incrementos en las provisiones</w:t>
            </w:r>
          </w:p>
        </w:tc>
        <w:tc>
          <w:tcPr>
            <w:tcW w:w="1500" w:type="dxa"/>
            <w:tcBorders>
              <w:top w:val="nil"/>
              <w:left w:val="nil"/>
              <w:bottom w:val="single" w:sz="4" w:space="0" w:color="auto"/>
              <w:right w:val="single" w:sz="4" w:space="0" w:color="auto"/>
            </w:tcBorders>
            <w:shd w:val="clear" w:color="auto" w:fill="auto"/>
            <w:vAlign w:val="center"/>
            <w:hideMark/>
          </w:tcPr>
          <w:p w14:paraId="62EF18C6"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auto" w:fill="auto"/>
            <w:vAlign w:val="center"/>
            <w:hideMark/>
          </w:tcPr>
          <w:p w14:paraId="0996535A"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CE7EB5" w:rsidRPr="000C42E6" w14:paraId="06C11571" w14:textId="77777777" w:rsidTr="003F0312">
        <w:trPr>
          <w:trHeight w:val="228"/>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46979E0F"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Incremento en inversiones producido por revaluación</w:t>
            </w:r>
          </w:p>
        </w:tc>
        <w:tc>
          <w:tcPr>
            <w:tcW w:w="1500" w:type="dxa"/>
            <w:tcBorders>
              <w:top w:val="nil"/>
              <w:left w:val="nil"/>
              <w:bottom w:val="single" w:sz="4" w:space="0" w:color="auto"/>
              <w:right w:val="single" w:sz="4" w:space="0" w:color="auto"/>
            </w:tcBorders>
            <w:shd w:val="clear" w:color="auto" w:fill="auto"/>
            <w:vAlign w:val="center"/>
            <w:hideMark/>
          </w:tcPr>
          <w:p w14:paraId="419792D8"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auto" w:fill="auto"/>
            <w:vAlign w:val="center"/>
            <w:hideMark/>
          </w:tcPr>
          <w:p w14:paraId="6EE949CC"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CE7EB5" w:rsidRPr="000C42E6" w14:paraId="473D1F31" w14:textId="77777777" w:rsidTr="003F0312">
        <w:trPr>
          <w:trHeight w:val="442"/>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38604D1E"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Ganancia/pérdida en venta de bienes muebles, inmuebles e intangibles</w:t>
            </w:r>
          </w:p>
        </w:tc>
        <w:tc>
          <w:tcPr>
            <w:tcW w:w="1500" w:type="dxa"/>
            <w:tcBorders>
              <w:top w:val="nil"/>
              <w:left w:val="nil"/>
              <w:bottom w:val="single" w:sz="4" w:space="0" w:color="auto"/>
              <w:right w:val="single" w:sz="4" w:space="0" w:color="auto"/>
            </w:tcBorders>
            <w:shd w:val="clear" w:color="auto" w:fill="auto"/>
            <w:vAlign w:val="center"/>
            <w:hideMark/>
          </w:tcPr>
          <w:p w14:paraId="617B5329"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auto" w:fill="auto"/>
            <w:vAlign w:val="center"/>
            <w:hideMark/>
          </w:tcPr>
          <w:p w14:paraId="53322EE0"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CE7EB5" w:rsidRPr="000C42E6" w14:paraId="1902D6A4" w14:textId="77777777" w:rsidTr="003F0312">
        <w:trPr>
          <w:trHeight w:val="300"/>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0EE27026"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Incremento en cuentas por cobrar</w:t>
            </w:r>
          </w:p>
        </w:tc>
        <w:tc>
          <w:tcPr>
            <w:tcW w:w="1500" w:type="dxa"/>
            <w:tcBorders>
              <w:top w:val="nil"/>
              <w:left w:val="nil"/>
              <w:bottom w:val="single" w:sz="4" w:space="0" w:color="auto"/>
              <w:right w:val="single" w:sz="4" w:space="0" w:color="auto"/>
            </w:tcBorders>
            <w:shd w:val="clear" w:color="auto" w:fill="auto"/>
            <w:vAlign w:val="center"/>
            <w:hideMark/>
          </w:tcPr>
          <w:p w14:paraId="1FF51103"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auto" w:fill="auto"/>
            <w:vAlign w:val="center"/>
            <w:hideMark/>
          </w:tcPr>
          <w:p w14:paraId="179A6434"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CE7EB5" w:rsidRPr="000C42E6" w14:paraId="72D5D378" w14:textId="77777777" w:rsidTr="003F0312">
        <w:trPr>
          <w:trHeight w:val="300"/>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1CF10A73"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Otros gastos </w:t>
            </w:r>
          </w:p>
        </w:tc>
        <w:tc>
          <w:tcPr>
            <w:tcW w:w="1500" w:type="dxa"/>
            <w:tcBorders>
              <w:top w:val="nil"/>
              <w:left w:val="nil"/>
              <w:bottom w:val="single" w:sz="4" w:space="0" w:color="auto"/>
              <w:right w:val="single" w:sz="4" w:space="0" w:color="auto"/>
            </w:tcBorders>
            <w:shd w:val="clear" w:color="auto" w:fill="auto"/>
            <w:vAlign w:val="center"/>
            <w:hideMark/>
          </w:tcPr>
          <w:p w14:paraId="662AB272"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auto" w:fill="auto"/>
            <w:vAlign w:val="center"/>
            <w:hideMark/>
          </w:tcPr>
          <w:p w14:paraId="0F0CA2FF" w14:textId="77777777"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104,405,027</w:t>
            </w:r>
          </w:p>
        </w:tc>
      </w:tr>
      <w:tr w:rsidR="00CE7EB5" w:rsidRPr="000C42E6" w14:paraId="69F3F5E9" w14:textId="77777777" w:rsidTr="003F0312">
        <w:trPr>
          <w:trHeight w:val="221"/>
          <w:jc w:val="center"/>
        </w:trPr>
        <w:tc>
          <w:tcPr>
            <w:tcW w:w="6282" w:type="dxa"/>
            <w:tcBorders>
              <w:top w:val="nil"/>
              <w:left w:val="single" w:sz="4" w:space="0" w:color="auto"/>
              <w:bottom w:val="single" w:sz="4" w:space="0" w:color="auto"/>
              <w:right w:val="single" w:sz="4" w:space="0" w:color="auto"/>
            </w:tcBorders>
            <w:shd w:val="clear" w:color="auto" w:fill="auto"/>
            <w:vAlign w:val="center"/>
            <w:hideMark/>
          </w:tcPr>
          <w:p w14:paraId="101EA3B3"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Inversión Pública no Capitalizable</w:t>
            </w:r>
          </w:p>
        </w:tc>
        <w:tc>
          <w:tcPr>
            <w:tcW w:w="1500" w:type="dxa"/>
            <w:tcBorders>
              <w:top w:val="nil"/>
              <w:left w:val="nil"/>
              <w:bottom w:val="single" w:sz="4" w:space="0" w:color="auto"/>
              <w:right w:val="single" w:sz="4" w:space="0" w:color="auto"/>
            </w:tcBorders>
            <w:shd w:val="clear" w:color="auto" w:fill="auto"/>
            <w:vAlign w:val="center"/>
            <w:hideMark/>
          </w:tcPr>
          <w:p w14:paraId="027ABC4F" w14:textId="0D407E62"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1,214,395,751 </w:t>
            </w:r>
          </w:p>
        </w:tc>
        <w:tc>
          <w:tcPr>
            <w:tcW w:w="1560" w:type="dxa"/>
            <w:tcBorders>
              <w:top w:val="nil"/>
              <w:left w:val="nil"/>
              <w:bottom w:val="single" w:sz="4" w:space="0" w:color="auto"/>
              <w:right w:val="single" w:sz="4" w:space="0" w:color="auto"/>
            </w:tcBorders>
            <w:shd w:val="clear" w:color="auto" w:fill="auto"/>
            <w:vAlign w:val="center"/>
            <w:hideMark/>
          </w:tcPr>
          <w:p w14:paraId="3996D19B" w14:textId="7E3D3849" w:rsidR="00CE7EB5" w:rsidRPr="000C42E6" w:rsidRDefault="00CE7EB5" w:rsidP="00CE7EB5">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878,670,103 </w:t>
            </w:r>
          </w:p>
        </w:tc>
      </w:tr>
      <w:tr w:rsidR="00CE7EB5" w:rsidRPr="000C42E6" w14:paraId="2705859F" w14:textId="77777777" w:rsidTr="003F0312">
        <w:trPr>
          <w:trHeight w:val="268"/>
          <w:jc w:val="center"/>
        </w:trPr>
        <w:tc>
          <w:tcPr>
            <w:tcW w:w="6282" w:type="dxa"/>
            <w:tcBorders>
              <w:top w:val="nil"/>
              <w:left w:val="single" w:sz="4" w:space="0" w:color="auto"/>
              <w:bottom w:val="single" w:sz="4" w:space="0" w:color="auto"/>
              <w:right w:val="single" w:sz="4" w:space="0" w:color="auto"/>
            </w:tcBorders>
            <w:shd w:val="clear" w:color="000000" w:fill="D9D9D9"/>
            <w:vAlign w:val="center"/>
            <w:hideMark/>
          </w:tcPr>
          <w:p w14:paraId="4F2DCAE1" w14:textId="77777777" w:rsidR="00CE7EB5" w:rsidRPr="000C42E6" w:rsidRDefault="00CE7EB5" w:rsidP="00CE7EB5">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Flujos de Efectivo Netos de las Actividades de Operación</w:t>
            </w:r>
          </w:p>
        </w:tc>
        <w:tc>
          <w:tcPr>
            <w:tcW w:w="1500" w:type="dxa"/>
            <w:tcBorders>
              <w:top w:val="nil"/>
              <w:left w:val="nil"/>
              <w:bottom w:val="single" w:sz="4" w:space="0" w:color="auto"/>
              <w:right w:val="single" w:sz="4" w:space="0" w:color="auto"/>
            </w:tcBorders>
            <w:shd w:val="clear" w:color="000000" w:fill="D9D9D9"/>
            <w:noWrap/>
            <w:vAlign w:val="center"/>
            <w:hideMark/>
          </w:tcPr>
          <w:p w14:paraId="2ACCEE69" w14:textId="16DF3D54" w:rsidR="00CE7EB5" w:rsidRPr="000C42E6" w:rsidRDefault="003F0312" w:rsidP="00CE7EB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880,151,358</w:t>
            </w:r>
          </w:p>
        </w:tc>
        <w:tc>
          <w:tcPr>
            <w:tcW w:w="1560" w:type="dxa"/>
            <w:tcBorders>
              <w:top w:val="nil"/>
              <w:left w:val="nil"/>
              <w:bottom w:val="single" w:sz="4" w:space="0" w:color="auto"/>
              <w:right w:val="single" w:sz="4" w:space="0" w:color="auto"/>
            </w:tcBorders>
            <w:shd w:val="clear" w:color="000000" w:fill="D9D9D9"/>
            <w:vAlign w:val="center"/>
            <w:hideMark/>
          </w:tcPr>
          <w:p w14:paraId="12E2EF5D" w14:textId="77777777" w:rsidR="00CE7EB5" w:rsidRPr="000C42E6" w:rsidRDefault="00CE7EB5" w:rsidP="00CE7EB5">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1,817,536,707</w:t>
            </w:r>
          </w:p>
        </w:tc>
      </w:tr>
    </w:tbl>
    <w:p w14:paraId="058C91C1" w14:textId="77777777" w:rsidR="00A742D3" w:rsidRDefault="00A742D3" w:rsidP="00681016">
      <w:pPr>
        <w:spacing w:after="120" w:line="220" w:lineRule="exact"/>
        <w:jc w:val="both"/>
        <w:rPr>
          <w:rFonts w:ascii="Arial" w:eastAsia="Times New Roman" w:hAnsi="Arial" w:cs="Arial"/>
          <w:sz w:val="20"/>
          <w:szCs w:val="20"/>
          <w:lang w:eastAsia="es-ES"/>
        </w:rPr>
      </w:pPr>
    </w:p>
    <w:p w14:paraId="2618E2AA" w14:textId="77777777" w:rsidR="00C47BEB" w:rsidRPr="000C42E6" w:rsidRDefault="00C47BEB" w:rsidP="00681016">
      <w:pPr>
        <w:spacing w:after="120" w:line="220" w:lineRule="exact"/>
        <w:jc w:val="both"/>
        <w:rPr>
          <w:rFonts w:ascii="Arial" w:eastAsia="Times New Roman" w:hAnsi="Arial" w:cs="Arial"/>
          <w:sz w:val="20"/>
          <w:szCs w:val="20"/>
          <w:lang w:eastAsia="es-ES"/>
        </w:rPr>
      </w:pPr>
      <w:r w:rsidRPr="000C42E6">
        <w:rPr>
          <w:rFonts w:ascii="Arial" w:eastAsia="Times New Roman" w:hAnsi="Arial" w:cs="Arial"/>
          <w:sz w:val="20"/>
          <w:szCs w:val="20"/>
          <w:lang w:eastAsia="es-ES"/>
        </w:rPr>
        <w:t>Los conceptos incluidos en los movimientos de partidas (o rubros) que no afectan al efectivo, que aparecen en el cuadro anterior son enunciativos y tienen como finalidad mostrar algunos ejemplos para elaborar este cuadro.</w:t>
      </w:r>
    </w:p>
    <w:p w14:paraId="2021E253" w14:textId="66CD5372" w:rsidR="00B37BEB" w:rsidRDefault="00C47BEB" w:rsidP="00C47BEB">
      <w:pPr>
        <w:spacing w:after="0" w:line="240" w:lineRule="auto"/>
        <w:jc w:val="both"/>
        <w:rPr>
          <w:rFonts w:ascii="Arial" w:eastAsia="Times New Roman" w:hAnsi="Arial" w:cs="Arial"/>
          <w:sz w:val="20"/>
          <w:szCs w:val="20"/>
          <w:lang w:eastAsia="es-ES"/>
        </w:rPr>
      </w:pPr>
      <w:r w:rsidRPr="000C42E6">
        <w:rPr>
          <w:rFonts w:ascii="Arial" w:eastAsia="Times New Roman" w:hAnsi="Arial" w:cs="Arial"/>
          <w:sz w:val="20"/>
          <w:szCs w:val="20"/>
          <w:lang w:eastAsia="es-ES"/>
        </w:rPr>
        <w:t>Los Flujos de Efectivo Netos de las Actividades de Operación del cuadro que antecede, han sido determinados conforme a lo dispuesto por el CONAC en el punto 8, inciso a) del instructivo vigente de llenado del Estado de Flujos de Efectivo. Por tal motivo, dichos Flujos netos son iguales que los Resultados del Ejercicio Ahorro/Desahorro obtenidos del Estado de Actividades respectivo; y el mismo cuadro presenta los Resultados del Ejercicio sin Otros Gastos y Pérdidas Extraordinarios, que en caso de haberlos, se detallan en los Movimientos de partidas (o rubros) que no afectan al efectivo</w:t>
      </w:r>
      <w:r w:rsidR="00642907" w:rsidRPr="000C42E6">
        <w:rPr>
          <w:rFonts w:ascii="Arial" w:eastAsia="Times New Roman" w:hAnsi="Arial" w:cs="Arial"/>
          <w:sz w:val="20"/>
          <w:szCs w:val="20"/>
          <w:lang w:eastAsia="es-ES"/>
        </w:rPr>
        <w:t>.</w:t>
      </w:r>
    </w:p>
    <w:p w14:paraId="4EF44C04" w14:textId="77777777" w:rsidR="00B37BEB" w:rsidRPr="000C42E6" w:rsidRDefault="00B37BEB" w:rsidP="00C47BEB">
      <w:pPr>
        <w:spacing w:after="0" w:line="240" w:lineRule="auto"/>
        <w:jc w:val="both"/>
        <w:rPr>
          <w:rFonts w:ascii="Arial" w:eastAsia="Times New Roman" w:hAnsi="Arial" w:cs="Arial"/>
          <w:sz w:val="20"/>
          <w:szCs w:val="20"/>
          <w:lang w:eastAsia="es-ES"/>
        </w:rPr>
      </w:pPr>
    </w:p>
    <w:p w14:paraId="213E2E89" w14:textId="77777777" w:rsidR="00CB7883" w:rsidRDefault="00CB7883" w:rsidP="00CB7883">
      <w:pPr>
        <w:spacing w:after="0" w:line="240" w:lineRule="auto"/>
        <w:jc w:val="both"/>
        <w:rPr>
          <w:rFonts w:ascii="Arial" w:eastAsia="Calibri" w:hAnsi="Arial" w:cs="Arial"/>
          <w:b/>
          <w:sz w:val="20"/>
          <w:szCs w:val="20"/>
        </w:rPr>
      </w:pPr>
      <w:r w:rsidRPr="000C42E6">
        <w:rPr>
          <w:rFonts w:ascii="Arial" w:eastAsia="Calibri" w:hAnsi="Arial" w:cs="Arial"/>
          <w:b/>
          <w:sz w:val="20"/>
          <w:szCs w:val="20"/>
        </w:rPr>
        <w:t>V) CONCILIACIÓN ENTRE LOS INGRESOS PRESUPUESTARIOS Y CONTABLES, ASI COMO ENTRE LOS EGRESOS PRESUPUESTARIOS Y LOS GASTOS CONTABLES.</w:t>
      </w:r>
    </w:p>
    <w:p w14:paraId="698BFBBC" w14:textId="77777777" w:rsidR="00CB7883" w:rsidRDefault="00CB7883" w:rsidP="00CB7883">
      <w:pPr>
        <w:spacing w:before="240" w:after="0" w:line="240" w:lineRule="auto"/>
        <w:jc w:val="both"/>
        <w:rPr>
          <w:rFonts w:ascii="Arial" w:eastAsia="Calibri" w:hAnsi="Arial" w:cs="Arial"/>
          <w:sz w:val="20"/>
          <w:szCs w:val="20"/>
        </w:rPr>
      </w:pPr>
      <w:r w:rsidRPr="000C42E6">
        <w:rPr>
          <w:rFonts w:ascii="Arial" w:eastAsia="Calibri" w:hAnsi="Arial" w:cs="Arial"/>
          <w:sz w:val="20"/>
          <w:szCs w:val="20"/>
        </w:rPr>
        <w:t>Se presentan según el Acuerdo del Consejo Nacional de Armonización Contable por el que emitió el formato de conciliación entre los Ingresos Presupuestarios y contables, así como entre los Egresos Presupuestarios y los Gastos contables; reformado el 06 de diciembre del 2022:</w:t>
      </w:r>
    </w:p>
    <w:p w14:paraId="3FFD2F88" w14:textId="77777777" w:rsidR="006A2B01" w:rsidRDefault="006A2B01" w:rsidP="00CB7883">
      <w:pPr>
        <w:spacing w:before="240" w:after="0" w:line="240" w:lineRule="auto"/>
        <w:jc w:val="both"/>
        <w:rPr>
          <w:rFonts w:ascii="Arial" w:eastAsia="Calibri" w:hAnsi="Arial" w:cs="Arial"/>
          <w:sz w:val="20"/>
          <w:szCs w:val="20"/>
        </w:rPr>
      </w:pPr>
    </w:p>
    <w:p w14:paraId="6F154088" w14:textId="77777777" w:rsidR="006A2B01" w:rsidRDefault="006A2B01" w:rsidP="00CB7883">
      <w:pPr>
        <w:spacing w:before="240" w:after="0" w:line="240" w:lineRule="auto"/>
        <w:jc w:val="both"/>
        <w:rPr>
          <w:rFonts w:ascii="Arial" w:eastAsia="Calibri" w:hAnsi="Arial" w:cs="Arial"/>
          <w:sz w:val="20"/>
          <w:szCs w:val="20"/>
        </w:rPr>
      </w:pPr>
    </w:p>
    <w:p w14:paraId="1D59903A" w14:textId="77777777" w:rsidR="006A2B01" w:rsidRDefault="006A2B01" w:rsidP="00CB7883">
      <w:pPr>
        <w:spacing w:before="240" w:after="0" w:line="240" w:lineRule="auto"/>
        <w:jc w:val="both"/>
        <w:rPr>
          <w:rFonts w:ascii="Arial" w:eastAsia="Calibri" w:hAnsi="Arial" w:cs="Arial"/>
          <w:sz w:val="20"/>
          <w:szCs w:val="20"/>
        </w:rPr>
      </w:pPr>
    </w:p>
    <w:p w14:paraId="0FFECD6D" w14:textId="77777777" w:rsidR="006A2B01" w:rsidRDefault="006A2B01" w:rsidP="00CB7883">
      <w:pPr>
        <w:spacing w:before="240" w:after="0" w:line="240" w:lineRule="auto"/>
        <w:jc w:val="both"/>
        <w:rPr>
          <w:rFonts w:ascii="Arial" w:eastAsia="Calibri" w:hAnsi="Arial" w:cs="Arial"/>
          <w:sz w:val="20"/>
          <w:szCs w:val="20"/>
        </w:rPr>
      </w:pPr>
    </w:p>
    <w:p w14:paraId="499025A7" w14:textId="77777777" w:rsidR="006A2B01" w:rsidRPr="000C42E6" w:rsidRDefault="006A2B01" w:rsidP="006A2B01">
      <w:pPr>
        <w:spacing w:after="0" w:line="240" w:lineRule="auto"/>
        <w:jc w:val="both"/>
        <w:rPr>
          <w:rFonts w:ascii="Arial" w:eastAsia="Calibri" w:hAnsi="Arial" w:cs="Arial"/>
          <w:sz w:val="20"/>
          <w:szCs w:val="20"/>
        </w:rPr>
      </w:pPr>
    </w:p>
    <w:tbl>
      <w:tblPr>
        <w:tblW w:w="9498" w:type="dxa"/>
        <w:jc w:val="center"/>
        <w:tblCellMar>
          <w:left w:w="70" w:type="dxa"/>
          <w:right w:w="70" w:type="dxa"/>
        </w:tblCellMar>
        <w:tblLook w:val="04A0" w:firstRow="1" w:lastRow="0" w:firstColumn="1" w:lastColumn="0" w:noHBand="0" w:noVBand="1"/>
      </w:tblPr>
      <w:tblGrid>
        <w:gridCol w:w="841"/>
        <w:gridCol w:w="6717"/>
        <w:gridCol w:w="1940"/>
      </w:tblGrid>
      <w:tr w:rsidR="0084789D" w:rsidRPr="000C42E6" w14:paraId="23BCA343" w14:textId="77777777" w:rsidTr="006A2B01">
        <w:trPr>
          <w:trHeight w:val="130"/>
          <w:jc w:val="center"/>
        </w:trPr>
        <w:tc>
          <w:tcPr>
            <w:tcW w:w="9498"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63E0FE7E" w14:textId="77777777" w:rsidR="006A2B01" w:rsidRDefault="006A2B01" w:rsidP="0084789D">
            <w:pPr>
              <w:spacing w:after="0" w:line="240" w:lineRule="auto"/>
              <w:jc w:val="center"/>
              <w:rPr>
                <w:rFonts w:ascii="Arial" w:eastAsia="Times New Roman" w:hAnsi="Arial" w:cs="Arial"/>
                <w:b/>
                <w:bCs/>
                <w:color w:val="000000"/>
                <w:sz w:val="20"/>
                <w:szCs w:val="20"/>
                <w:lang w:eastAsia="es-MX"/>
              </w:rPr>
            </w:pPr>
          </w:p>
          <w:p w14:paraId="6D4FA6BD" w14:textId="77777777" w:rsidR="0084789D" w:rsidRPr="000C42E6" w:rsidRDefault="0084789D" w:rsidP="0084789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Gobierno del Estado de Tabasco </w:t>
            </w:r>
          </w:p>
        </w:tc>
      </w:tr>
      <w:tr w:rsidR="0084789D" w:rsidRPr="000C42E6" w14:paraId="46651FC4" w14:textId="77777777" w:rsidTr="006A2B01">
        <w:trPr>
          <w:trHeight w:val="181"/>
          <w:jc w:val="center"/>
        </w:trPr>
        <w:tc>
          <w:tcPr>
            <w:tcW w:w="9498" w:type="dxa"/>
            <w:gridSpan w:val="3"/>
            <w:tcBorders>
              <w:top w:val="nil"/>
              <w:left w:val="single" w:sz="8" w:space="0" w:color="auto"/>
              <w:bottom w:val="nil"/>
              <w:right w:val="single" w:sz="8" w:space="0" w:color="000000"/>
            </w:tcBorders>
            <w:shd w:val="clear" w:color="000000" w:fill="C0C0C0"/>
            <w:noWrap/>
            <w:vAlign w:val="center"/>
            <w:hideMark/>
          </w:tcPr>
          <w:p w14:paraId="16D00BE5" w14:textId="77777777" w:rsidR="0084789D" w:rsidRPr="000C42E6" w:rsidRDefault="0084789D" w:rsidP="0084789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Poder Ejecutivo </w:t>
            </w:r>
          </w:p>
        </w:tc>
      </w:tr>
      <w:tr w:rsidR="0084789D" w:rsidRPr="000C42E6" w14:paraId="4B93CA22" w14:textId="77777777" w:rsidTr="006A2B01">
        <w:trPr>
          <w:trHeight w:val="315"/>
          <w:jc w:val="center"/>
        </w:trPr>
        <w:tc>
          <w:tcPr>
            <w:tcW w:w="9498" w:type="dxa"/>
            <w:gridSpan w:val="3"/>
            <w:tcBorders>
              <w:top w:val="nil"/>
              <w:left w:val="single" w:sz="8" w:space="0" w:color="auto"/>
              <w:bottom w:val="nil"/>
              <w:right w:val="single" w:sz="8" w:space="0" w:color="000000"/>
            </w:tcBorders>
            <w:shd w:val="clear" w:color="000000" w:fill="C0C0C0"/>
            <w:vAlign w:val="center"/>
            <w:hideMark/>
          </w:tcPr>
          <w:p w14:paraId="3080784C" w14:textId="77777777" w:rsidR="0084789D" w:rsidRPr="000C42E6" w:rsidRDefault="0084789D" w:rsidP="0084789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Conciliación entre los Ingresos Presupuestarios y Contables </w:t>
            </w:r>
          </w:p>
        </w:tc>
      </w:tr>
      <w:tr w:rsidR="0084789D" w:rsidRPr="000C42E6" w14:paraId="45C195AD" w14:textId="77777777" w:rsidTr="006A2B01">
        <w:trPr>
          <w:trHeight w:val="203"/>
          <w:jc w:val="center"/>
        </w:trPr>
        <w:tc>
          <w:tcPr>
            <w:tcW w:w="9498" w:type="dxa"/>
            <w:gridSpan w:val="3"/>
            <w:tcBorders>
              <w:top w:val="nil"/>
              <w:left w:val="single" w:sz="8" w:space="0" w:color="auto"/>
              <w:bottom w:val="nil"/>
              <w:right w:val="single" w:sz="8" w:space="0" w:color="000000"/>
            </w:tcBorders>
            <w:shd w:val="clear" w:color="000000" w:fill="C0C0C0"/>
            <w:vAlign w:val="center"/>
            <w:hideMark/>
          </w:tcPr>
          <w:p w14:paraId="7FBE61F9" w14:textId="77777777" w:rsidR="0084789D" w:rsidRPr="000C42E6" w:rsidRDefault="0084789D" w:rsidP="0084789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Del 01 de enero al 31 de diciembre del 2025</w:t>
            </w:r>
          </w:p>
        </w:tc>
      </w:tr>
      <w:tr w:rsidR="0084789D" w:rsidRPr="000C42E6" w14:paraId="15ED8D9C" w14:textId="77777777" w:rsidTr="006A2B01">
        <w:trPr>
          <w:trHeight w:val="315"/>
          <w:jc w:val="center"/>
        </w:trPr>
        <w:tc>
          <w:tcPr>
            <w:tcW w:w="9498" w:type="dxa"/>
            <w:gridSpan w:val="3"/>
            <w:tcBorders>
              <w:top w:val="nil"/>
              <w:left w:val="single" w:sz="8" w:space="0" w:color="auto"/>
              <w:bottom w:val="single" w:sz="8" w:space="0" w:color="auto"/>
              <w:right w:val="single" w:sz="8" w:space="0" w:color="000000"/>
            </w:tcBorders>
            <w:shd w:val="clear" w:color="000000" w:fill="C0C0C0"/>
            <w:vAlign w:val="center"/>
            <w:hideMark/>
          </w:tcPr>
          <w:p w14:paraId="2E97F061" w14:textId="77777777" w:rsidR="0084789D" w:rsidRPr="000C42E6" w:rsidRDefault="0084789D" w:rsidP="0084789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(Cifras en pesos)</w:t>
            </w:r>
          </w:p>
        </w:tc>
      </w:tr>
      <w:tr w:rsidR="0084789D" w:rsidRPr="000C42E6" w14:paraId="1771DC31" w14:textId="77777777" w:rsidTr="006A2B01">
        <w:trPr>
          <w:trHeight w:val="282"/>
          <w:jc w:val="center"/>
        </w:trPr>
        <w:tc>
          <w:tcPr>
            <w:tcW w:w="755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55E6161" w14:textId="77777777" w:rsidR="0084789D" w:rsidRPr="000C42E6" w:rsidRDefault="0084789D" w:rsidP="0084789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Concepto</w:t>
            </w:r>
          </w:p>
        </w:tc>
        <w:tc>
          <w:tcPr>
            <w:tcW w:w="1940" w:type="dxa"/>
            <w:tcBorders>
              <w:top w:val="nil"/>
              <w:left w:val="nil"/>
              <w:bottom w:val="single" w:sz="8" w:space="0" w:color="auto"/>
              <w:right w:val="single" w:sz="8" w:space="0" w:color="auto"/>
            </w:tcBorders>
            <w:shd w:val="clear" w:color="000000" w:fill="C0C0C0"/>
            <w:vAlign w:val="center"/>
            <w:hideMark/>
          </w:tcPr>
          <w:p w14:paraId="20CA9990" w14:textId="77777777" w:rsidR="0084789D" w:rsidRPr="000C42E6" w:rsidRDefault="0084789D" w:rsidP="0084789D">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r>
      <w:tr w:rsidR="0084789D" w:rsidRPr="000C42E6" w14:paraId="17FFD9ED" w14:textId="77777777" w:rsidTr="006A2B01">
        <w:trPr>
          <w:trHeight w:val="282"/>
          <w:jc w:val="center"/>
        </w:trPr>
        <w:tc>
          <w:tcPr>
            <w:tcW w:w="755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6190418" w14:textId="77777777" w:rsidR="0084789D" w:rsidRPr="000C42E6" w:rsidRDefault="0084789D" w:rsidP="0084789D">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1. Total de Ingresos Presupuestarios </w:t>
            </w:r>
          </w:p>
        </w:tc>
        <w:tc>
          <w:tcPr>
            <w:tcW w:w="1940" w:type="dxa"/>
            <w:tcBorders>
              <w:top w:val="nil"/>
              <w:left w:val="nil"/>
              <w:bottom w:val="nil"/>
              <w:right w:val="single" w:sz="8" w:space="0" w:color="auto"/>
            </w:tcBorders>
            <w:shd w:val="clear" w:color="000000" w:fill="BFBFBF"/>
            <w:vAlign w:val="center"/>
            <w:hideMark/>
          </w:tcPr>
          <w:p w14:paraId="08BEBA5B" w14:textId="70B123B3" w:rsidR="0084789D" w:rsidRPr="000C42E6" w:rsidRDefault="0084789D" w:rsidP="00404C7D">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7</w:t>
            </w:r>
            <w:r w:rsidR="00404C7D">
              <w:rPr>
                <w:rFonts w:ascii="Arial" w:eastAsia="Times New Roman" w:hAnsi="Arial" w:cs="Arial"/>
                <w:b/>
                <w:bCs/>
                <w:color w:val="000000"/>
                <w:sz w:val="20"/>
                <w:szCs w:val="20"/>
                <w:lang w:eastAsia="es-MX"/>
              </w:rPr>
              <w:t>6,547,842,453</w:t>
            </w:r>
            <w:r w:rsidRPr="000C42E6">
              <w:rPr>
                <w:rFonts w:ascii="Arial" w:eastAsia="Times New Roman" w:hAnsi="Arial" w:cs="Arial"/>
                <w:b/>
                <w:bCs/>
                <w:color w:val="000000"/>
                <w:sz w:val="20"/>
                <w:szCs w:val="20"/>
                <w:lang w:eastAsia="es-MX"/>
              </w:rPr>
              <w:t xml:space="preserve"> </w:t>
            </w:r>
          </w:p>
        </w:tc>
      </w:tr>
      <w:tr w:rsidR="0084789D" w:rsidRPr="000C42E6" w14:paraId="4DA1B6BC" w14:textId="77777777" w:rsidTr="006A2B01">
        <w:trPr>
          <w:trHeight w:val="90"/>
          <w:jc w:val="center"/>
        </w:trPr>
        <w:tc>
          <w:tcPr>
            <w:tcW w:w="7558" w:type="dxa"/>
            <w:gridSpan w:val="2"/>
            <w:tcBorders>
              <w:top w:val="single" w:sz="8" w:space="0" w:color="auto"/>
              <w:left w:val="nil"/>
              <w:bottom w:val="single" w:sz="8" w:space="0" w:color="auto"/>
              <w:right w:val="nil"/>
            </w:tcBorders>
            <w:shd w:val="clear" w:color="auto" w:fill="auto"/>
            <w:vAlign w:val="center"/>
            <w:hideMark/>
          </w:tcPr>
          <w:p w14:paraId="4D581AA9" w14:textId="77777777" w:rsidR="0084789D" w:rsidRPr="000C42E6" w:rsidRDefault="0084789D" w:rsidP="0084789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940" w:type="dxa"/>
            <w:tcBorders>
              <w:top w:val="single" w:sz="8" w:space="0" w:color="auto"/>
              <w:left w:val="nil"/>
              <w:bottom w:val="single" w:sz="8" w:space="0" w:color="auto"/>
              <w:right w:val="nil"/>
            </w:tcBorders>
            <w:shd w:val="clear" w:color="auto" w:fill="auto"/>
            <w:vAlign w:val="center"/>
            <w:hideMark/>
          </w:tcPr>
          <w:p w14:paraId="48039CC3"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r>
      <w:tr w:rsidR="0084789D" w:rsidRPr="000C42E6" w14:paraId="2B1EAF82" w14:textId="77777777" w:rsidTr="006A2B01">
        <w:trPr>
          <w:trHeight w:val="282"/>
          <w:jc w:val="center"/>
        </w:trPr>
        <w:tc>
          <w:tcPr>
            <w:tcW w:w="7558"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4FEC3897" w14:textId="77777777" w:rsidR="0084789D" w:rsidRPr="000C42E6" w:rsidRDefault="0084789D" w:rsidP="0084789D">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2. Más Ingresos Contables No Presupuestarios </w:t>
            </w:r>
          </w:p>
        </w:tc>
        <w:tc>
          <w:tcPr>
            <w:tcW w:w="1940" w:type="dxa"/>
            <w:tcBorders>
              <w:top w:val="nil"/>
              <w:left w:val="nil"/>
              <w:bottom w:val="single" w:sz="8" w:space="0" w:color="auto"/>
              <w:right w:val="single" w:sz="8" w:space="0" w:color="auto"/>
            </w:tcBorders>
            <w:shd w:val="clear" w:color="auto" w:fill="auto"/>
            <w:vAlign w:val="center"/>
            <w:hideMark/>
          </w:tcPr>
          <w:p w14:paraId="3443E115"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428EE9D5"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33FCFA3"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w:t>
            </w:r>
          </w:p>
        </w:tc>
        <w:tc>
          <w:tcPr>
            <w:tcW w:w="6717" w:type="dxa"/>
            <w:tcBorders>
              <w:top w:val="nil"/>
              <w:left w:val="nil"/>
              <w:bottom w:val="single" w:sz="8" w:space="0" w:color="auto"/>
              <w:right w:val="single" w:sz="8" w:space="0" w:color="auto"/>
            </w:tcBorders>
            <w:shd w:val="clear" w:color="auto" w:fill="auto"/>
            <w:vAlign w:val="center"/>
            <w:hideMark/>
          </w:tcPr>
          <w:p w14:paraId="520D9002"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Ingresos Financieros </w:t>
            </w:r>
          </w:p>
        </w:tc>
        <w:tc>
          <w:tcPr>
            <w:tcW w:w="1940" w:type="dxa"/>
            <w:tcBorders>
              <w:top w:val="nil"/>
              <w:left w:val="nil"/>
              <w:bottom w:val="single" w:sz="8" w:space="0" w:color="auto"/>
              <w:right w:val="single" w:sz="8" w:space="0" w:color="auto"/>
            </w:tcBorders>
            <w:shd w:val="clear" w:color="auto" w:fill="auto"/>
            <w:vAlign w:val="center"/>
            <w:hideMark/>
          </w:tcPr>
          <w:p w14:paraId="6D5A76DD"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18F3A105"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FAD596E"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w:t>
            </w:r>
          </w:p>
        </w:tc>
        <w:tc>
          <w:tcPr>
            <w:tcW w:w="6717" w:type="dxa"/>
            <w:tcBorders>
              <w:top w:val="nil"/>
              <w:left w:val="nil"/>
              <w:bottom w:val="single" w:sz="8" w:space="0" w:color="auto"/>
              <w:right w:val="single" w:sz="8" w:space="0" w:color="auto"/>
            </w:tcBorders>
            <w:shd w:val="clear" w:color="auto" w:fill="auto"/>
            <w:vAlign w:val="center"/>
            <w:hideMark/>
          </w:tcPr>
          <w:p w14:paraId="384CD4FC"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Incremento por Variación de Inventarios </w:t>
            </w:r>
          </w:p>
        </w:tc>
        <w:tc>
          <w:tcPr>
            <w:tcW w:w="1940" w:type="dxa"/>
            <w:tcBorders>
              <w:top w:val="nil"/>
              <w:left w:val="nil"/>
              <w:bottom w:val="single" w:sz="8" w:space="0" w:color="auto"/>
              <w:right w:val="single" w:sz="8" w:space="0" w:color="auto"/>
            </w:tcBorders>
            <w:shd w:val="clear" w:color="auto" w:fill="auto"/>
            <w:vAlign w:val="center"/>
            <w:hideMark/>
          </w:tcPr>
          <w:p w14:paraId="7693A37B"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549F0372" w14:textId="77777777" w:rsidTr="006A2B01">
        <w:trPr>
          <w:trHeight w:val="48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574EFB1"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2.3</w:t>
            </w:r>
          </w:p>
        </w:tc>
        <w:tc>
          <w:tcPr>
            <w:tcW w:w="6717" w:type="dxa"/>
            <w:tcBorders>
              <w:top w:val="nil"/>
              <w:left w:val="nil"/>
              <w:bottom w:val="single" w:sz="8" w:space="0" w:color="auto"/>
              <w:right w:val="single" w:sz="8" w:space="0" w:color="auto"/>
            </w:tcBorders>
            <w:shd w:val="clear" w:color="auto" w:fill="auto"/>
            <w:vAlign w:val="center"/>
            <w:hideMark/>
          </w:tcPr>
          <w:p w14:paraId="021C3FF5"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Disminución del Exceso de Estimaciones por Pérdida o Deterioro u Obsolescencia </w:t>
            </w:r>
          </w:p>
        </w:tc>
        <w:tc>
          <w:tcPr>
            <w:tcW w:w="1940" w:type="dxa"/>
            <w:tcBorders>
              <w:top w:val="nil"/>
              <w:left w:val="nil"/>
              <w:bottom w:val="single" w:sz="8" w:space="0" w:color="auto"/>
              <w:right w:val="single" w:sz="8" w:space="0" w:color="auto"/>
            </w:tcBorders>
            <w:shd w:val="clear" w:color="auto" w:fill="auto"/>
            <w:vAlign w:val="center"/>
            <w:hideMark/>
          </w:tcPr>
          <w:p w14:paraId="10CE47A3"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3738AF5E"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35404FA"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w:t>
            </w:r>
          </w:p>
        </w:tc>
        <w:tc>
          <w:tcPr>
            <w:tcW w:w="6717" w:type="dxa"/>
            <w:tcBorders>
              <w:top w:val="nil"/>
              <w:left w:val="nil"/>
              <w:bottom w:val="single" w:sz="8" w:space="0" w:color="auto"/>
              <w:right w:val="single" w:sz="8" w:space="0" w:color="auto"/>
            </w:tcBorders>
            <w:shd w:val="clear" w:color="auto" w:fill="auto"/>
            <w:vAlign w:val="center"/>
            <w:hideMark/>
          </w:tcPr>
          <w:p w14:paraId="794FDF7B"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Disminución del Exceso de Provisiones </w:t>
            </w:r>
          </w:p>
        </w:tc>
        <w:tc>
          <w:tcPr>
            <w:tcW w:w="1940" w:type="dxa"/>
            <w:tcBorders>
              <w:top w:val="nil"/>
              <w:left w:val="nil"/>
              <w:bottom w:val="single" w:sz="8" w:space="0" w:color="auto"/>
              <w:right w:val="single" w:sz="8" w:space="0" w:color="auto"/>
            </w:tcBorders>
            <w:shd w:val="clear" w:color="auto" w:fill="auto"/>
            <w:vAlign w:val="center"/>
            <w:hideMark/>
          </w:tcPr>
          <w:p w14:paraId="083D6AD9"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1A3F5E53"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4AC8D41"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2.5</w:t>
            </w:r>
          </w:p>
        </w:tc>
        <w:tc>
          <w:tcPr>
            <w:tcW w:w="6717" w:type="dxa"/>
            <w:tcBorders>
              <w:top w:val="nil"/>
              <w:left w:val="nil"/>
              <w:bottom w:val="single" w:sz="8" w:space="0" w:color="auto"/>
              <w:right w:val="single" w:sz="8" w:space="0" w:color="auto"/>
            </w:tcBorders>
            <w:shd w:val="clear" w:color="auto" w:fill="auto"/>
            <w:vAlign w:val="center"/>
            <w:hideMark/>
          </w:tcPr>
          <w:p w14:paraId="3AB3C3DD"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Otros Ingresos y Beneficios Varios </w:t>
            </w:r>
          </w:p>
        </w:tc>
        <w:tc>
          <w:tcPr>
            <w:tcW w:w="1940" w:type="dxa"/>
            <w:tcBorders>
              <w:top w:val="nil"/>
              <w:left w:val="nil"/>
              <w:bottom w:val="single" w:sz="8" w:space="0" w:color="auto"/>
              <w:right w:val="single" w:sz="8" w:space="0" w:color="auto"/>
            </w:tcBorders>
            <w:shd w:val="clear" w:color="auto" w:fill="auto"/>
            <w:vAlign w:val="center"/>
            <w:hideMark/>
          </w:tcPr>
          <w:p w14:paraId="1D6DD98B"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7766899F"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C124BCE"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2.6</w:t>
            </w:r>
          </w:p>
        </w:tc>
        <w:tc>
          <w:tcPr>
            <w:tcW w:w="6717" w:type="dxa"/>
            <w:tcBorders>
              <w:top w:val="nil"/>
              <w:left w:val="nil"/>
              <w:bottom w:val="single" w:sz="8" w:space="0" w:color="auto"/>
              <w:right w:val="single" w:sz="8" w:space="0" w:color="auto"/>
            </w:tcBorders>
            <w:shd w:val="clear" w:color="auto" w:fill="auto"/>
            <w:vAlign w:val="center"/>
            <w:hideMark/>
          </w:tcPr>
          <w:p w14:paraId="34F2D369"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Otros Ingresos Contables No Presupuestarios </w:t>
            </w:r>
          </w:p>
        </w:tc>
        <w:tc>
          <w:tcPr>
            <w:tcW w:w="1940" w:type="dxa"/>
            <w:tcBorders>
              <w:top w:val="nil"/>
              <w:left w:val="nil"/>
              <w:bottom w:val="single" w:sz="8" w:space="0" w:color="auto"/>
              <w:right w:val="single" w:sz="8" w:space="0" w:color="auto"/>
            </w:tcBorders>
            <w:shd w:val="clear" w:color="auto" w:fill="auto"/>
            <w:vAlign w:val="center"/>
            <w:hideMark/>
          </w:tcPr>
          <w:p w14:paraId="62A5381D"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336DCD73" w14:textId="77777777" w:rsidTr="006A2B01">
        <w:trPr>
          <w:trHeight w:val="75"/>
          <w:jc w:val="center"/>
        </w:trPr>
        <w:tc>
          <w:tcPr>
            <w:tcW w:w="7558" w:type="dxa"/>
            <w:gridSpan w:val="2"/>
            <w:tcBorders>
              <w:top w:val="single" w:sz="8" w:space="0" w:color="auto"/>
              <w:left w:val="nil"/>
              <w:bottom w:val="single" w:sz="8" w:space="0" w:color="auto"/>
              <w:right w:val="nil"/>
            </w:tcBorders>
            <w:shd w:val="clear" w:color="auto" w:fill="auto"/>
            <w:vAlign w:val="center"/>
            <w:hideMark/>
          </w:tcPr>
          <w:p w14:paraId="33BA97D7"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940" w:type="dxa"/>
            <w:tcBorders>
              <w:top w:val="nil"/>
              <w:left w:val="nil"/>
              <w:bottom w:val="nil"/>
              <w:right w:val="nil"/>
            </w:tcBorders>
            <w:shd w:val="clear" w:color="auto" w:fill="auto"/>
            <w:vAlign w:val="center"/>
            <w:hideMark/>
          </w:tcPr>
          <w:p w14:paraId="185FEF58" w14:textId="77777777" w:rsidR="0084789D" w:rsidRPr="000C42E6" w:rsidRDefault="0084789D" w:rsidP="0084789D">
            <w:pPr>
              <w:spacing w:after="0" w:line="240" w:lineRule="auto"/>
              <w:rPr>
                <w:rFonts w:ascii="Arial" w:eastAsia="Times New Roman" w:hAnsi="Arial" w:cs="Arial"/>
                <w:color w:val="000000"/>
                <w:sz w:val="20"/>
                <w:szCs w:val="20"/>
                <w:lang w:eastAsia="es-MX"/>
              </w:rPr>
            </w:pPr>
          </w:p>
        </w:tc>
      </w:tr>
      <w:tr w:rsidR="0084789D" w:rsidRPr="000C42E6" w14:paraId="3A550A14" w14:textId="77777777" w:rsidTr="006A2B01">
        <w:trPr>
          <w:trHeight w:val="282"/>
          <w:jc w:val="center"/>
        </w:trPr>
        <w:tc>
          <w:tcPr>
            <w:tcW w:w="755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166F7D63" w14:textId="77777777" w:rsidR="0084789D" w:rsidRPr="000C42E6" w:rsidRDefault="0084789D" w:rsidP="0084789D">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3. Menos Ingresos Presupuestarios No Contables </w:t>
            </w:r>
          </w:p>
        </w:tc>
        <w:tc>
          <w:tcPr>
            <w:tcW w:w="1940" w:type="dxa"/>
            <w:tcBorders>
              <w:top w:val="single" w:sz="8" w:space="0" w:color="auto"/>
              <w:left w:val="nil"/>
              <w:bottom w:val="single" w:sz="8" w:space="0" w:color="auto"/>
              <w:right w:val="single" w:sz="8" w:space="0" w:color="auto"/>
            </w:tcBorders>
            <w:shd w:val="clear" w:color="000000" w:fill="BFBFBF"/>
            <w:vAlign w:val="center"/>
            <w:hideMark/>
          </w:tcPr>
          <w:p w14:paraId="4E29F2D1" w14:textId="77777777" w:rsidR="0084789D" w:rsidRPr="000C42E6" w:rsidRDefault="0084789D" w:rsidP="0084789D">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5,678,403,282 </w:t>
            </w:r>
          </w:p>
        </w:tc>
      </w:tr>
      <w:tr w:rsidR="0084789D" w:rsidRPr="000C42E6" w14:paraId="6C0C9205"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B70660C"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3.1</w:t>
            </w:r>
          </w:p>
        </w:tc>
        <w:tc>
          <w:tcPr>
            <w:tcW w:w="6717" w:type="dxa"/>
            <w:tcBorders>
              <w:top w:val="nil"/>
              <w:left w:val="nil"/>
              <w:bottom w:val="single" w:sz="8" w:space="0" w:color="auto"/>
              <w:right w:val="single" w:sz="8" w:space="0" w:color="auto"/>
            </w:tcBorders>
            <w:shd w:val="clear" w:color="auto" w:fill="auto"/>
            <w:vAlign w:val="center"/>
            <w:hideMark/>
          </w:tcPr>
          <w:p w14:paraId="5207D0D2"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Aprovechamientos Patrimoniales </w:t>
            </w:r>
          </w:p>
        </w:tc>
        <w:tc>
          <w:tcPr>
            <w:tcW w:w="1940" w:type="dxa"/>
            <w:tcBorders>
              <w:top w:val="nil"/>
              <w:left w:val="nil"/>
              <w:bottom w:val="single" w:sz="8" w:space="0" w:color="auto"/>
              <w:right w:val="single" w:sz="8" w:space="0" w:color="auto"/>
            </w:tcBorders>
            <w:shd w:val="clear" w:color="auto" w:fill="auto"/>
            <w:vAlign w:val="center"/>
            <w:hideMark/>
          </w:tcPr>
          <w:p w14:paraId="10E2E8E0"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84789D" w:rsidRPr="000C42E6" w14:paraId="131F7908"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94AAFF2"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3.2</w:t>
            </w:r>
          </w:p>
        </w:tc>
        <w:tc>
          <w:tcPr>
            <w:tcW w:w="6717" w:type="dxa"/>
            <w:tcBorders>
              <w:top w:val="nil"/>
              <w:left w:val="nil"/>
              <w:bottom w:val="single" w:sz="8" w:space="0" w:color="auto"/>
              <w:right w:val="single" w:sz="8" w:space="0" w:color="auto"/>
            </w:tcBorders>
            <w:shd w:val="clear" w:color="auto" w:fill="auto"/>
            <w:vAlign w:val="center"/>
            <w:hideMark/>
          </w:tcPr>
          <w:p w14:paraId="014CA093"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Ingresos Derivados de Financiamientos </w:t>
            </w:r>
          </w:p>
        </w:tc>
        <w:tc>
          <w:tcPr>
            <w:tcW w:w="1940" w:type="dxa"/>
            <w:tcBorders>
              <w:top w:val="nil"/>
              <w:left w:val="nil"/>
              <w:bottom w:val="single" w:sz="8" w:space="0" w:color="auto"/>
              <w:right w:val="single" w:sz="8" w:space="0" w:color="auto"/>
            </w:tcBorders>
            <w:shd w:val="clear" w:color="auto" w:fill="auto"/>
            <w:vAlign w:val="center"/>
            <w:hideMark/>
          </w:tcPr>
          <w:p w14:paraId="73B8C9B7"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5,678,403,281 </w:t>
            </w:r>
          </w:p>
        </w:tc>
      </w:tr>
      <w:tr w:rsidR="0084789D" w:rsidRPr="000C42E6" w14:paraId="61E48928" w14:textId="77777777" w:rsidTr="006A2B01">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972D730" w14:textId="77777777" w:rsidR="0084789D" w:rsidRPr="000C42E6" w:rsidRDefault="0084789D" w:rsidP="0084789D">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3.3</w:t>
            </w:r>
          </w:p>
        </w:tc>
        <w:tc>
          <w:tcPr>
            <w:tcW w:w="6717" w:type="dxa"/>
            <w:tcBorders>
              <w:top w:val="nil"/>
              <w:left w:val="nil"/>
              <w:bottom w:val="single" w:sz="8" w:space="0" w:color="auto"/>
              <w:right w:val="single" w:sz="8" w:space="0" w:color="auto"/>
            </w:tcBorders>
            <w:shd w:val="clear" w:color="auto" w:fill="auto"/>
            <w:vAlign w:val="center"/>
            <w:hideMark/>
          </w:tcPr>
          <w:p w14:paraId="05B61785" w14:textId="77777777" w:rsidR="0084789D" w:rsidRPr="000C42E6" w:rsidRDefault="0084789D" w:rsidP="0084789D">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Otros Ingresos Presupuestarios No Contables </w:t>
            </w:r>
          </w:p>
        </w:tc>
        <w:tc>
          <w:tcPr>
            <w:tcW w:w="1940" w:type="dxa"/>
            <w:tcBorders>
              <w:top w:val="nil"/>
              <w:left w:val="nil"/>
              <w:bottom w:val="single" w:sz="8" w:space="0" w:color="auto"/>
              <w:right w:val="single" w:sz="8" w:space="0" w:color="auto"/>
            </w:tcBorders>
            <w:shd w:val="clear" w:color="auto" w:fill="auto"/>
            <w:vAlign w:val="center"/>
            <w:hideMark/>
          </w:tcPr>
          <w:p w14:paraId="35B0FCF1"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w:t>
            </w:r>
          </w:p>
        </w:tc>
      </w:tr>
      <w:tr w:rsidR="0084789D" w:rsidRPr="000C42E6" w14:paraId="3FAA0C2B" w14:textId="77777777" w:rsidTr="006A2B01">
        <w:trPr>
          <w:trHeight w:val="90"/>
          <w:jc w:val="center"/>
        </w:trPr>
        <w:tc>
          <w:tcPr>
            <w:tcW w:w="7558" w:type="dxa"/>
            <w:gridSpan w:val="2"/>
            <w:tcBorders>
              <w:top w:val="single" w:sz="8" w:space="0" w:color="auto"/>
              <w:left w:val="nil"/>
              <w:bottom w:val="single" w:sz="8" w:space="0" w:color="auto"/>
              <w:right w:val="nil"/>
            </w:tcBorders>
            <w:shd w:val="clear" w:color="auto" w:fill="auto"/>
            <w:vAlign w:val="center"/>
            <w:hideMark/>
          </w:tcPr>
          <w:p w14:paraId="176EBB0B" w14:textId="77777777" w:rsidR="0084789D" w:rsidRPr="000C42E6" w:rsidRDefault="0084789D" w:rsidP="0084789D">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0E0A63F9" w14:textId="77777777" w:rsidR="0084789D" w:rsidRPr="000C42E6" w:rsidRDefault="0084789D" w:rsidP="0084789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r>
      <w:tr w:rsidR="0084789D" w:rsidRPr="000C42E6" w14:paraId="5E16E8FA" w14:textId="77777777" w:rsidTr="006A2B01">
        <w:trPr>
          <w:trHeight w:val="282"/>
          <w:jc w:val="center"/>
        </w:trPr>
        <w:tc>
          <w:tcPr>
            <w:tcW w:w="755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9A196BF" w14:textId="77777777" w:rsidR="0084789D" w:rsidRPr="000C42E6" w:rsidRDefault="0084789D" w:rsidP="0084789D">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4. Total de Ingresos Contables </w:t>
            </w:r>
          </w:p>
        </w:tc>
        <w:tc>
          <w:tcPr>
            <w:tcW w:w="1940" w:type="dxa"/>
            <w:tcBorders>
              <w:top w:val="nil"/>
              <w:left w:val="nil"/>
              <w:bottom w:val="single" w:sz="8" w:space="0" w:color="auto"/>
              <w:right w:val="single" w:sz="8" w:space="0" w:color="auto"/>
            </w:tcBorders>
            <w:shd w:val="clear" w:color="000000" w:fill="BFBFBF"/>
            <w:vAlign w:val="center"/>
            <w:hideMark/>
          </w:tcPr>
          <w:p w14:paraId="47212861" w14:textId="0402F56C" w:rsidR="0084789D" w:rsidRPr="000C42E6" w:rsidRDefault="0084789D" w:rsidP="00404C7D">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w:t>
            </w:r>
            <w:r w:rsidR="00404C7D">
              <w:rPr>
                <w:rFonts w:ascii="Arial" w:eastAsia="Times New Roman" w:hAnsi="Arial" w:cs="Arial"/>
                <w:b/>
                <w:bCs/>
                <w:color w:val="000000"/>
                <w:sz w:val="20"/>
                <w:szCs w:val="20"/>
                <w:lang w:eastAsia="es-MX"/>
              </w:rPr>
              <w:t>70,869,439,171</w:t>
            </w:r>
            <w:r w:rsidRPr="000C42E6">
              <w:rPr>
                <w:rFonts w:ascii="Arial" w:eastAsia="Times New Roman" w:hAnsi="Arial" w:cs="Arial"/>
                <w:b/>
                <w:bCs/>
                <w:color w:val="000000"/>
                <w:sz w:val="20"/>
                <w:szCs w:val="20"/>
                <w:lang w:eastAsia="es-MX"/>
              </w:rPr>
              <w:t xml:space="preserve"> </w:t>
            </w:r>
          </w:p>
        </w:tc>
      </w:tr>
    </w:tbl>
    <w:p w14:paraId="0F7CF5C8" w14:textId="77777777" w:rsidR="006A2B01" w:rsidRDefault="006A2B01"/>
    <w:p w14:paraId="00B4CF2C" w14:textId="77777777" w:rsidR="006A2B01" w:rsidRDefault="006A2B01"/>
    <w:p w14:paraId="36B6755A" w14:textId="77777777" w:rsidR="006A2B01" w:rsidRDefault="006A2B01"/>
    <w:p w14:paraId="10C0CAE0" w14:textId="77777777" w:rsidR="006A2B01" w:rsidRDefault="006A2B01"/>
    <w:p w14:paraId="4F33AA4C" w14:textId="77777777" w:rsidR="006A2B01" w:rsidRDefault="006A2B01"/>
    <w:p w14:paraId="0C1904EC" w14:textId="77777777" w:rsidR="006A2B01" w:rsidRDefault="006A2B01"/>
    <w:p w14:paraId="337C8A73" w14:textId="77777777" w:rsidR="006A2B01" w:rsidRDefault="006A2B01"/>
    <w:p w14:paraId="4BD831D9" w14:textId="77777777" w:rsidR="006A2B01" w:rsidRDefault="006A2B01"/>
    <w:tbl>
      <w:tblPr>
        <w:tblW w:w="9498" w:type="dxa"/>
        <w:jc w:val="center"/>
        <w:tblCellMar>
          <w:left w:w="70" w:type="dxa"/>
          <w:right w:w="70" w:type="dxa"/>
        </w:tblCellMar>
        <w:tblLook w:val="04A0" w:firstRow="1" w:lastRow="0" w:firstColumn="1" w:lastColumn="0" w:noHBand="0" w:noVBand="1"/>
      </w:tblPr>
      <w:tblGrid>
        <w:gridCol w:w="841"/>
        <w:gridCol w:w="6859"/>
        <w:gridCol w:w="1798"/>
      </w:tblGrid>
      <w:tr w:rsidR="00A56C97" w:rsidRPr="000C42E6" w14:paraId="510A9C78" w14:textId="77777777" w:rsidTr="00946B18">
        <w:trPr>
          <w:trHeight w:val="225"/>
          <w:jc w:val="center"/>
        </w:trPr>
        <w:tc>
          <w:tcPr>
            <w:tcW w:w="9498"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7DEEE66B" w14:textId="77777777" w:rsidR="00A56C97" w:rsidRPr="000C42E6" w:rsidRDefault="00A56C97" w:rsidP="00A56C97">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lastRenderedPageBreak/>
              <w:t xml:space="preserve">Gobierno del Estado de Tabasco </w:t>
            </w:r>
          </w:p>
        </w:tc>
      </w:tr>
      <w:tr w:rsidR="00A56C97" w:rsidRPr="000C42E6" w14:paraId="661B7237" w14:textId="77777777" w:rsidTr="00946B18">
        <w:trPr>
          <w:trHeight w:val="87"/>
          <w:jc w:val="center"/>
        </w:trPr>
        <w:tc>
          <w:tcPr>
            <w:tcW w:w="9498" w:type="dxa"/>
            <w:gridSpan w:val="3"/>
            <w:tcBorders>
              <w:top w:val="nil"/>
              <w:left w:val="single" w:sz="8" w:space="0" w:color="auto"/>
              <w:bottom w:val="nil"/>
              <w:right w:val="single" w:sz="8" w:space="0" w:color="000000"/>
            </w:tcBorders>
            <w:shd w:val="clear" w:color="000000" w:fill="C0C0C0"/>
            <w:noWrap/>
            <w:vAlign w:val="center"/>
            <w:hideMark/>
          </w:tcPr>
          <w:p w14:paraId="1F219345" w14:textId="77777777" w:rsidR="00A56C97" w:rsidRPr="000C42E6" w:rsidRDefault="00A56C97" w:rsidP="00A56C97">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Poder Ejecutivo </w:t>
            </w:r>
          </w:p>
        </w:tc>
      </w:tr>
      <w:tr w:rsidR="00A56C97" w:rsidRPr="000C42E6" w14:paraId="12630B08" w14:textId="77777777" w:rsidTr="00946B18">
        <w:trPr>
          <w:trHeight w:val="263"/>
          <w:jc w:val="center"/>
        </w:trPr>
        <w:tc>
          <w:tcPr>
            <w:tcW w:w="9498" w:type="dxa"/>
            <w:gridSpan w:val="3"/>
            <w:tcBorders>
              <w:top w:val="nil"/>
              <w:left w:val="single" w:sz="8" w:space="0" w:color="auto"/>
              <w:bottom w:val="nil"/>
              <w:right w:val="single" w:sz="8" w:space="0" w:color="000000"/>
            </w:tcBorders>
            <w:shd w:val="clear" w:color="000000" w:fill="C0C0C0"/>
            <w:vAlign w:val="center"/>
            <w:hideMark/>
          </w:tcPr>
          <w:p w14:paraId="45F99201" w14:textId="77777777" w:rsidR="00A56C97" w:rsidRPr="000C42E6" w:rsidRDefault="00A56C97" w:rsidP="00A56C97">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Conciliación entre los Egresos Presupuestarios y los Gastos Contables </w:t>
            </w:r>
          </w:p>
        </w:tc>
      </w:tr>
      <w:tr w:rsidR="00A56C97" w:rsidRPr="000C42E6" w14:paraId="41F28080" w14:textId="77777777" w:rsidTr="00946B18">
        <w:trPr>
          <w:trHeight w:val="153"/>
          <w:jc w:val="center"/>
        </w:trPr>
        <w:tc>
          <w:tcPr>
            <w:tcW w:w="9498" w:type="dxa"/>
            <w:gridSpan w:val="3"/>
            <w:tcBorders>
              <w:top w:val="nil"/>
              <w:left w:val="single" w:sz="8" w:space="0" w:color="auto"/>
              <w:bottom w:val="nil"/>
              <w:right w:val="single" w:sz="8" w:space="0" w:color="000000"/>
            </w:tcBorders>
            <w:shd w:val="clear" w:color="000000" w:fill="C0C0C0"/>
            <w:vAlign w:val="center"/>
            <w:hideMark/>
          </w:tcPr>
          <w:p w14:paraId="7CAADD23" w14:textId="77777777" w:rsidR="00A56C97" w:rsidRPr="000C42E6" w:rsidRDefault="00A56C97" w:rsidP="00A56C97">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Del 01 de enero al 31 de diciembre del 2025</w:t>
            </w:r>
          </w:p>
        </w:tc>
      </w:tr>
      <w:tr w:rsidR="00A56C97" w:rsidRPr="000C42E6" w14:paraId="05B3D037" w14:textId="77777777" w:rsidTr="00946B18">
        <w:trPr>
          <w:trHeight w:val="315"/>
          <w:jc w:val="center"/>
        </w:trPr>
        <w:tc>
          <w:tcPr>
            <w:tcW w:w="9498" w:type="dxa"/>
            <w:gridSpan w:val="3"/>
            <w:tcBorders>
              <w:top w:val="nil"/>
              <w:left w:val="single" w:sz="8" w:space="0" w:color="auto"/>
              <w:bottom w:val="single" w:sz="8" w:space="0" w:color="auto"/>
              <w:right w:val="single" w:sz="8" w:space="0" w:color="000000"/>
            </w:tcBorders>
            <w:shd w:val="clear" w:color="000000" w:fill="C0C0C0"/>
            <w:vAlign w:val="center"/>
            <w:hideMark/>
          </w:tcPr>
          <w:p w14:paraId="0F3880D9" w14:textId="77777777" w:rsidR="00A56C97" w:rsidRPr="000C42E6" w:rsidRDefault="00A56C97" w:rsidP="00A56C97">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(Cifras en pesos)</w:t>
            </w:r>
          </w:p>
        </w:tc>
      </w:tr>
      <w:tr w:rsidR="00A56C97" w:rsidRPr="000C42E6" w14:paraId="13E27DD4" w14:textId="77777777" w:rsidTr="00946B18">
        <w:trPr>
          <w:trHeight w:val="270"/>
          <w:jc w:val="center"/>
        </w:trPr>
        <w:tc>
          <w:tcPr>
            <w:tcW w:w="77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E47771D" w14:textId="77777777" w:rsidR="00A56C97" w:rsidRPr="000C42E6" w:rsidRDefault="00A56C97" w:rsidP="00A56C97">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Concepto </w:t>
            </w:r>
          </w:p>
        </w:tc>
        <w:tc>
          <w:tcPr>
            <w:tcW w:w="1798" w:type="dxa"/>
            <w:tcBorders>
              <w:top w:val="nil"/>
              <w:left w:val="nil"/>
              <w:bottom w:val="single" w:sz="8" w:space="0" w:color="auto"/>
              <w:right w:val="single" w:sz="8" w:space="0" w:color="auto"/>
            </w:tcBorders>
            <w:shd w:val="clear" w:color="000000" w:fill="C0C0C0"/>
            <w:vAlign w:val="center"/>
            <w:hideMark/>
          </w:tcPr>
          <w:p w14:paraId="76B18905" w14:textId="77777777" w:rsidR="00A56C97" w:rsidRPr="000C42E6" w:rsidRDefault="00A56C97" w:rsidP="00A56C97">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2025</w:t>
            </w:r>
          </w:p>
        </w:tc>
      </w:tr>
      <w:tr w:rsidR="00A56C97" w:rsidRPr="000C42E6" w14:paraId="424D1346" w14:textId="77777777" w:rsidTr="00946B18">
        <w:trPr>
          <w:trHeight w:val="285"/>
          <w:jc w:val="center"/>
        </w:trPr>
        <w:tc>
          <w:tcPr>
            <w:tcW w:w="77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301EEFA" w14:textId="77777777" w:rsidR="00A56C97" w:rsidRPr="000C42E6" w:rsidRDefault="00A56C97" w:rsidP="00A56C97">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1. Total de Egresos Presupuestarios </w:t>
            </w:r>
          </w:p>
        </w:tc>
        <w:tc>
          <w:tcPr>
            <w:tcW w:w="1798" w:type="dxa"/>
            <w:tcBorders>
              <w:top w:val="nil"/>
              <w:left w:val="nil"/>
              <w:bottom w:val="single" w:sz="8" w:space="0" w:color="auto"/>
              <w:right w:val="single" w:sz="8" w:space="0" w:color="auto"/>
            </w:tcBorders>
            <w:shd w:val="clear" w:color="000000" w:fill="BFBFBF"/>
            <w:vAlign w:val="center"/>
            <w:hideMark/>
          </w:tcPr>
          <w:p w14:paraId="2C39D92B" w14:textId="68549BA6" w:rsidR="00A56C97" w:rsidRPr="000C42E6" w:rsidRDefault="00A56C97" w:rsidP="00151AEB">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76,782,696,659 </w:t>
            </w:r>
          </w:p>
        </w:tc>
      </w:tr>
      <w:tr w:rsidR="00A56C97" w:rsidRPr="000C42E6" w14:paraId="0AFB5AC5" w14:textId="77777777" w:rsidTr="00946B18">
        <w:trPr>
          <w:trHeight w:val="60"/>
          <w:jc w:val="center"/>
        </w:trPr>
        <w:tc>
          <w:tcPr>
            <w:tcW w:w="9498" w:type="dxa"/>
            <w:gridSpan w:val="3"/>
            <w:tcBorders>
              <w:top w:val="single" w:sz="8" w:space="0" w:color="auto"/>
              <w:left w:val="nil"/>
              <w:bottom w:val="single" w:sz="8" w:space="0" w:color="auto"/>
              <w:right w:val="nil"/>
            </w:tcBorders>
            <w:shd w:val="clear" w:color="auto" w:fill="auto"/>
            <w:vAlign w:val="center"/>
            <w:hideMark/>
          </w:tcPr>
          <w:p w14:paraId="21E9374D"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r>
      <w:tr w:rsidR="00A56C97" w:rsidRPr="000C42E6" w14:paraId="227FAAB7" w14:textId="77777777" w:rsidTr="00946B18">
        <w:trPr>
          <w:trHeight w:val="282"/>
          <w:jc w:val="center"/>
        </w:trPr>
        <w:tc>
          <w:tcPr>
            <w:tcW w:w="7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D5EA37" w14:textId="77777777" w:rsidR="00A56C97" w:rsidRPr="000C42E6" w:rsidRDefault="00A56C97" w:rsidP="00A56C97">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2. Menos Egresos Presupuestarios No Contables </w:t>
            </w:r>
          </w:p>
        </w:tc>
        <w:tc>
          <w:tcPr>
            <w:tcW w:w="1798" w:type="dxa"/>
            <w:tcBorders>
              <w:top w:val="nil"/>
              <w:left w:val="nil"/>
              <w:bottom w:val="nil"/>
              <w:right w:val="single" w:sz="8" w:space="0" w:color="auto"/>
            </w:tcBorders>
            <w:shd w:val="clear" w:color="auto" w:fill="auto"/>
            <w:vAlign w:val="center"/>
            <w:hideMark/>
          </w:tcPr>
          <w:p w14:paraId="14873818" w14:textId="56F8BD1A" w:rsidR="00A56C97" w:rsidRPr="000C42E6" w:rsidRDefault="00A56C97" w:rsidP="00A56C97">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9,228,347,584 </w:t>
            </w:r>
          </w:p>
        </w:tc>
      </w:tr>
      <w:tr w:rsidR="00A56C97" w:rsidRPr="000C42E6" w14:paraId="3582AA9F" w14:textId="77777777" w:rsidTr="00946B18">
        <w:trPr>
          <w:trHeight w:val="201"/>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6C4F896"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w:t>
            </w:r>
          </w:p>
        </w:tc>
        <w:tc>
          <w:tcPr>
            <w:tcW w:w="6859" w:type="dxa"/>
            <w:tcBorders>
              <w:top w:val="nil"/>
              <w:left w:val="nil"/>
              <w:bottom w:val="single" w:sz="8" w:space="0" w:color="auto"/>
              <w:right w:val="single" w:sz="8" w:space="0" w:color="auto"/>
            </w:tcBorders>
            <w:shd w:val="clear" w:color="auto" w:fill="auto"/>
            <w:vAlign w:val="center"/>
            <w:hideMark/>
          </w:tcPr>
          <w:p w14:paraId="1D815E9F"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Materias Primas y Materiales de Producción y Comercialización </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14:paraId="0717C239" w14:textId="6024E298" w:rsidR="00A56C97" w:rsidRPr="000C42E6" w:rsidRDefault="00A56C97" w:rsidP="00B37BEB">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4,613,737 </w:t>
            </w:r>
          </w:p>
        </w:tc>
      </w:tr>
      <w:tr w:rsidR="00A56C97" w:rsidRPr="000C42E6" w14:paraId="3DCF5048"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0D86C27"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w:t>
            </w:r>
          </w:p>
        </w:tc>
        <w:tc>
          <w:tcPr>
            <w:tcW w:w="6859" w:type="dxa"/>
            <w:tcBorders>
              <w:top w:val="nil"/>
              <w:left w:val="nil"/>
              <w:bottom w:val="single" w:sz="8" w:space="0" w:color="auto"/>
              <w:right w:val="single" w:sz="8" w:space="0" w:color="auto"/>
            </w:tcBorders>
            <w:shd w:val="clear" w:color="auto" w:fill="auto"/>
            <w:vAlign w:val="center"/>
            <w:hideMark/>
          </w:tcPr>
          <w:p w14:paraId="39B9FE91"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Materiales y Suministros </w:t>
            </w:r>
          </w:p>
        </w:tc>
        <w:tc>
          <w:tcPr>
            <w:tcW w:w="1798" w:type="dxa"/>
            <w:tcBorders>
              <w:top w:val="nil"/>
              <w:left w:val="nil"/>
              <w:bottom w:val="single" w:sz="8" w:space="0" w:color="auto"/>
              <w:right w:val="single" w:sz="8" w:space="0" w:color="auto"/>
            </w:tcBorders>
            <w:shd w:val="clear" w:color="auto" w:fill="auto"/>
            <w:noWrap/>
            <w:vAlign w:val="center"/>
            <w:hideMark/>
          </w:tcPr>
          <w:p w14:paraId="2F67D7D2" w14:textId="5171A25C"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939,436,426 </w:t>
            </w:r>
          </w:p>
        </w:tc>
      </w:tr>
      <w:tr w:rsidR="00A56C97" w:rsidRPr="000C42E6" w14:paraId="6050C893"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547AE73"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2.3</w:t>
            </w:r>
          </w:p>
        </w:tc>
        <w:tc>
          <w:tcPr>
            <w:tcW w:w="6859" w:type="dxa"/>
            <w:tcBorders>
              <w:top w:val="nil"/>
              <w:left w:val="nil"/>
              <w:bottom w:val="single" w:sz="8" w:space="0" w:color="auto"/>
              <w:right w:val="single" w:sz="8" w:space="0" w:color="auto"/>
            </w:tcBorders>
            <w:shd w:val="clear" w:color="auto" w:fill="auto"/>
            <w:vAlign w:val="center"/>
            <w:hideMark/>
          </w:tcPr>
          <w:p w14:paraId="39FC58E1"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Mobiliario y Equipo de Administración </w:t>
            </w:r>
          </w:p>
        </w:tc>
        <w:tc>
          <w:tcPr>
            <w:tcW w:w="1798" w:type="dxa"/>
            <w:tcBorders>
              <w:top w:val="nil"/>
              <w:left w:val="nil"/>
              <w:bottom w:val="single" w:sz="8" w:space="0" w:color="auto"/>
              <w:right w:val="single" w:sz="8" w:space="0" w:color="auto"/>
            </w:tcBorders>
            <w:shd w:val="clear" w:color="auto" w:fill="auto"/>
            <w:vAlign w:val="center"/>
            <w:hideMark/>
          </w:tcPr>
          <w:p w14:paraId="20EA872F" w14:textId="0F6E7805"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176,127,457 </w:t>
            </w:r>
          </w:p>
        </w:tc>
      </w:tr>
      <w:tr w:rsidR="00A56C97" w:rsidRPr="000C42E6" w14:paraId="1D55A604"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62B9994"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2.4</w:t>
            </w:r>
          </w:p>
        </w:tc>
        <w:tc>
          <w:tcPr>
            <w:tcW w:w="6859" w:type="dxa"/>
            <w:tcBorders>
              <w:top w:val="nil"/>
              <w:left w:val="nil"/>
              <w:bottom w:val="single" w:sz="8" w:space="0" w:color="auto"/>
              <w:right w:val="single" w:sz="8" w:space="0" w:color="auto"/>
            </w:tcBorders>
            <w:shd w:val="clear" w:color="auto" w:fill="auto"/>
            <w:vAlign w:val="center"/>
            <w:hideMark/>
          </w:tcPr>
          <w:p w14:paraId="21AF8501"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Mobiliario y Equipo Educacional y Recreativo </w:t>
            </w:r>
          </w:p>
        </w:tc>
        <w:tc>
          <w:tcPr>
            <w:tcW w:w="1798" w:type="dxa"/>
            <w:tcBorders>
              <w:top w:val="nil"/>
              <w:left w:val="nil"/>
              <w:bottom w:val="single" w:sz="8" w:space="0" w:color="auto"/>
              <w:right w:val="single" w:sz="8" w:space="0" w:color="auto"/>
            </w:tcBorders>
            <w:shd w:val="clear" w:color="auto" w:fill="auto"/>
            <w:vAlign w:val="center"/>
            <w:hideMark/>
          </w:tcPr>
          <w:p w14:paraId="658E40B7" w14:textId="22CB6923"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15,786,513 </w:t>
            </w:r>
          </w:p>
        </w:tc>
      </w:tr>
      <w:tr w:rsidR="00A56C97" w:rsidRPr="000C42E6" w14:paraId="1335D2BB"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9CEB2C1"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2.5</w:t>
            </w:r>
          </w:p>
        </w:tc>
        <w:tc>
          <w:tcPr>
            <w:tcW w:w="6859" w:type="dxa"/>
            <w:tcBorders>
              <w:top w:val="nil"/>
              <w:left w:val="nil"/>
              <w:bottom w:val="single" w:sz="8" w:space="0" w:color="auto"/>
              <w:right w:val="single" w:sz="8" w:space="0" w:color="auto"/>
            </w:tcBorders>
            <w:shd w:val="clear" w:color="auto" w:fill="auto"/>
            <w:vAlign w:val="center"/>
            <w:hideMark/>
          </w:tcPr>
          <w:p w14:paraId="09AC8503"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Equipo e Instrumental Médico y de Laboratorio </w:t>
            </w:r>
          </w:p>
        </w:tc>
        <w:tc>
          <w:tcPr>
            <w:tcW w:w="1798" w:type="dxa"/>
            <w:tcBorders>
              <w:top w:val="nil"/>
              <w:left w:val="nil"/>
              <w:bottom w:val="single" w:sz="8" w:space="0" w:color="auto"/>
              <w:right w:val="single" w:sz="8" w:space="0" w:color="auto"/>
            </w:tcBorders>
            <w:shd w:val="clear" w:color="auto" w:fill="auto"/>
            <w:vAlign w:val="center"/>
            <w:hideMark/>
          </w:tcPr>
          <w:p w14:paraId="3A7770F9" w14:textId="6FD3A391"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806,615 </w:t>
            </w:r>
          </w:p>
        </w:tc>
      </w:tr>
      <w:tr w:rsidR="00A56C97" w:rsidRPr="000C42E6" w14:paraId="6C2B2279"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2E21459"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2.6</w:t>
            </w:r>
          </w:p>
        </w:tc>
        <w:tc>
          <w:tcPr>
            <w:tcW w:w="6859" w:type="dxa"/>
            <w:tcBorders>
              <w:top w:val="nil"/>
              <w:left w:val="nil"/>
              <w:bottom w:val="single" w:sz="8" w:space="0" w:color="auto"/>
              <w:right w:val="single" w:sz="8" w:space="0" w:color="auto"/>
            </w:tcBorders>
            <w:shd w:val="clear" w:color="auto" w:fill="auto"/>
            <w:vAlign w:val="center"/>
            <w:hideMark/>
          </w:tcPr>
          <w:p w14:paraId="06334798"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Vehículos y Equipo de Transporte </w:t>
            </w:r>
          </w:p>
        </w:tc>
        <w:tc>
          <w:tcPr>
            <w:tcW w:w="1798" w:type="dxa"/>
            <w:tcBorders>
              <w:top w:val="nil"/>
              <w:left w:val="nil"/>
              <w:bottom w:val="single" w:sz="8" w:space="0" w:color="auto"/>
              <w:right w:val="single" w:sz="8" w:space="0" w:color="auto"/>
            </w:tcBorders>
            <w:shd w:val="clear" w:color="auto" w:fill="auto"/>
            <w:vAlign w:val="center"/>
            <w:hideMark/>
          </w:tcPr>
          <w:p w14:paraId="784E3A9A" w14:textId="438908EC"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68,660,106 </w:t>
            </w:r>
          </w:p>
        </w:tc>
      </w:tr>
      <w:tr w:rsidR="00A56C97" w:rsidRPr="000C42E6" w14:paraId="63BD8EEF"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DD677F6"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2.7</w:t>
            </w:r>
          </w:p>
        </w:tc>
        <w:tc>
          <w:tcPr>
            <w:tcW w:w="6859" w:type="dxa"/>
            <w:tcBorders>
              <w:top w:val="nil"/>
              <w:left w:val="nil"/>
              <w:bottom w:val="single" w:sz="8" w:space="0" w:color="auto"/>
              <w:right w:val="single" w:sz="8" w:space="0" w:color="auto"/>
            </w:tcBorders>
            <w:shd w:val="clear" w:color="auto" w:fill="auto"/>
            <w:vAlign w:val="center"/>
            <w:hideMark/>
          </w:tcPr>
          <w:p w14:paraId="37C509E2"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Equipo de Defensa y Seguridad </w:t>
            </w:r>
          </w:p>
        </w:tc>
        <w:tc>
          <w:tcPr>
            <w:tcW w:w="1798" w:type="dxa"/>
            <w:tcBorders>
              <w:top w:val="nil"/>
              <w:left w:val="nil"/>
              <w:bottom w:val="single" w:sz="8" w:space="0" w:color="auto"/>
              <w:right w:val="single" w:sz="8" w:space="0" w:color="auto"/>
            </w:tcBorders>
            <w:shd w:val="clear" w:color="auto" w:fill="auto"/>
            <w:vAlign w:val="center"/>
            <w:hideMark/>
          </w:tcPr>
          <w:p w14:paraId="1D190410" w14:textId="4DAEF7CE"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2,787,009 </w:t>
            </w:r>
          </w:p>
        </w:tc>
      </w:tr>
      <w:tr w:rsidR="00A56C97" w:rsidRPr="000C42E6" w14:paraId="2202D02D"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A215EB5"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2.8</w:t>
            </w:r>
          </w:p>
        </w:tc>
        <w:tc>
          <w:tcPr>
            <w:tcW w:w="6859" w:type="dxa"/>
            <w:tcBorders>
              <w:top w:val="nil"/>
              <w:left w:val="nil"/>
              <w:bottom w:val="single" w:sz="8" w:space="0" w:color="auto"/>
              <w:right w:val="single" w:sz="8" w:space="0" w:color="auto"/>
            </w:tcBorders>
            <w:shd w:val="clear" w:color="auto" w:fill="auto"/>
            <w:vAlign w:val="center"/>
            <w:hideMark/>
          </w:tcPr>
          <w:p w14:paraId="6D3B3791"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Maquinaria, Otros Equipos y Herramientas </w:t>
            </w:r>
          </w:p>
        </w:tc>
        <w:tc>
          <w:tcPr>
            <w:tcW w:w="1798" w:type="dxa"/>
            <w:tcBorders>
              <w:top w:val="nil"/>
              <w:left w:val="nil"/>
              <w:bottom w:val="single" w:sz="8" w:space="0" w:color="auto"/>
              <w:right w:val="single" w:sz="8" w:space="0" w:color="auto"/>
            </w:tcBorders>
            <w:shd w:val="clear" w:color="auto" w:fill="auto"/>
            <w:vAlign w:val="center"/>
            <w:hideMark/>
          </w:tcPr>
          <w:p w14:paraId="13CFB296" w14:textId="6DA2E808"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56,852,635 </w:t>
            </w:r>
          </w:p>
        </w:tc>
      </w:tr>
      <w:tr w:rsidR="00A56C97" w:rsidRPr="000C42E6" w14:paraId="1333E9CB"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0F92437"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2.9</w:t>
            </w:r>
          </w:p>
        </w:tc>
        <w:tc>
          <w:tcPr>
            <w:tcW w:w="6859" w:type="dxa"/>
            <w:tcBorders>
              <w:top w:val="nil"/>
              <w:left w:val="nil"/>
              <w:bottom w:val="single" w:sz="8" w:space="0" w:color="auto"/>
              <w:right w:val="single" w:sz="8" w:space="0" w:color="auto"/>
            </w:tcBorders>
            <w:shd w:val="clear" w:color="auto" w:fill="auto"/>
            <w:vAlign w:val="center"/>
            <w:hideMark/>
          </w:tcPr>
          <w:p w14:paraId="50EF31F7"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Activos Biológicos </w:t>
            </w:r>
          </w:p>
        </w:tc>
        <w:tc>
          <w:tcPr>
            <w:tcW w:w="1798" w:type="dxa"/>
            <w:tcBorders>
              <w:top w:val="nil"/>
              <w:left w:val="nil"/>
              <w:bottom w:val="single" w:sz="8" w:space="0" w:color="auto"/>
              <w:right w:val="single" w:sz="8" w:space="0" w:color="auto"/>
            </w:tcBorders>
            <w:shd w:val="clear" w:color="auto" w:fill="auto"/>
            <w:vAlign w:val="center"/>
            <w:hideMark/>
          </w:tcPr>
          <w:p w14:paraId="035C9E5C" w14:textId="7A161448"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223,800 </w:t>
            </w:r>
          </w:p>
        </w:tc>
      </w:tr>
      <w:tr w:rsidR="00A56C97" w:rsidRPr="000C42E6" w14:paraId="6F887C6B"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99CD754"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2.10</w:t>
            </w:r>
          </w:p>
        </w:tc>
        <w:tc>
          <w:tcPr>
            <w:tcW w:w="6859" w:type="dxa"/>
            <w:tcBorders>
              <w:top w:val="nil"/>
              <w:left w:val="nil"/>
              <w:bottom w:val="single" w:sz="8" w:space="0" w:color="auto"/>
              <w:right w:val="single" w:sz="8" w:space="0" w:color="auto"/>
            </w:tcBorders>
            <w:shd w:val="clear" w:color="auto" w:fill="auto"/>
            <w:vAlign w:val="center"/>
            <w:hideMark/>
          </w:tcPr>
          <w:p w14:paraId="20FD8F67"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Bienes Inmuebles </w:t>
            </w:r>
          </w:p>
        </w:tc>
        <w:tc>
          <w:tcPr>
            <w:tcW w:w="1798" w:type="dxa"/>
            <w:tcBorders>
              <w:top w:val="nil"/>
              <w:left w:val="nil"/>
              <w:bottom w:val="single" w:sz="8" w:space="0" w:color="auto"/>
              <w:right w:val="single" w:sz="8" w:space="0" w:color="auto"/>
            </w:tcBorders>
            <w:shd w:val="clear" w:color="auto" w:fill="auto"/>
            <w:vAlign w:val="center"/>
            <w:hideMark/>
          </w:tcPr>
          <w:p w14:paraId="3A732CBF" w14:textId="0E2B18BA"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1,000,000 </w:t>
            </w:r>
          </w:p>
        </w:tc>
      </w:tr>
      <w:tr w:rsidR="00A56C97" w:rsidRPr="000C42E6" w14:paraId="2303F042"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219F753"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2.11</w:t>
            </w:r>
          </w:p>
        </w:tc>
        <w:tc>
          <w:tcPr>
            <w:tcW w:w="6859" w:type="dxa"/>
            <w:tcBorders>
              <w:top w:val="nil"/>
              <w:left w:val="nil"/>
              <w:bottom w:val="single" w:sz="8" w:space="0" w:color="auto"/>
              <w:right w:val="single" w:sz="8" w:space="0" w:color="auto"/>
            </w:tcBorders>
            <w:shd w:val="clear" w:color="auto" w:fill="auto"/>
            <w:vAlign w:val="center"/>
            <w:hideMark/>
          </w:tcPr>
          <w:p w14:paraId="19321F12"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Activos Intangibles </w:t>
            </w:r>
          </w:p>
        </w:tc>
        <w:tc>
          <w:tcPr>
            <w:tcW w:w="1798" w:type="dxa"/>
            <w:tcBorders>
              <w:top w:val="nil"/>
              <w:left w:val="nil"/>
              <w:bottom w:val="single" w:sz="8" w:space="0" w:color="auto"/>
              <w:right w:val="single" w:sz="8" w:space="0" w:color="auto"/>
            </w:tcBorders>
            <w:shd w:val="clear" w:color="auto" w:fill="auto"/>
            <w:vAlign w:val="center"/>
            <w:hideMark/>
          </w:tcPr>
          <w:p w14:paraId="32DEA8F1" w14:textId="590BE76F"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2,741,770 </w:t>
            </w:r>
          </w:p>
        </w:tc>
      </w:tr>
      <w:tr w:rsidR="00A56C97" w:rsidRPr="000C42E6" w14:paraId="15EF1ACE"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924CB1F"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2.12</w:t>
            </w:r>
          </w:p>
        </w:tc>
        <w:tc>
          <w:tcPr>
            <w:tcW w:w="6859" w:type="dxa"/>
            <w:tcBorders>
              <w:top w:val="nil"/>
              <w:left w:val="nil"/>
              <w:bottom w:val="single" w:sz="8" w:space="0" w:color="auto"/>
              <w:right w:val="single" w:sz="8" w:space="0" w:color="auto"/>
            </w:tcBorders>
            <w:shd w:val="clear" w:color="auto" w:fill="auto"/>
            <w:vAlign w:val="center"/>
            <w:hideMark/>
          </w:tcPr>
          <w:p w14:paraId="4391587A"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Obra Pública en Bienes de Dominio Público </w:t>
            </w:r>
          </w:p>
        </w:tc>
        <w:tc>
          <w:tcPr>
            <w:tcW w:w="1798" w:type="dxa"/>
            <w:tcBorders>
              <w:top w:val="nil"/>
              <w:left w:val="nil"/>
              <w:bottom w:val="single" w:sz="8" w:space="0" w:color="auto"/>
              <w:right w:val="single" w:sz="8" w:space="0" w:color="auto"/>
            </w:tcBorders>
            <w:shd w:val="clear" w:color="auto" w:fill="auto"/>
            <w:vAlign w:val="center"/>
            <w:hideMark/>
          </w:tcPr>
          <w:p w14:paraId="39FC0F98" w14:textId="625C64B2"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1,600,772,608 </w:t>
            </w:r>
          </w:p>
        </w:tc>
      </w:tr>
      <w:tr w:rsidR="00A56C97" w:rsidRPr="000C42E6" w14:paraId="7F816F26"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0E4097C"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2.13</w:t>
            </w:r>
          </w:p>
        </w:tc>
        <w:tc>
          <w:tcPr>
            <w:tcW w:w="6859" w:type="dxa"/>
            <w:tcBorders>
              <w:top w:val="nil"/>
              <w:left w:val="nil"/>
              <w:bottom w:val="single" w:sz="8" w:space="0" w:color="auto"/>
              <w:right w:val="single" w:sz="8" w:space="0" w:color="auto"/>
            </w:tcBorders>
            <w:shd w:val="clear" w:color="auto" w:fill="auto"/>
            <w:vAlign w:val="center"/>
            <w:hideMark/>
          </w:tcPr>
          <w:p w14:paraId="174C99D0"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Obra Pública en Bienes Propios </w:t>
            </w:r>
          </w:p>
        </w:tc>
        <w:tc>
          <w:tcPr>
            <w:tcW w:w="1798" w:type="dxa"/>
            <w:tcBorders>
              <w:top w:val="nil"/>
              <w:left w:val="nil"/>
              <w:bottom w:val="single" w:sz="8" w:space="0" w:color="auto"/>
              <w:right w:val="single" w:sz="8" w:space="0" w:color="auto"/>
            </w:tcBorders>
            <w:shd w:val="clear" w:color="auto" w:fill="auto"/>
            <w:vAlign w:val="center"/>
            <w:hideMark/>
          </w:tcPr>
          <w:p w14:paraId="70B58A24" w14:textId="0D8FE61F"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717,023,871 </w:t>
            </w:r>
          </w:p>
        </w:tc>
      </w:tr>
      <w:tr w:rsidR="00A56C97" w:rsidRPr="000C42E6" w14:paraId="3EC58DC2"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392108C"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2.14</w:t>
            </w:r>
          </w:p>
        </w:tc>
        <w:tc>
          <w:tcPr>
            <w:tcW w:w="6859" w:type="dxa"/>
            <w:tcBorders>
              <w:top w:val="nil"/>
              <w:left w:val="nil"/>
              <w:bottom w:val="single" w:sz="8" w:space="0" w:color="auto"/>
              <w:right w:val="single" w:sz="8" w:space="0" w:color="auto"/>
            </w:tcBorders>
            <w:shd w:val="clear" w:color="auto" w:fill="auto"/>
            <w:vAlign w:val="center"/>
            <w:hideMark/>
          </w:tcPr>
          <w:p w14:paraId="35919B8F"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Acciones y Participaciones de Capital </w:t>
            </w:r>
          </w:p>
        </w:tc>
        <w:tc>
          <w:tcPr>
            <w:tcW w:w="1798" w:type="dxa"/>
            <w:tcBorders>
              <w:top w:val="nil"/>
              <w:left w:val="nil"/>
              <w:bottom w:val="single" w:sz="8" w:space="0" w:color="auto"/>
              <w:right w:val="single" w:sz="8" w:space="0" w:color="auto"/>
            </w:tcBorders>
            <w:shd w:val="clear" w:color="auto" w:fill="auto"/>
            <w:vAlign w:val="center"/>
            <w:hideMark/>
          </w:tcPr>
          <w:p w14:paraId="2E09887A" w14:textId="7FF97635"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1,193,358 </w:t>
            </w:r>
          </w:p>
        </w:tc>
      </w:tr>
      <w:tr w:rsidR="00A56C97" w:rsidRPr="000C42E6" w14:paraId="49F8FAE2"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BDC125C"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2.15</w:t>
            </w:r>
          </w:p>
        </w:tc>
        <w:tc>
          <w:tcPr>
            <w:tcW w:w="6859" w:type="dxa"/>
            <w:tcBorders>
              <w:top w:val="nil"/>
              <w:left w:val="nil"/>
              <w:bottom w:val="single" w:sz="8" w:space="0" w:color="auto"/>
              <w:right w:val="single" w:sz="8" w:space="0" w:color="auto"/>
            </w:tcBorders>
            <w:shd w:val="clear" w:color="auto" w:fill="auto"/>
            <w:vAlign w:val="center"/>
            <w:hideMark/>
          </w:tcPr>
          <w:p w14:paraId="04B926D2"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Compra de Títulos y Valores </w:t>
            </w:r>
          </w:p>
        </w:tc>
        <w:tc>
          <w:tcPr>
            <w:tcW w:w="1798" w:type="dxa"/>
            <w:tcBorders>
              <w:top w:val="nil"/>
              <w:left w:val="nil"/>
              <w:bottom w:val="single" w:sz="8" w:space="0" w:color="auto"/>
              <w:right w:val="single" w:sz="8" w:space="0" w:color="auto"/>
            </w:tcBorders>
            <w:shd w:val="clear" w:color="auto" w:fill="auto"/>
            <w:vAlign w:val="center"/>
            <w:hideMark/>
          </w:tcPr>
          <w:p w14:paraId="4E130022"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25883661"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FBD8478"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2.16</w:t>
            </w:r>
          </w:p>
        </w:tc>
        <w:tc>
          <w:tcPr>
            <w:tcW w:w="6859" w:type="dxa"/>
            <w:tcBorders>
              <w:top w:val="nil"/>
              <w:left w:val="nil"/>
              <w:bottom w:val="single" w:sz="8" w:space="0" w:color="auto"/>
              <w:right w:val="single" w:sz="8" w:space="0" w:color="auto"/>
            </w:tcBorders>
            <w:shd w:val="clear" w:color="auto" w:fill="auto"/>
            <w:vAlign w:val="center"/>
            <w:hideMark/>
          </w:tcPr>
          <w:p w14:paraId="548FDDAA"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Concesión de Préstamos </w:t>
            </w:r>
          </w:p>
        </w:tc>
        <w:tc>
          <w:tcPr>
            <w:tcW w:w="1798" w:type="dxa"/>
            <w:tcBorders>
              <w:top w:val="nil"/>
              <w:left w:val="nil"/>
              <w:bottom w:val="single" w:sz="8" w:space="0" w:color="auto"/>
              <w:right w:val="single" w:sz="8" w:space="0" w:color="auto"/>
            </w:tcBorders>
            <w:shd w:val="clear" w:color="auto" w:fill="auto"/>
            <w:vAlign w:val="center"/>
            <w:hideMark/>
          </w:tcPr>
          <w:p w14:paraId="2E379628"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7481906F" w14:textId="77777777" w:rsidTr="00946B18">
        <w:trPr>
          <w:trHeight w:val="24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59AE367"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2.17</w:t>
            </w:r>
          </w:p>
        </w:tc>
        <w:tc>
          <w:tcPr>
            <w:tcW w:w="6859" w:type="dxa"/>
            <w:tcBorders>
              <w:top w:val="nil"/>
              <w:left w:val="nil"/>
              <w:bottom w:val="single" w:sz="8" w:space="0" w:color="auto"/>
              <w:right w:val="single" w:sz="8" w:space="0" w:color="auto"/>
            </w:tcBorders>
            <w:shd w:val="clear" w:color="auto" w:fill="auto"/>
            <w:vAlign w:val="center"/>
            <w:hideMark/>
          </w:tcPr>
          <w:p w14:paraId="5212E126"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Inversiones en Fideicomisos, Mandatos y Otros Análogos </w:t>
            </w:r>
          </w:p>
        </w:tc>
        <w:tc>
          <w:tcPr>
            <w:tcW w:w="1798" w:type="dxa"/>
            <w:tcBorders>
              <w:top w:val="nil"/>
              <w:left w:val="nil"/>
              <w:bottom w:val="single" w:sz="8" w:space="0" w:color="auto"/>
              <w:right w:val="single" w:sz="8" w:space="0" w:color="auto"/>
            </w:tcBorders>
            <w:shd w:val="clear" w:color="auto" w:fill="auto"/>
            <w:vAlign w:val="center"/>
            <w:hideMark/>
          </w:tcPr>
          <w:p w14:paraId="39545D06"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75CFE233" w14:textId="77777777" w:rsidTr="00946B18">
        <w:trPr>
          <w:trHeight w:val="273"/>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98EE9B0"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2.18</w:t>
            </w:r>
          </w:p>
        </w:tc>
        <w:tc>
          <w:tcPr>
            <w:tcW w:w="6859" w:type="dxa"/>
            <w:tcBorders>
              <w:top w:val="nil"/>
              <w:left w:val="nil"/>
              <w:bottom w:val="single" w:sz="8" w:space="0" w:color="auto"/>
              <w:right w:val="single" w:sz="8" w:space="0" w:color="auto"/>
            </w:tcBorders>
            <w:shd w:val="clear" w:color="auto" w:fill="auto"/>
            <w:vAlign w:val="center"/>
            <w:hideMark/>
          </w:tcPr>
          <w:p w14:paraId="6AA7C60C"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Provisiones para Contingencias y Otras Erogaciones Especiales </w:t>
            </w:r>
          </w:p>
        </w:tc>
        <w:tc>
          <w:tcPr>
            <w:tcW w:w="1798" w:type="dxa"/>
            <w:tcBorders>
              <w:top w:val="nil"/>
              <w:left w:val="nil"/>
              <w:bottom w:val="single" w:sz="8" w:space="0" w:color="auto"/>
              <w:right w:val="single" w:sz="8" w:space="0" w:color="auto"/>
            </w:tcBorders>
            <w:shd w:val="clear" w:color="auto" w:fill="auto"/>
            <w:vAlign w:val="center"/>
            <w:hideMark/>
          </w:tcPr>
          <w:p w14:paraId="4165B4A5"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00699A7E" w14:textId="77777777" w:rsidTr="00946B18">
        <w:trPr>
          <w:trHeight w:val="108"/>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325AA93"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2.19</w:t>
            </w:r>
          </w:p>
        </w:tc>
        <w:tc>
          <w:tcPr>
            <w:tcW w:w="6859" w:type="dxa"/>
            <w:tcBorders>
              <w:top w:val="nil"/>
              <w:left w:val="nil"/>
              <w:bottom w:val="single" w:sz="8" w:space="0" w:color="auto"/>
              <w:right w:val="single" w:sz="8" w:space="0" w:color="auto"/>
            </w:tcBorders>
            <w:shd w:val="clear" w:color="auto" w:fill="auto"/>
            <w:vAlign w:val="center"/>
            <w:hideMark/>
          </w:tcPr>
          <w:p w14:paraId="170DA08C"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Amortización de la Deuda Pública </w:t>
            </w:r>
          </w:p>
        </w:tc>
        <w:tc>
          <w:tcPr>
            <w:tcW w:w="1798" w:type="dxa"/>
            <w:tcBorders>
              <w:top w:val="nil"/>
              <w:left w:val="nil"/>
              <w:bottom w:val="single" w:sz="8" w:space="0" w:color="auto"/>
              <w:right w:val="single" w:sz="8" w:space="0" w:color="auto"/>
            </w:tcBorders>
            <w:shd w:val="clear" w:color="auto" w:fill="auto"/>
            <w:vAlign w:val="center"/>
            <w:hideMark/>
          </w:tcPr>
          <w:p w14:paraId="00D4D7DB" w14:textId="2CAB2EC0"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5,640,321,679 </w:t>
            </w:r>
          </w:p>
        </w:tc>
      </w:tr>
      <w:tr w:rsidR="00A56C97" w:rsidRPr="000C42E6" w14:paraId="054A04AF" w14:textId="77777777" w:rsidTr="00946B18">
        <w:trPr>
          <w:trHeight w:val="281"/>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E589483"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w:t>
            </w:r>
          </w:p>
        </w:tc>
        <w:tc>
          <w:tcPr>
            <w:tcW w:w="6859" w:type="dxa"/>
            <w:tcBorders>
              <w:top w:val="nil"/>
              <w:left w:val="nil"/>
              <w:bottom w:val="single" w:sz="8" w:space="0" w:color="auto"/>
              <w:right w:val="single" w:sz="8" w:space="0" w:color="auto"/>
            </w:tcBorders>
            <w:shd w:val="clear" w:color="auto" w:fill="auto"/>
            <w:vAlign w:val="center"/>
            <w:hideMark/>
          </w:tcPr>
          <w:p w14:paraId="57464888"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Adeudos de Ejercicios Fiscales Anteriores (ADEFAS) </w:t>
            </w:r>
          </w:p>
        </w:tc>
        <w:tc>
          <w:tcPr>
            <w:tcW w:w="1798" w:type="dxa"/>
            <w:tcBorders>
              <w:top w:val="nil"/>
              <w:left w:val="nil"/>
              <w:bottom w:val="single" w:sz="8" w:space="0" w:color="auto"/>
              <w:right w:val="single" w:sz="8" w:space="0" w:color="auto"/>
            </w:tcBorders>
            <w:shd w:val="clear" w:color="auto" w:fill="auto"/>
            <w:vAlign w:val="center"/>
            <w:hideMark/>
          </w:tcPr>
          <w:p w14:paraId="3E595CCD"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5C76A060"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3A269BF"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2.21</w:t>
            </w:r>
          </w:p>
        </w:tc>
        <w:tc>
          <w:tcPr>
            <w:tcW w:w="6859" w:type="dxa"/>
            <w:tcBorders>
              <w:top w:val="nil"/>
              <w:left w:val="nil"/>
              <w:bottom w:val="single" w:sz="8" w:space="0" w:color="auto"/>
              <w:right w:val="single" w:sz="8" w:space="0" w:color="auto"/>
            </w:tcBorders>
            <w:shd w:val="clear" w:color="auto" w:fill="auto"/>
            <w:vAlign w:val="center"/>
            <w:hideMark/>
          </w:tcPr>
          <w:p w14:paraId="08BF7265"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Otros Egresos Presupuestarios No Contables </w:t>
            </w:r>
          </w:p>
        </w:tc>
        <w:tc>
          <w:tcPr>
            <w:tcW w:w="1798" w:type="dxa"/>
            <w:tcBorders>
              <w:top w:val="nil"/>
              <w:left w:val="nil"/>
              <w:bottom w:val="single" w:sz="8" w:space="0" w:color="auto"/>
              <w:right w:val="single" w:sz="8" w:space="0" w:color="auto"/>
            </w:tcBorders>
            <w:shd w:val="clear" w:color="auto" w:fill="auto"/>
            <w:vAlign w:val="center"/>
            <w:hideMark/>
          </w:tcPr>
          <w:p w14:paraId="33945466"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0C21AB31" w14:textId="77777777" w:rsidTr="00946B18">
        <w:trPr>
          <w:trHeight w:val="75"/>
          <w:jc w:val="center"/>
        </w:trPr>
        <w:tc>
          <w:tcPr>
            <w:tcW w:w="949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DF35C1D"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r>
      <w:tr w:rsidR="00A56C97" w:rsidRPr="000C42E6" w14:paraId="13A9E627" w14:textId="77777777" w:rsidTr="00946B18">
        <w:trPr>
          <w:trHeight w:val="285"/>
          <w:jc w:val="center"/>
        </w:trPr>
        <w:tc>
          <w:tcPr>
            <w:tcW w:w="7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B12470" w14:textId="77777777" w:rsidR="00A56C97" w:rsidRPr="000C42E6" w:rsidRDefault="00A56C97" w:rsidP="00A56C97">
            <w:pPr>
              <w:spacing w:after="0" w:line="240" w:lineRule="auto"/>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3. Más Gastos Contables No Presupuestarios </w:t>
            </w:r>
          </w:p>
        </w:tc>
        <w:tc>
          <w:tcPr>
            <w:tcW w:w="1798" w:type="dxa"/>
            <w:tcBorders>
              <w:top w:val="nil"/>
              <w:left w:val="nil"/>
              <w:bottom w:val="single" w:sz="8" w:space="0" w:color="auto"/>
              <w:right w:val="single" w:sz="8" w:space="0" w:color="auto"/>
            </w:tcBorders>
            <w:shd w:val="clear" w:color="auto" w:fill="auto"/>
            <w:vAlign w:val="center"/>
            <w:hideMark/>
          </w:tcPr>
          <w:p w14:paraId="60CF818D" w14:textId="442ED674" w:rsidR="00A56C97" w:rsidRPr="000C42E6" w:rsidRDefault="00A56C97" w:rsidP="00A56C97">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2,434,938,739 </w:t>
            </w:r>
          </w:p>
        </w:tc>
      </w:tr>
      <w:tr w:rsidR="00A56C97" w:rsidRPr="000C42E6" w14:paraId="608E7B61" w14:textId="77777777" w:rsidTr="00946B18">
        <w:trPr>
          <w:trHeight w:val="54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7EF2E2C"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3.1</w:t>
            </w:r>
          </w:p>
        </w:tc>
        <w:tc>
          <w:tcPr>
            <w:tcW w:w="6859" w:type="dxa"/>
            <w:tcBorders>
              <w:top w:val="nil"/>
              <w:left w:val="nil"/>
              <w:bottom w:val="single" w:sz="8" w:space="0" w:color="auto"/>
              <w:right w:val="single" w:sz="8" w:space="0" w:color="auto"/>
            </w:tcBorders>
            <w:shd w:val="clear" w:color="auto" w:fill="auto"/>
            <w:vAlign w:val="center"/>
            <w:hideMark/>
          </w:tcPr>
          <w:p w14:paraId="2DCB3D2E"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Estimaciones, Depreciaciones, Deterioros, Obsolescencia y Amortizaciones </w:t>
            </w:r>
          </w:p>
        </w:tc>
        <w:tc>
          <w:tcPr>
            <w:tcW w:w="1798" w:type="dxa"/>
            <w:tcBorders>
              <w:top w:val="nil"/>
              <w:left w:val="nil"/>
              <w:bottom w:val="single" w:sz="8" w:space="0" w:color="auto"/>
              <w:right w:val="single" w:sz="8" w:space="0" w:color="auto"/>
            </w:tcBorders>
            <w:shd w:val="clear" w:color="auto" w:fill="auto"/>
            <w:vAlign w:val="center"/>
            <w:hideMark/>
          </w:tcPr>
          <w:p w14:paraId="68F6D677" w14:textId="53E5F8A1"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411,001,315 </w:t>
            </w:r>
          </w:p>
        </w:tc>
      </w:tr>
      <w:tr w:rsidR="00A56C97" w:rsidRPr="000C42E6" w14:paraId="0FBE47E0"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5202482"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3.2</w:t>
            </w:r>
          </w:p>
        </w:tc>
        <w:tc>
          <w:tcPr>
            <w:tcW w:w="6859" w:type="dxa"/>
            <w:tcBorders>
              <w:top w:val="nil"/>
              <w:left w:val="nil"/>
              <w:bottom w:val="single" w:sz="8" w:space="0" w:color="auto"/>
              <w:right w:val="single" w:sz="8" w:space="0" w:color="auto"/>
            </w:tcBorders>
            <w:shd w:val="clear" w:color="auto" w:fill="auto"/>
            <w:vAlign w:val="center"/>
            <w:hideMark/>
          </w:tcPr>
          <w:p w14:paraId="4D257B1F"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Provisiones </w:t>
            </w:r>
          </w:p>
        </w:tc>
        <w:tc>
          <w:tcPr>
            <w:tcW w:w="1798" w:type="dxa"/>
            <w:tcBorders>
              <w:top w:val="nil"/>
              <w:left w:val="nil"/>
              <w:bottom w:val="single" w:sz="8" w:space="0" w:color="auto"/>
              <w:right w:val="single" w:sz="8" w:space="0" w:color="auto"/>
            </w:tcBorders>
            <w:shd w:val="clear" w:color="auto" w:fill="auto"/>
            <w:vAlign w:val="center"/>
            <w:hideMark/>
          </w:tcPr>
          <w:p w14:paraId="31F143AE"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1A360022"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1D811CD"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lastRenderedPageBreak/>
              <w:t>3.3</w:t>
            </w:r>
          </w:p>
        </w:tc>
        <w:tc>
          <w:tcPr>
            <w:tcW w:w="6859" w:type="dxa"/>
            <w:tcBorders>
              <w:top w:val="nil"/>
              <w:left w:val="nil"/>
              <w:bottom w:val="single" w:sz="8" w:space="0" w:color="auto"/>
              <w:right w:val="single" w:sz="8" w:space="0" w:color="auto"/>
            </w:tcBorders>
            <w:shd w:val="clear" w:color="auto" w:fill="auto"/>
            <w:vAlign w:val="center"/>
            <w:hideMark/>
          </w:tcPr>
          <w:p w14:paraId="292FAC82"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Disminución de Inventarios </w:t>
            </w:r>
          </w:p>
        </w:tc>
        <w:tc>
          <w:tcPr>
            <w:tcW w:w="1798" w:type="dxa"/>
            <w:tcBorders>
              <w:top w:val="nil"/>
              <w:left w:val="nil"/>
              <w:bottom w:val="single" w:sz="8" w:space="0" w:color="auto"/>
              <w:right w:val="single" w:sz="8" w:space="0" w:color="auto"/>
            </w:tcBorders>
            <w:shd w:val="clear" w:color="auto" w:fill="auto"/>
            <w:vAlign w:val="center"/>
            <w:hideMark/>
          </w:tcPr>
          <w:p w14:paraId="24F9B232"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74255049"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4AFD545"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3.4</w:t>
            </w:r>
          </w:p>
        </w:tc>
        <w:tc>
          <w:tcPr>
            <w:tcW w:w="6859" w:type="dxa"/>
            <w:tcBorders>
              <w:top w:val="nil"/>
              <w:left w:val="nil"/>
              <w:bottom w:val="single" w:sz="8" w:space="0" w:color="auto"/>
              <w:right w:val="single" w:sz="8" w:space="0" w:color="auto"/>
            </w:tcBorders>
            <w:shd w:val="clear" w:color="auto" w:fill="auto"/>
            <w:vAlign w:val="center"/>
            <w:hideMark/>
          </w:tcPr>
          <w:p w14:paraId="08958565"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Otros Gastos </w:t>
            </w:r>
          </w:p>
        </w:tc>
        <w:tc>
          <w:tcPr>
            <w:tcW w:w="1798" w:type="dxa"/>
            <w:tcBorders>
              <w:top w:val="nil"/>
              <w:left w:val="nil"/>
              <w:bottom w:val="single" w:sz="8" w:space="0" w:color="auto"/>
              <w:right w:val="single" w:sz="8" w:space="0" w:color="auto"/>
            </w:tcBorders>
            <w:shd w:val="clear" w:color="auto" w:fill="auto"/>
            <w:vAlign w:val="center"/>
            <w:hideMark/>
          </w:tcPr>
          <w:p w14:paraId="6B2B388C" w14:textId="77777777"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A56C97" w:rsidRPr="000C42E6" w14:paraId="60D8788D"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686036B"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3.5</w:t>
            </w:r>
          </w:p>
        </w:tc>
        <w:tc>
          <w:tcPr>
            <w:tcW w:w="6859" w:type="dxa"/>
            <w:tcBorders>
              <w:top w:val="nil"/>
              <w:left w:val="nil"/>
              <w:bottom w:val="single" w:sz="8" w:space="0" w:color="auto"/>
              <w:right w:val="single" w:sz="8" w:space="0" w:color="auto"/>
            </w:tcBorders>
            <w:shd w:val="clear" w:color="auto" w:fill="auto"/>
            <w:vAlign w:val="center"/>
            <w:hideMark/>
          </w:tcPr>
          <w:p w14:paraId="6E3E064C"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Inversión Pública no Capitalizable </w:t>
            </w:r>
          </w:p>
        </w:tc>
        <w:tc>
          <w:tcPr>
            <w:tcW w:w="1798" w:type="dxa"/>
            <w:tcBorders>
              <w:top w:val="nil"/>
              <w:left w:val="nil"/>
              <w:bottom w:val="single" w:sz="8" w:space="0" w:color="auto"/>
              <w:right w:val="single" w:sz="8" w:space="0" w:color="auto"/>
            </w:tcBorders>
            <w:shd w:val="clear" w:color="auto" w:fill="auto"/>
            <w:vAlign w:val="center"/>
            <w:hideMark/>
          </w:tcPr>
          <w:p w14:paraId="5C847710" w14:textId="3880262F"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1,214,395,751 </w:t>
            </w:r>
          </w:p>
        </w:tc>
      </w:tr>
      <w:tr w:rsidR="00A56C97" w:rsidRPr="000C42E6" w14:paraId="6134F393" w14:textId="77777777" w:rsidTr="00946B18">
        <w:trPr>
          <w:trHeight w:val="282"/>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B95ADF5"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3.6</w:t>
            </w:r>
          </w:p>
        </w:tc>
        <w:tc>
          <w:tcPr>
            <w:tcW w:w="6859" w:type="dxa"/>
            <w:tcBorders>
              <w:top w:val="nil"/>
              <w:left w:val="nil"/>
              <w:bottom w:val="nil"/>
              <w:right w:val="nil"/>
            </w:tcBorders>
            <w:shd w:val="clear" w:color="auto" w:fill="auto"/>
            <w:noWrap/>
            <w:vAlign w:val="center"/>
            <w:hideMark/>
          </w:tcPr>
          <w:p w14:paraId="683F900E"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Materiales y Suministros (consumos)</w:t>
            </w:r>
          </w:p>
        </w:tc>
        <w:tc>
          <w:tcPr>
            <w:tcW w:w="1798" w:type="dxa"/>
            <w:tcBorders>
              <w:top w:val="nil"/>
              <w:left w:val="single" w:sz="8" w:space="0" w:color="auto"/>
              <w:bottom w:val="single" w:sz="8" w:space="0" w:color="auto"/>
              <w:right w:val="single" w:sz="8" w:space="0" w:color="auto"/>
            </w:tcBorders>
            <w:shd w:val="clear" w:color="auto" w:fill="auto"/>
            <w:noWrap/>
            <w:vAlign w:val="center"/>
            <w:hideMark/>
          </w:tcPr>
          <w:p w14:paraId="69865342" w14:textId="2745AFEB" w:rsidR="00A56C97" w:rsidRPr="000C42E6" w:rsidRDefault="00A56C97" w:rsidP="00A56C97">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807,269,693 </w:t>
            </w:r>
          </w:p>
        </w:tc>
      </w:tr>
      <w:tr w:rsidR="00A56C97" w:rsidRPr="000C42E6" w14:paraId="78F8F004" w14:textId="77777777" w:rsidTr="00946B18">
        <w:trPr>
          <w:trHeight w:val="282"/>
          <w:jc w:val="center"/>
        </w:trPr>
        <w:tc>
          <w:tcPr>
            <w:tcW w:w="841" w:type="dxa"/>
            <w:tcBorders>
              <w:top w:val="nil"/>
              <w:left w:val="single" w:sz="8" w:space="0" w:color="auto"/>
              <w:bottom w:val="nil"/>
              <w:right w:val="single" w:sz="8" w:space="0" w:color="auto"/>
            </w:tcBorders>
            <w:shd w:val="clear" w:color="auto" w:fill="auto"/>
            <w:vAlign w:val="center"/>
            <w:hideMark/>
          </w:tcPr>
          <w:p w14:paraId="47713E1F"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3.7</w:t>
            </w:r>
          </w:p>
        </w:tc>
        <w:tc>
          <w:tcPr>
            <w:tcW w:w="6859" w:type="dxa"/>
            <w:tcBorders>
              <w:top w:val="single" w:sz="8" w:space="0" w:color="auto"/>
              <w:left w:val="nil"/>
              <w:bottom w:val="nil"/>
              <w:right w:val="single" w:sz="8" w:space="0" w:color="auto"/>
            </w:tcBorders>
            <w:shd w:val="clear" w:color="auto" w:fill="auto"/>
            <w:vAlign w:val="center"/>
            <w:hideMark/>
          </w:tcPr>
          <w:p w14:paraId="5E68FE6E" w14:textId="77777777" w:rsidR="00A56C97" w:rsidRPr="000C42E6" w:rsidRDefault="00A56C97" w:rsidP="00A56C97">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Otros Gastos Contables No Presupuestarios </w:t>
            </w:r>
          </w:p>
        </w:tc>
        <w:tc>
          <w:tcPr>
            <w:tcW w:w="1798" w:type="dxa"/>
            <w:tcBorders>
              <w:top w:val="nil"/>
              <w:left w:val="nil"/>
              <w:bottom w:val="nil"/>
              <w:right w:val="single" w:sz="8" w:space="0" w:color="auto"/>
            </w:tcBorders>
            <w:shd w:val="clear" w:color="auto" w:fill="auto"/>
            <w:noWrap/>
            <w:vAlign w:val="center"/>
            <w:hideMark/>
          </w:tcPr>
          <w:p w14:paraId="7CF5B3A0" w14:textId="743A3CF9" w:rsidR="00A56C97" w:rsidRPr="000C42E6" w:rsidRDefault="00A56C97" w:rsidP="00F7006F">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xml:space="preserve">             2,271,980 </w:t>
            </w:r>
          </w:p>
        </w:tc>
      </w:tr>
      <w:tr w:rsidR="00A56C97" w:rsidRPr="000C42E6" w14:paraId="47740F29" w14:textId="77777777" w:rsidTr="00946B18">
        <w:trPr>
          <w:trHeight w:val="75"/>
          <w:jc w:val="center"/>
        </w:trPr>
        <w:tc>
          <w:tcPr>
            <w:tcW w:w="949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1CC311" w14:textId="77777777" w:rsidR="00A56C97" w:rsidRPr="000C42E6" w:rsidRDefault="00A56C97" w:rsidP="00A56C97">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 </w:t>
            </w:r>
          </w:p>
        </w:tc>
      </w:tr>
      <w:tr w:rsidR="00A56C97" w:rsidRPr="000C42E6" w14:paraId="24B19CCD" w14:textId="77777777" w:rsidTr="00946B18">
        <w:trPr>
          <w:trHeight w:val="225"/>
          <w:jc w:val="center"/>
        </w:trPr>
        <w:tc>
          <w:tcPr>
            <w:tcW w:w="77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4A766346" w14:textId="77777777" w:rsidR="00A56C97" w:rsidRPr="000C42E6" w:rsidRDefault="00A56C97" w:rsidP="00A56C97">
            <w:pPr>
              <w:spacing w:after="0" w:line="240" w:lineRule="auto"/>
              <w:jc w:val="both"/>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4. Total de Gastos Contables </w:t>
            </w:r>
          </w:p>
        </w:tc>
        <w:tc>
          <w:tcPr>
            <w:tcW w:w="1798" w:type="dxa"/>
            <w:tcBorders>
              <w:top w:val="nil"/>
              <w:left w:val="nil"/>
              <w:bottom w:val="single" w:sz="8" w:space="0" w:color="auto"/>
              <w:right w:val="single" w:sz="8" w:space="0" w:color="auto"/>
            </w:tcBorders>
            <w:shd w:val="clear" w:color="000000" w:fill="BFBFBF"/>
            <w:vAlign w:val="center"/>
            <w:hideMark/>
          </w:tcPr>
          <w:p w14:paraId="3ACB4F65" w14:textId="7942020E" w:rsidR="00A56C97" w:rsidRPr="000C42E6" w:rsidRDefault="00A56C97" w:rsidP="00A56C97">
            <w:pPr>
              <w:spacing w:after="0" w:line="240" w:lineRule="auto"/>
              <w:jc w:val="right"/>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69,989,287,814 </w:t>
            </w:r>
          </w:p>
        </w:tc>
      </w:tr>
    </w:tbl>
    <w:p w14:paraId="1527F274" w14:textId="77777777" w:rsidR="0064719B" w:rsidRPr="000C42E6" w:rsidRDefault="0064719B" w:rsidP="00CB7883">
      <w:pPr>
        <w:spacing w:before="240" w:after="0" w:line="240" w:lineRule="auto"/>
        <w:jc w:val="both"/>
        <w:rPr>
          <w:rFonts w:ascii="Arial" w:eastAsia="Calibri" w:hAnsi="Arial" w:cs="Arial"/>
          <w:sz w:val="20"/>
          <w:szCs w:val="20"/>
        </w:rPr>
      </w:pPr>
    </w:p>
    <w:p w14:paraId="0CBA2222" w14:textId="389C7C62" w:rsidR="00590EF1" w:rsidRDefault="00590EF1" w:rsidP="00590EF1">
      <w:pPr>
        <w:spacing w:after="0" w:line="240" w:lineRule="auto"/>
        <w:jc w:val="both"/>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Otros Gastos contables No Presupuestarios (3.7) por $2</w:t>
      </w:r>
      <w:proofErr w:type="gramStart"/>
      <w:r w:rsidRPr="000C42E6">
        <w:rPr>
          <w:rFonts w:ascii="Arial" w:eastAsia="Times New Roman" w:hAnsi="Arial" w:cs="Arial"/>
          <w:color w:val="000000"/>
          <w:sz w:val="20"/>
          <w:szCs w:val="20"/>
          <w:lang w:eastAsia="es-MX"/>
        </w:rPr>
        <w:t>,271,980</w:t>
      </w:r>
      <w:proofErr w:type="gramEnd"/>
      <w:r w:rsidRPr="000C42E6">
        <w:rPr>
          <w:rFonts w:ascii="Arial" w:eastAsia="Times New Roman" w:hAnsi="Arial" w:cs="Arial"/>
          <w:color w:val="000000"/>
          <w:sz w:val="20"/>
          <w:szCs w:val="20"/>
          <w:lang w:eastAsia="es-MX"/>
        </w:rPr>
        <w:t xml:space="preserve"> se integra por $728,973 donación de bienes de </w:t>
      </w:r>
      <w:proofErr w:type="spellStart"/>
      <w:r w:rsidRPr="000C42E6">
        <w:rPr>
          <w:rFonts w:ascii="Arial" w:eastAsia="Times New Roman" w:hAnsi="Arial" w:cs="Arial"/>
          <w:color w:val="000000"/>
          <w:sz w:val="20"/>
          <w:szCs w:val="20"/>
          <w:lang w:eastAsia="es-MX"/>
        </w:rPr>
        <w:t>SSyPC</w:t>
      </w:r>
      <w:proofErr w:type="spellEnd"/>
      <w:r w:rsidRPr="000C42E6">
        <w:rPr>
          <w:rFonts w:ascii="Arial" w:eastAsia="Times New Roman" w:hAnsi="Arial" w:cs="Arial"/>
          <w:color w:val="000000"/>
          <w:sz w:val="20"/>
          <w:szCs w:val="20"/>
          <w:lang w:eastAsia="es-MX"/>
        </w:rPr>
        <w:t xml:space="preserve"> a Protecc</w:t>
      </w:r>
      <w:r w:rsidR="00BC09B0">
        <w:rPr>
          <w:rFonts w:ascii="Arial" w:eastAsia="Times New Roman" w:hAnsi="Arial" w:cs="Arial"/>
          <w:color w:val="000000"/>
          <w:sz w:val="20"/>
          <w:szCs w:val="20"/>
          <w:lang w:eastAsia="es-MX"/>
        </w:rPr>
        <w:t xml:space="preserve">ión </w:t>
      </w:r>
      <w:r w:rsidRPr="000C42E6">
        <w:rPr>
          <w:rFonts w:ascii="Arial" w:eastAsia="Times New Roman" w:hAnsi="Arial" w:cs="Arial"/>
          <w:color w:val="000000"/>
          <w:sz w:val="20"/>
          <w:szCs w:val="20"/>
          <w:lang w:eastAsia="es-MX"/>
        </w:rPr>
        <w:t>.Civil , ayudas sociales a Fideicomisos de victimas por $ 547,418 más otros servicios bancarios y financieros de Fideicomisos (</w:t>
      </w:r>
      <w:r w:rsidR="00B32A48" w:rsidRPr="000C42E6">
        <w:rPr>
          <w:rFonts w:ascii="Arial" w:eastAsia="Times New Roman" w:hAnsi="Arial" w:cs="Arial"/>
          <w:color w:val="000000"/>
          <w:sz w:val="20"/>
          <w:szCs w:val="20"/>
          <w:lang w:eastAsia="es-MX"/>
        </w:rPr>
        <w:t xml:space="preserve">Fideicomiso de Ayuda a Víctimas, </w:t>
      </w:r>
      <w:r w:rsidRPr="000C42E6">
        <w:rPr>
          <w:rFonts w:ascii="Arial" w:eastAsia="Times New Roman" w:hAnsi="Arial" w:cs="Arial"/>
          <w:color w:val="000000"/>
          <w:sz w:val="20"/>
          <w:szCs w:val="20"/>
          <w:lang w:eastAsia="es-MX"/>
        </w:rPr>
        <w:t>FOCOTAB, ISSET y FOAPES) por $995,589</w:t>
      </w:r>
    </w:p>
    <w:p w14:paraId="5D912DAD" w14:textId="77777777" w:rsidR="00151AEB" w:rsidRPr="000C42E6" w:rsidRDefault="00151AEB" w:rsidP="00590EF1">
      <w:pPr>
        <w:spacing w:after="0" w:line="240" w:lineRule="auto"/>
        <w:jc w:val="both"/>
        <w:rPr>
          <w:rFonts w:ascii="Arial" w:eastAsia="Times New Roman" w:hAnsi="Arial" w:cs="Arial"/>
          <w:color w:val="000000"/>
          <w:sz w:val="20"/>
          <w:szCs w:val="20"/>
          <w:lang w:eastAsia="es-MX"/>
        </w:rPr>
      </w:pPr>
    </w:p>
    <w:p w14:paraId="648529BE" w14:textId="77777777" w:rsidR="00CB7883" w:rsidRPr="000C42E6" w:rsidRDefault="00CB7883" w:rsidP="00CB7883">
      <w:pPr>
        <w:spacing w:after="240" w:line="216" w:lineRule="exact"/>
        <w:ind w:firstLine="289"/>
        <w:jc w:val="center"/>
        <w:rPr>
          <w:rFonts w:ascii="Arial" w:eastAsia="Times New Roman" w:hAnsi="Arial" w:cs="Arial"/>
          <w:b/>
          <w:sz w:val="20"/>
          <w:szCs w:val="20"/>
          <w:lang w:eastAsia="es-ES"/>
        </w:rPr>
      </w:pPr>
      <w:r w:rsidRPr="000C42E6">
        <w:rPr>
          <w:rFonts w:ascii="Arial" w:eastAsia="Times New Roman" w:hAnsi="Arial" w:cs="Arial"/>
          <w:b/>
          <w:sz w:val="20"/>
          <w:szCs w:val="20"/>
          <w:lang w:eastAsia="es-ES"/>
        </w:rPr>
        <w:t>c)  NOTAS DE MEMORIA (CUENTAS DE ORDEN)</w:t>
      </w:r>
    </w:p>
    <w:p w14:paraId="639F5921" w14:textId="77777777" w:rsidR="00CB7883" w:rsidRPr="000C42E6" w:rsidRDefault="00CB7883" w:rsidP="004A4482">
      <w:pPr>
        <w:spacing w:after="101" w:line="224" w:lineRule="exact"/>
        <w:jc w:val="both"/>
        <w:rPr>
          <w:rFonts w:ascii="Arial" w:eastAsia="Times New Roman" w:hAnsi="Arial" w:cs="Arial"/>
          <w:sz w:val="20"/>
          <w:szCs w:val="20"/>
          <w:lang w:eastAsia="es-ES"/>
        </w:rPr>
      </w:pPr>
      <w:r w:rsidRPr="000C42E6">
        <w:rPr>
          <w:rFonts w:ascii="Arial" w:eastAsia="Times New Roman" w:hAnsi="Arial" w:cs="Arial"/>
          <w:sz w:val="20"/>
          <w:szCs w:val="20"/>
          <w:lang w:eastAsia="es-ES"/>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732B3189" w14:textId="77777777" w:rsidR="007E09FB" w:rsidRPr="000C42E6" w:rsidRDefault="007E09FB" w:rsidP="004A4482">
      <w:pPr>
        <w:spacing w:after="101" w:line="224" w:lineRule="exact"/>
        <w:jc w:val="both"/>
        <w:rPr>
          <w:rFonts w:ascii="Arial" w:eastAsia="Times New Roman" w:hAnsi="Arial" w:cs="Arial"/>
          <w:sz w:val="20"/>
          <w:szCs w:val="20"/>
          <w:lang w:eastAsia="es-ES"/>
        </w:rPr>
      </w:pPr>
    </w:p>
    <w:p w14:paraId="5B1839D9" w14:textId="77777777" w:rsidR="00CB7883" w:rsidRPr="000C42E6" w:rsidRDefault="00CB7883" w:rsidP="00D22965">
      <w:pPr>
        <w:spacing w:after="240" w:line="224" w:lineRule="exact"/>
        <w:ind w:firstLine="289"/>
        <w:jc w:val="center"/>
        <w:rPr>
          <w:rFonts w:ascii="Arial" w:eastAsia="Times New Roman" w:hAnsi="Arial" w:cs="Arial"/>
          <w:sz w:val="20"/>
          <w:szCs w:val="20"/>
          <w:lang w:eastAsia="es-ES"/>
        </w:rPr>
      </w:pPr>
      <w:r w:rsidRPr="000C42E6">
        <w:rPr>
          <w:rFonts w:ascii="Arial" w:eastAsia="Times New Roman" w:hAnsi="Arial" w:cs="Arial"/>
          <w:sz w:val="20"/>
          <w:szCs w:val="20"/>
          <w:lang w:eastAsia="es-ES"/>
        </w:rPr>
        <w:t>Las cuentas que se manejan para efectos de estas Notas son las siguientes:</w:t>
      </w:r>
    </w:p>
    <w:p w14:paraId="4B701505" w14:textId="77777777" w:rsidR="00CB7883" w:rsidRPr="000C42E6" w:rsidRDefault="00CB7883" w:rsidP="00CB7883">
      <w:pPr>
        <w:spacing w:after="200" w:line="240" w:lineRule="auto"/>
        <w:ind w:left="114"/>
        <w:jc w:val="both"/>
        <w:rPr>
          <w:rFonts w:ascii="Arial" w:eastAsia="DIN Next LT Pro Condensed" w:hAnsi="Arial" w:cs="Arial"/>
          <w:w w:val="102"/>
          <w:position w:val="1"/>
          <w:sz w:val="20"/>
          <w:szCs w:val="20"/>
        </w:rPr>
      </w:pPr>
      <w:r w:rsidRPr="000C42E6">
        <w:rPr>
          <w:rFonts w:ascii="Arial" w:eastAsia="Times New Roman" w:hAnsi="Arial" w:cs="Arial"/>
          <w:sz w:val="20"/>
          <w:szCs w:val="20"/>
          <w:lang w:eastAsia="es-ES"/>
        </w:rPr>
        <w:t xml:space="preserve">           </w:t>
      </w:r>
      <w:r w:rsidRPr="000C42E6">
        <w:rPr>
          <w:rFonts w:ascii="Arial" w:eastAsia="DIN Next LT Pro Condensed" w:hAnsi="Arial" w:cs="Arial"/>
          <w:position w:val="1"/>
          <w:sz w:val="20"/>
          <w:szCs w:val="20"/>
        </w:rPr>
        <w:t>Las</w:t>
      </w:r>
      <w:r w:rsidRPr="000C42E6">
        <w:rPr>
          <w:rFonts w:ascii="Arial" w:eastAsia="DIN Next LT Pro Condensed" w:hAnsi="Arial" w:cs="Arial"/>
          <w:spacing w:val="5"/>
          <w:position w:val="1"/>
          <w:sz w:val="20"/>
          <w:szCs w:val="20"/>
        </w:rPr>
        <w:t xml:space="preserve"> </w:t>
      </w:r>
      <w:r w:rsidRPr="000C42E6">
        <w:rPr>
          <w:rFonts w:ascii="Arial" w:eastAsia="DIN Next LT Pro Condensed" w:hAnsi="Arial" w:cs="Arial"/>
          <w:position w:val="1"/>
          <w:sz w:val="20"/>
          <w:szCs w:val="20"/>
        </w:rPr>
        <w:t>Cuentas</w:t>
      </w:r>
      <w:r w:rsidRPr="000C42E6">
        <w:rPr>
          <w:rFonts w:ascii="Arial" w:eastAsia="DIN Next LT Pro Condensed" w:hAnsi="Arial" w:cs="Arial"/>
          <w:spacing w:val="11"/>
          <w:position w:val="1"/>
          <w:sz w:val="20"/>
          <w:szCs w:val="20"/>
        </w:rPr>
        <w:t xml:space="preserve"> </w:t>
      </w:r>
      <w:r w:rsidRPr="000C42E6">
        <w:rPr>
          <w:rFonts w:ascii="Arial" w:eastAsia="DIN Next LT Pro Condensed" w:hAnsi="Arial" w:cs="Arial"/>
          <w:position w:val="1"/>
          <w:sz w:val="20"/>
          <w:szCs w:val="20"/>
        </w:rPr>
        <w:t>de</w:t>
      </w:r>
      <w:r w:rsidRPr="000C42E6">
        <w:rPr>
          <w:rFonts w:ascii="Arial" w:eastAsia="DIN Next LT Pro Condensed" w:hAnsi="Arial" w:cs="Arial"/>
          <w:spacing w:val="4"/>
          <w:position w:val="1"/>
          <w:sz w:val="20"/>
          <w:szCs w:val="20"/>
        </w:rPr>
        <w:t xml:space="preserve"> </w:t>
      </w:r>
      <w:r w:rsidRPr="000C42E6">
        <w:rPr>
          <w:rFonts w:ascii="Arial" w:eastAsia="DIN Next LT Pro Condensed" w:hAnsi="Arial" w:cs="Arial"/>
          <w:position w:val="1"/>
          <w:sz w:val="20"/>
          <w:szCs w:val="20"/>
        </w:rPr>
        <w:t>Orden</w:t>
      </w:r>
      <w:r w:rsidRPr="000C42E6">
        <w:rPr>
          <w:rFonts w:ascii="Arial" w:eastAsia="DIN Next LT Pro Condensed" w:hAnsi="Arial" w:cs="Arial"/>
          <w:spacing w:val="9"/>
          <w:position w:val="1"/>
          <w:sz w:val="20"/>
          <w:szCs w:val="20"/>
        </w:rPr>
        <w:t xml:space="preserve"> Contable</w:t>
      </w:r>
      <w:r w:rsidRPr="000C42E6">
        <w:rPr>
          <w:rFonts w:ascii="Arial" w:eastAsia="DIN Next LT Pro Condensed" w:hAnsi="Arial" w:cs="Arial"/>
          <w:spacing w:val="22"/>
          <w:position w:val="1"/>
          <w:sz w:val="20"/>
          <w:szCs w:val="20"/>
        </w:rPr>
        <w:t xml:space="preserve"> </w:t>
      </w:r>
      <w:r w:rsidRPr="000C42E6">
        <w:rPr>
          <w:rFonts w:ascii="Arial" w:eastAsia="DIN Next LT Pro Condensed" w:hAnsi="Arial" w:cs="Arial"/>
          <w:position w:val="1"/>
          <w:sz w:val="20"/>
          <w:szCs w:val="20"/>
        </w:rPr>
        <w:t>presentan</w:t>
      </w:r>
      <w:r w:rsidRPr="000C42E6">
        <w:rPr>
          <w:rFonts w:ascii="Arial" w:eastAsia="DIN Next LT Pro Condensed" w:hAnsi="Arial" w:cs="Arial"/>
          <w:spacing w:val="14"/>
          <w:position w:val="1"/>
          <w:sz w:val="20"/>
          <w:szCs w:val="20"/>
        </w:rPr>
        <w:t xml:space="preserve"> </w:t>
      </w:r>
      <w:r w:rsidRPr="000C42E6">
        <w:rPr>
          <w:rFonts w:ascii="Arial" w:eastAsia="DIN Next LT Pro Condensed" w:hAnsi="Arial" w:cs="Arial"/>
          <w:position w:val="1"/>
          <w:sz w:val="20"/>
          <w:szCs w:val="20"/>
        </w:rPr>
        <w:t>al</w:t>
      </w:r>
      <w:r w:rsidRPr="000C42E6">
        <w:rPr>
          <w:rFonts w:ascii="Arial" w:eastAsia="DIN Next LT Pro Condensed" w:hAnsi="Arial" w:cs="Arial"/>
          <w:spacing w:val="3"/>
          <w:position w:val="1"/>
          <w:sz w:val="20"/>
          <w:szCs w:val="20"/>
        </w:rPr>
        <w:t xml:space="preserve"> </w:t>
      </w:r>
      <w:r w:rsidR="008B1805" w:rsidRPr="000C42E6">
        <w:rPr>
          <w:rFonts w:ascii="Arial" w:eastAsia="DIN Next LT Pro Condensed" w:hAnsi="Arial" w:cs="Arial"/>
          <w:position w:val="1"/>
          <w:sz w:val="20"/>
          <w:szCs w:val="20"/>
        </w:rPr>
        <w:t xml:space="preserve">31 de diciembre </w:t>
      </w:r>
      <w:r w:rsidR="00690C10" w:rsidRPr="000C42E6">
        <w:rPr>
          <w:rFonts w:ascii="Arial" w:eastAsia="DIN Next LT Pro Condensed" w:hAnsi="Arial" w:cs="Arial"/>
          <w:position w:val="1"/>
          <w:sz w:val="20"/>
          <w:szCs w:val="20"/>
        </w:rPr>
        <w:t xml:space="preserve"> </w:t>
      </w:r>
      <w:r w:rsidR="00495698" w:rsidRPr="000C42E6">
        <w:rPr>
          <w:rFonts w:ascii="Arial" w:eastAsia="DIN Next LT Pro Condensed" w:hAnsi="Arial" w:cs="Arial"/>
          <w:position w:val="1"/>
          <w:sz w:val="20"/>
          <w:szCs w:val="20"/>
        </w:rPr>
        <w:t>de 2025</w:t>
      </w:r>
      <w:r w:rsidRPr="000C42E6">
        <w:rPr>
          <w:rFonts w:ascii="Arial" w:eastAsia="DIN Next LT Pro Condensed" w:hAnsi="Arial" w:cs="Arial"/>
          <w:position w:val="1"/>
          <w:sz w:val="20"/>
          <w:szCs w:val="20"/>
        </w:rPr>
        <w:t xml:space="preserve"> los</w:t>
      </w:r>
      <w:r w:rsidRPr="000C42E6">
        <w:rPr>
          <w:rFonts w:ascii="Arial" w:eastAsia="DIN Next LT Pro Condensed" w:hAnsi="Arial" w:cs="Arial"/>
          <w:spacing w:val="5"/>
          <w:position w:val="1"/>
          <w:sz w:val="20"/>
          <w:szCs w:val="20"/>
        </w:rPr>
        <w:t xml:space="preserve"> </w:t>
      </w:r>
      <w:r w:rsidRPr="000C42E6">
        <w:rPr>
          <w:rFonts w:ascii="Arial" w:eastAsia="DIN Next LT Pro Condensed" w:hAnsi="Arial" w:cs="Arial"/>
          <w:position w:val="1"/>
          <w:sz w:val="20"/>
          <w:szCs w:val="20"/>
        </w:rPr>
        <w:t>siguientes</w:t>
      </w:r>
      <w:r w:rsidRPr="000C42E6">
        <w:rPr>
          <w:rFonts w:ascii="Arial" w:eastAsia="DIN Next LT Pro Condensed" w:hAnsi="Arial" w:cs="Arial"/>
          <w:spacing w:val="15"/>
          <w:position w:val="1"/>
          <w:sz w:val="20"/>
          <w:szCs w:val="20"/>
        </w:rPr>
        <w:t xml:space="preserve"> </w:t>
      </w:r>
      <w:r w:rsidRPr="000C42E6">
        <w:rPr>
          <w:rFonts w:ascii="Arial" w:eastAsia="DIN Next LT Pro Condensed" w:hAnsi="Arial" w:cs="Arial"/>
          <w:w w:val="102"/>
          <w:position w:val="1"/>
          <w:sz w:val="20"/>
          <w:szCs w:val="20"/>
        </w:rPr>
        <w:t>importes:</w:t>
      </w:r>
    </w:p>
    <w:tbl>
      <w:tblPr>
        <w:tblW w:w="9493" w:type="dxa"/>
        <w:jc w:val="center"/>
        <w:tblLayout w:type="fixed"/>
        <w:tblCellMar>
          <w:left w:w="70" w:type="dxa"/>
          <w:right w:w="70" w:type="dxa"/>
        </w:tblCellMar>
        <w:tblLook w:val="04A0" w:firstRow="1" w:lastRow="0" w:firstColumn="1" w:lastColumn="0" w:noHBand="0" w:noVBand="1"/>
      </w:tblPr>
      <w:tblGrid>
        <w:gridCol w:w="704"/>
        <w:gridCol w:w="4825"/>
        <w:gridCol w:w="993"/>
        <w:gridCol w:w="850"/>
        <w:gridCol w:w="992"/>
        <w:gridCol w:w="1129"/>
      </w:tblGrid>
      <w:tr w:rsidR="003E3D60" w:rsidRPr="000C42E6" w14:paraId="2DB2E3D9" w14:textId="77777777" w:rsidTr="00151AEB">
        <w:trPr>
          <w:trHeight w:val="30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759F7835" w14:textId="77777777" w:rsidR="003E3D60" w:rsidRPr="000C42E6" w:rsidRDefault="003E3D60" w:rsidP="003E3D6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Cuenta</w:t>
            </w:r>
          </w:p>
        </w:tc>
        <w:tc>
          <w:tcPr>
            <w:tcW w:w="4825"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1D3783A" w14:textId="77777777" w:rsidR="003E3D60" w:rsidRPr="000C42E6" w:rsidRDefault="003E3D60" w:rsidP="003E3D6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Nombre de la Cuenta</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28B7FCFF" w14:textId="77777777" w:rsidR="003E3D60" w:rsidRPr="000C42E6" w:rsidRDefault="003E3D60" w:rsidP="003E3D6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Débito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357197C2" w14:textId="77777777" w:rsidR="003E3D60" w:rsidRPr="000C42E6" w:rsidRDefault="003E3D60" w:rsidP="003E3D6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Crédito </w:t>
            </w:r>
          </w:p>
        </w:tc>
        <w:tc>
          <w:tcPr>
            <w:tcW w:w="2121" w:type="dxa"/>
            <w:gridSpan w:val="2"/>
            <w:tcBorders>
              <w:top w:val="single" w:sz="4" w:space="0" w:color="auto"/>
              <w:left w:val="nil"/>
              <w:bottom w:val="single" w:sz="4" w:space="0" w:color="auto"/>
              <w:right w:val="single" w:sz="4" w:space="0" w:color="auto"/>
            </w:tcBorders>
            <w:shd w:val="clear" w:color="000000" w:fill="D0CECE"/>
            <w:vAlign w:val="center"/>
            <w:hideMark/>
          </w:tcPr>
          <w:p w14:paraId="61D7C524" w14:textId="77777777" w:rsidR="003E3D60" w:rsidRPr="000C42E6" w:rsidRDefault="003E3D60" w:rsidP="003E3D6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 xml:space="preserve"> Saldo Final </w:t>
            </w:r>
          </w:p>
        </w:tc>
      </w:tr>
      <w:tr w:rsidR="00F64393" w:rsidRPr="000C42E6" w14:paraId="5E8E6E3A" w14:textId="77777777" w:rsidTr="00151AEB">
        <w:trPr>
          <w:trHeight w:val="30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2DBD9A4" w14:textId="77777777" w:rsidR="003E3D60" w:rsidRPr="000C42E6" w:rsidRDefault="003E3D60" w:rsidP="003E3D60">
            <w:pPr>
              <w:spacing w:after="0" w:line="240" w:lineRule="auto"/>
              <w:rPr>
                <w:rFonts w:ascii="Arial" w:eastAsia="Times New Roman" w:hAnsi="Arial" w:cs="Arial"/>
                <w:b/>
                <w:bCs/>
                <w:color w:val="000000"/>
                <w:sz w:val="20"/>
                <w:szCs w:val="20"/>
                <w:lang w:eastAsia="es-MX"/>
              </w:rPr>
            </w:pPr>
          </w:p>
        </w:tc>
        <w:tc>
          <w:tcPr>
            <w:tcW w:w="4825" w:type="dxa"/>
            <w:vMerge/>
            <w:tcBorders>
              <w:top w:val="single" w:sz="4" w:space="0" w:color="auto"/>
              <w:left w:val="single" w:sz="4" w:space="0" w:color="auto"/>
              <w:bottom w:val="single" w:sz="4" w:space="0" w:color="auto"/>
              <w:right w:val="single" w:sz="4" w:space="0" w:color="auto"/>
            </w:tcBorders>
            <w:vAlign w:val="center"/>
            <w:hideMark/>
          </w:tcPr>
          <w:p w14:paraId="0739524E" w14:textId="77777777" w:rsidR="003E3D60" w:rsidRPr="000C42E6" w:rsidRDefault="003E3D60" w:rsidP="003E3D60">
            <w:pPr>
              <w:spacing w:after="0" w:line="240" w:lineRule="auto"/>
              <w:rPr>
                <w:rFonts w:ascii="Arial" w:eastAsia="Times New Roman" w:hAnsi="Arial" w:cs="Arial"/>
                <w:b/>
                <w:bCs/>
                <w:color w:val="000000"/>
                <w:sz w:val="20"/>
                <w:szCs w:val="20"/>
                <w:lang w:eastAsia="es-MX"/>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173920" w14:textId="77777777" w:rsidR="003E3D60" w:rsidRPr="000C42E6" w:rsidRDefault="003E3D60" w:rsidP="003E3D60">
            <w:pPr>
              <w:spacing w:after="0" w:line="240" w:lineRule="auto"/>
              <w:rPr>
                <w:rFonts w:ascii="Arial" w:eastAsia="Times New Roman" w:hAnsi="Arial" w:cs="Arial"/>
                <w:b/>
                <w:bCs/>
                <w:color w:val="000000"/>
                <w:sz w:val="20"/>
                <w:szCs w:val="20"/>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F762B5" w14:textId="77777777" w:rsidR="003E3D60" w:rsidRPr="000C42E6" w:rsidRDefault="003E3D60" w:rsidP="003E3D60">
            <w:pPr>
              <w:spacing w:after="0" w:line="240" w:lineRule="auto"/>
              <w:rPr>
                <w:rFonts w:ascii="Arial" w:eastAsia="Times New Roman" w:hAnsi="Arial" w:cs="Arial"/>
                <w:b/>
                <w:bCs/>
                <w:color w:val="000000"/>
                <w:sz w:val="20"/>
                <w:szCs w:val="20"/>
                <w:lang w:eastAsia="es-MX"/>
              </w:rPr>
            </w:pPr>
          </w:p>
        </w:tc>
        <w:tc>
          <w:tcPr>
            <w:tcW w:w="992" w:type="dxa"/>
            <w:tcBorders>
              <w:top w:val="nil"/>
              <w:left w:val="nil"/>
              <w:bottom w:val="single" w:sz="4" w:space="0" w:color="auto"/>
              <w:right w:val="single" w:sz="4" w:space="0" w:color="auto"/>
            </w:tcBorders>
            <w:shd w:val="clear" w:color="000000" w:fill="D0CECE"/>
            <w:noWrap/>
            <w:vAlign w:val="center"/>
            <w:hideMark/>
          </w:tcPr>
          <w:p w14:paraId="33928AAD" w14:textId="77777777" w:rsidR="003E3D60" w:rsidRPr="000C42E6" w:rsidRDefault="003E3D60" w:rsidP="003E3D6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Deudor</w:t>
            </w:r>
          </w:p>
        </w:tc>
        <w:tc>
          <w:tcPr>
            <w:tcW w:w="1129" w:type="dxa"/>
            <w:tcBorders>
              <w:top w:val="nil"/>
              <w:left w:val="nil"/>
              <w:bottom w:val="single" w:sz="4" w:space="0" w:color="auto"/>
              <w:right w:val="single" w:sz="4" w:space="0" w:color="auto"/>
            </w:tcBorders>
            <w:shd w:val="clear" w:color="000000" w:fill="D0CECE"/>
            <w:noWrap/>
            <w:vAlign w:val="center"/>
            <w:hideMark/>
          </w:tcPr>
          <w:p w14:paraId="17DEEF48" w14:textId="77777777" w:rsidR="003E3D60" w:rsidRPr="000C42E6" w:rsidRDefault="003E3D60" w:rsidP="003E3D60">
            <w:pPr>
              <w:spacing w:after="0" w:line="240" w:lineRule="auto"/>
              <w:jc w:val="center"/>
              <w:rPr>
                <w:rFonts w:ascii="Arial" w:eastAsia="Times New Roman" w:hAnsi="Arial" w:cs="Arial"/>
                <w:b/>
                <w:bCs/>
                <w:color w:val="000000"/>
                <w:sz w:val="20"/>
                <w:szCs w:val="20"/>
                <w:lang w:eastAsia="es-MX"/>
              </w:rPr>
            </w:pPr>
            <w:r w:rsidRPr="000C42E6">
              <w:rPr>
                <w:rFonts w:ascii="Arial" w:eastAsia="Times New Roman" w:hAnsi="Arial" w:cs="Arial"/>
                <w:b/>
                <w:bCs/>
                <w:color w:val="000000"/>
                <w:sz w:val="20"/>
                <w:szCs w:val="20"/>
                <w:lang w:eastAsia="es-MX"/>
              </w:rPr>
              <w:t>Acreedor</w:t>
            </w:r>
          </w:p>
        </w:tc>
      </w:tr>
      <w:tr w:rsidR="00F64393" w:rsidRPr="000C42E6" w14:paraId="2BA28D6E" w14:textId="77777777" w:rsidTr="00151AEB">
        <w:trPr>
          <w:trHeight w:val="3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18E80"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7711</w:t>
            </w:r>
          </w:p>
        </w:tc>
        <w:tc>
          <w:tcPr>
            <w:tcW w:w="4825" w:type="dxa"/>
            <w:tcBorders>
              <w:top w:val="nil"/>
              <w:left w:val="nil"/>
              <w:bottom w:val="single" w:sz="4" w:space="0" w:color="auto"/>
              <w:right w:val="single" w:sz="4" w:space="0" w:color="auto"/>
            </w:tcBorders>
            <w:shd w:val="clear" w:color="auto" w:fill="auto"/>
            <w:vAlign w:val="center"/>
            <w:hideMark/>
          </w:tcPr>
          <w:p w14:paraId="1D248803"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Bienes muebles arqueológicos en custodia</w:t>
            </w:r>
          </w:p>
        </w:tc>
        <w:tc>
          <w:tcPr>
            <w:tcW w:w="993" w:type="dxa"/>
            <w:tcBorders>
              <w:top w:val="nil"/>
              <w:left w:val="nil"/>
              <w:bottom w:val="single" w:sz="4" w:space="0" w:color="auto"/>
              <w:right w:val="single" w:sz="4" w:space="0" w:color="auto"/>
            </w:tcBorders>
            <w:shd w:val="clear" w:color="000000" w:fill="FFFFFF"/>
            <w:vAlign w:val="center"/>
            <w:hideMark/>
          </w:tcPr>
          <w:p w14:paraId="1D82A7D2"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9,720</w:t>
            </w:r>
          </w:p>
        </w:tc>
        <w:tc>
          <w:tcPr>
            <w:tcW w:w="850" w:type="dxa"/>
            <w:tcBorders>
              <w:top w:val="nil"/>
              <w:left w:val="nil"/>
              <w:bottom w:val="single" w:sz="4" w:space="0" w:color="auto"/>
              <w:right w:val="single" w:sz="4" w:space="0" w:color="auto"/>
            </w:tcBorders>
            <w:shd w:val="clear" w:color="000000" w:fill="FFFFFF"/>
            <w:vAlign w:val="center"/>
            <w:hideMark/>
          </w:tcPr>
          <w:p w14:paraId="386CD6C4"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shd w:val="clear" w:color="000000" w:fill="FFFFFF"/>
            <w:vAlign w:val="center"/>
            <w:hideMark/>
          </w:tcPr>
          <w:p w14:paraId="4277EEE0"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9,720</w:t>
            </w:r>
          </w:p>
        </w:tc>
        <w:tc>
          <w:tcPr>
            <w:tcW w:w="1129" w:type="dxa"/>
            <w:tcBorders>
              <w:top w:val="nil"/>
              <w:left w:val="nil"/>
              <w:bottom w:val="single" w:sz="4" w:space="0" w:color="auto"/>
              <w:right w:val="single" w:sz="4" w:space="0" w:color="auto"/>
            </w:tcBorders>
            <w:shd w:val="clear" w:color="000000" w:fill="FFFFFF"/>
            <w:vAlign w:val="center"/>
            <w:hideMark/>
          </w:tcPr>
          <w:p w14:paraId="0E13E0C5"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64393" w:rsidRPr="000C42E6" w14:paraId="71836D39"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1880B7"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7721</w:t>
            </w:r>
          </w:p>
        </w:tc>
        <w:tc>
          <w:tcPr>
            <w:tcW w:w="4825" w:type="dxa"/>
            <w:tcBorders>
              <w:top w:val="nil"/>
              <w:left w:val="nil"/>
              <w:bottom w:val="single" w:sz="4" w:space="0" w:color="auto"/>
              <w:right w:val="single" w:sz="4" w:space="0" w:color="auto"/>
            </w:tcBorders>
            <w:shd w:val="clear" w:color="auto" w:fill="auto"/>
            <w:vAlign w:val="center"/>
            <w:hideMark/>
          </w:tcPr>
          <w:p w14:paraId="450EB875"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Custodia de bienes muebles arqueológicos</w:t>
            </w:r>
          </w:p>
        </w:tc>
        <w:tc>
          <w:tcPr>
            <w:tcW w:w="993" w:type="dxa"/>
            <w:tcBorders>
              <w:top w:val="nil"/>
              <w:left w:val="nil"/>
              <w:bottom w:val="single" w:sz="4" w:space="0" w:color="auto"/>
              <w:right w:val="single" w:sz="4" w:space="0" w:color="auto"/>
            </w:tcBorders>
            <w:shd w:val="clear" w:color="000000" w:fill="FFFFFF"/>
            <w:vAlign w:val="center"/>
            <w:hideMark/>
          </w:tcPr>
          <w:p w14:paraId="60C74162"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850" w:type="dxa"/>
            <w:tcBorders>
              <w:top w:val="nil"/>
              <w:left w:val="nil"/>
              <w:bottom w:val="single" w:sz="4" w:space="0" w:color="auto"/>
              <w:right w:val="single" w:sz="4" w:space="0" w:color="auto"/>
            </w:tcBorders>
            <w:shd w:val="clear" w:color="000000" w:fill="FFFFFF"/>
            <w:vAlign w:val="center"/>
            <w:hideMark/>
          </w:tcPr>
          <w:p w14:paraId="5724477C"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9,720</w:t>
            </w:r>
          </w:p>
        </w:tc>
        <w:tc>
          <w:tcPr>
            <w:tcW w:w="992" w:type="dxa"/>
            <w:tcBorders>
              <w:top w:val="nil"/>
              <w:left w:val="nil"/>
              <w:bottom w:val="single" w:sz="4" w:space="0" w:color="auto"/>
              <w:right w:val="single" w:sz="4" w:space="0" w:color="auto"/>
            </w:tcBorders>
            <w:shd w:val="clear" w:color="000000" w:fill="FFFFFF"/>
            <w:vAlign w:val="center"/>
            <w:hideMark/>
          </w:tcPr>
          <w:p w14:paraId="25D735B1" w14:textId="2533DE07" w:rsidR="003E3D60" w:rsidRPr="000C42E6" w:rsidRDefault="003E3D60" w:rsidP="00404C7D">
            <w:pPr>
              <w:spacing w:after="0" w:line="240" w:lineRule="auto"/>
              <w:jc w:val="right"/>
              <w:rPr>
                <w:rFonts w:ascii="Arial" w:eastAsia="Times New Roman" w:hAnsi="Arial" w:cs="Arial"/>
                <w:color w:val="000000"/>
                <w:sz w:val="20"/>
                <w:szCs w:val="20"/>
                <w:lang w:eastAsia="es-MX"/>
              </w:rPr>
            </w:pPr>
          </w:p>
        </w:tc>
        <w:tc>
          <w:tcPr>
            <w:tcW w:w="1129" w:type="dxa"/>
            <w:tcBorders>
              <w:top w:val="nil"/>
              <w:left w:val="nil"/>
              <w:bottom w:val="single" w:sz="4" w:space="0" w:color="auto"/>
              <w:right w:val="single" w:sz="4" w:space="0" w:color="auto"/>
            </w:tcBorders>
            <w:shd w:val="clear" w:color="000000" w:fill="FFFFFF"/>
            <w:vAlign w:val="center"/>
            <w:hideMark/>
          </w:tcPr>
          <w:p w14:paraId="4C339261"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9,720</w:t>
            </w:r>
          </w:p>
        </w:tc>
      </w:tr>
      <w:tr w:rsidR="00F64393" w:rsidRPr="000C42E6" w14:paraId="0C80A5E5"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0229AD"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7731</w:t>
            </w:r>
          </w:p>
        </w:tc>
        <w:tc>
          <w:tcPr>
            <w:tcW w:w="4825" w:type="dxa"/>
            <w:tcBorders>
              <w:top w:val="nil"/>
              <w:left w:val="nil"/>
              <w:bottom w:val="single" w:sz="4" w:space="0" w:color="auto"/>
              <w:right w:val="single" w:sz="4" w:space="0" w:color="auto"/>
            </w:tcBorders>
            <w:shd w:val="clear" w:color="auto" w:fill="auto"/>
            <w:vAlign w:val="center"/>
            <w:hideMark/>
          </w:tcPr>
          <w:p w14:paraId="2005C95C"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Bienes muebles artísticos en custodia</w:t>
            </w:r>
          </w:p>
        </w:tc>
        <w:tc>
          <w:tcPr>
            <w:tcW w:w="993" w:type="dxa"/>
            <w:tcBorders>
              <w:top w:val="nil"/>
              <w:left w:val="nil"/>
              <w:bottom w:val="single" w:sz="4" w:space="0" w:color="auto"/>
              <w:right w:val="single" w:sz="4" w:space="0" w:color="auto"/>
            </w:tcBorders>
            <w:shd w:val="clear" w:color="000000" w:fill="FFFFFF"/>
            <w:vAlign w:val="center"/>
            <w:hideMark/>
          </w:tcPr>
          <w:p w14:paraId="190A9D66"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1,861</w:t>
            </w:r>
          </w:p>
        </w:tc>
        <w:tc>
          <w:tcPr>
            <w:tcW w:w="850" w:type="dxa"/>
            <w:tcBorders>
              <w:top w:val="nil"/>
              <w:left w:val="nil"/>
              <w:bottom w:val="single" w:sz="4" w:space="0" w:color="auto"/>
              <w:right w:val="single" w:sz="4" w:space="0" w:color="auto"/>
            </w:tcBorders>
            <w:shd w:val="clear" w:color="000000" w:fill="FFFFFF"/>
            <w:vAlign w:val="center"/>
            <w:hideMark/>
          </w:tcPr>
          <w:p w14:paraId="474516C4"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shd w:val="clear" w:color="000000" w:fill="FFFFFF"/>
            <w:vAlign w:val="center"/>
            <w:hideMark/>
          </w:tcPr>
          <w:p w14:paraId="40872655"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1,861</w:t>
            </w:r>
          </w:p>
        </w:tc>
        <w:tc>
          <w:tcPr>
            <w:tcW w:w="1129" w:type="dxa"/>
            <w:tcBorders>
              <w:top w:val="nil"/>
              <w:left w:val="nil"/>
              <w:bottom w:val="single" w:sz="4" w:space="0" w:color="auto"/>
              <w:right w:val="single" w:sz="4" w:space="0" w:color="auto"/>
            </w:tcBorders>
            <w:shd w:val="clear" w:color="000000" w:fill="FFFFFF"/>
            <w:vAlign w:val="center"/>
            <w:hideMark/>
          </w:tcPr>
          <w:p w14:paraId="1BD66F83"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64393" w:rsidRPr="000C42E6" w14:paraId="55177EE6"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690999"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7741</w:t>
            </w:r>
          </w:p>
        </w:tc>
        <w:tc>
          <w:tcPr>
            <w:tcW w:w="4825" w:type="dxa"/>
            <w:tcBorders>
              <w:top w:val="nil"/>
              <w:left w:val="nil"/>
              <w:bottom w:val="single" w:sz="4" w:space="0" w:color="auto"/>
              <w:right w:val="single" w:sz="4" w:space="0" w:color="auto"/>
            </w:tcBorders>
            <w:shd w:val="clear" w:color="auto" w:fill="auto"/>
            <w:vAlign w:val="center"/>
            <w:hideMark/>
          </w:tcPr>
          <w:p w14:paraId="5EA21064"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Custodia de bienes muebles artísticos</w:t>
            </w:r>
          </w:p>
        </w:tc>
        <w:tc>
          <w:tcPr>
            <w:tcW w:w="993" w:type="dxa"/>
            <w:tcBorders>
              <w:top w:val="nil"/>
              <w:left w:val="nil"/>
              <w:bottom w:val="single" w:sz="4" w:space="0" w:color="auto"/>
              <w:right w:val="single" w:sz="4" w:space="0" w:color="auto"/>
            </w:tcBorders>
            <w:shd w:val="clear" w:color="000000" w:fill="FFFFFF"/>
            <w:vAlign w:val="center"/>
            <w:hideMark/>
          </w:tcPr>
          <w:p w14:paraId="0A5BB60E"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850" w:type="dxa"/>
            <w:tcBorders>
              <w:top w:val="nil"/>
              <w:left w:val="nil"/>
              <w:bottom w:val="single" w:sz="4" w:space="0" w:color="auto"/>
              <w:right w:val="single" w:sz="4" w:space="0" w:color="auto"/>
            </w:tcBorders>
            <w:shd w:val="clear" w:color="000000" w:fill="FFFFFF"/>
            <w:vAlign w:val="center"/>
            <w:hideMark/>
          </w:tcPr>
          <w:p w14:paraId="7B63F5DF"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1,861</w:t>
            </w:r>
          </w:p>
        </w:tc>
        <w:tc>
          <w:tcPr>
            <w:tcW w:w="992" w:type="dxa"/>
            <w:tcBorders>
              <w:top w:val="nil"/>
              <w:left w:val="nil"/>
              <w:bottom w:val="single" w:sz="4" w:space="0" w:color="auto"/>
              <w:right w:val="single" w:sz="4" w:space="0" w:color="auto"/>
            </w:tcBorders>
            <w:shd w:val="clear" w:color="000000" w:fill="FFFFFF"/>
            <w:vAlign w:val="center"/>
            <w:hideMark/>
          </w:tcPr>
          <w:p w14:paraId="44DC7475" w14:textId="51D977ED" w:rsidR="003E3D60" w:rsidRPr="000C42E6" w:rsidRDefault="003E3D60" w:rsidP="00404C7D">
            <w:pPr>
              <w:spacing w:after="0" w:line="240" w:lineRule="auto"/>
              <w:jc w:val="right"/>
              <w:rPr>
                <w:rFonts w:ascii="Arial" w:eastAsia="Times New Roman" w:hAnsi="Arial" w:cs="Arial"/>
                <w:color w:val="000000"/>
                <w:sz w:val="20"/>
                <w:szCs w:val="20"/>
                <w:lang w:eastAsia="es-MX"/>
              </w:rPr>
            </w:pPr>
          </w:p>
        </w:tc>
        <w:tc>
          <w:tcPr>
            <w:tcW w:w="1129" w:type="dxa"/>
            <w:tcBorders>
              <w:top w:val="nil"/>
              <w:left w:val="nil"/>
              <w:bottom w:val="single" w:sz="4" w:space="0" w:color="auto"/>
              <w:right w:val="single" w:sz="4" w:space="0" w:color="auto"/>
            </w:tcBorders>
            <w:shd w:val="clear" w:color="000000" w:fill="FFFFFF"/>
            <w:vAlign w:val="center"/>
            <w:hideMark/>
          </w:tcPr>
          <w:p w14:paraId="586C7D80"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1,861</w:t>
            </w:r>
          </w:p>
        </w:tc>
      </w:tr>
      <w:tr w:rsidR="00F64393" w:rsidRPr="000C42E6" w14:paraId="77ADACBF"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6C30E0"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7751</w:t>
            </w:r>
          </w:p>
        </w:tc>
        <w:tc>
          <w:tcPr>
            <w:tcW w:w="4825" w:type="dxa"/>
            <w:tcBorders>
              <w:top w:val="nil"/>
              <w:left w:val="nil"/>
              <w:bottom w:val="single" w:sz="4" w:space="0" w:color="auto"/>
              <w:right w:val="single" w:sz="4" w:space="0" w:color="auto"/>
            </w:tcBorders>
            <w:shd w:val="clear" w:color="auto" w:fill="auto"/>
            <w:vAlign w:val="center"/>
            <w:hideMark/>
          </w:tcPr>
          <w:p w14:paraId="2E9BA365"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Bienes muebles históricos en custodia</w:t>
            </w:r>
          </w:p>
        </w:tc>
        <w:tc>
          <w:tcPr>
            <w:tcW w:w="993" w:type="dxa"/>
            <w:tcBorders>
              <w:top w:val="nil"/>
              <w:left w:val="nil"/>
              <w:bottom w:val="single" w:sz="4" w:space="0" w:color="auto"/>
              <w:right w:val="single" w:sz="4" w:space="0" w:color="auto"/>
            </w:tcBorders>
            <w:shd w:val="clear" w:color="000000" w:fill="FFFFFF"/>
            <w:vAlign w:val="center"/>
            <w:hideMark/>
          </w:tcPr>
          <w:p w14:paraId="23D81F01"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446</w:t>
            </w:r>
          </w:p>
        </w:tc>
        <w:tc>
          <w:tcPr>
            <w:tcW w:w="850" w:type="dxa"/>
            <w:tcBorders>
              <w:top w:val="nil"/>
              <w:left w:val="nil"/>
              <w:bottom w:val="single" w:sz="4" w:space="0" w:color="auto"/>
              <w:right w:val="single" w:sz="4" w:space="0" w:color="auto"/>
            </w:tcBorders>
            <w:shd w:val="clear" w:color="000000" w:fill="FFFFFF"/>
            <w:vAlign w:val="center"/>
            <w:hideMark/>
          </w:tcPr>
          <w:p w14:paraId="352A2904"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shd w:val="clear" w:color="000000" w:fill="FFFFFF"/>
            <w:vAlign w:val="center"/>
            <w:hideMark/>
          </w:tcPr>
          <w:p w14:paraId="2D7450C3"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446</w:t>
            </w:r>
          </w:p>
        </w:tc>
        <w:tc>
          <w:tcPr>
            <w:tcW w:w="1129" w:type="dxa"/>
            <w:tcBorders>
              <w:top w:val="nil"/>
              <w:left w:val="nil"/>
              <w:bottom w:val="single" w:sz="4" w:space="0" w:color="auto"/>
              <w:right w:val="single" w:sz="4" w:space="0" w:color="auto"/>
            </w:tcBorders>
            <w:shd w:val="clear" w:color="000000" w:fill="FFFFFF"/>
            <w:vAlign w:val="center"/>
            <w:hideMark/>
          </w:tcPr>
          <w:p w14:paraId="624B23EA"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64393" w:rsidRPr="000C42E6" w14:paraId="2560197C"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910B9"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7753</w:t>
            </w:r>
          </w:p>
        </w:tc>
        <w:tc>
          <w:tcPr>
            <w:tcW w:w="4825" w:type="dxa"/>
            <w:tcBorders>
              <w:top w:val="nil"/>
              <w:left w:val="nil"/>
              <w:bottom w:val="single" w:sz="4" w:space="0" w:color="auto"/>
              <w:right w:val="single" w:sz="4" w:space="0" w:color="auto"/>
            </w:tcBorders>
            <w:shd w:val="clear" w:color="auto" w:fill="auto"/>
            <w:vAlign w:val="center"/>
            <w:hideMark/>
          </w:tcPr>
          <w:p w14:paraId="2893746E"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Documentos y expedientes históricos en custodia</w:t>
            </w:r>
          </w:p>
        </w:tc>
        <w:tc>
          <w:tcPr>
            <w:tcW w:w="993" w:type="dxa"/>
            <w:tcBorders>
              <w:top w:val="nil"/>
              <w:left w:val="nil"/>
              <w:bottom w:val="single" w:sz="4" w:space="0" w:color="auto"/>
              <w:right w:val="single" w:sz="4" w:space="0" w:color="auto"/>
            </w:tcBorders>
            <w:shd w:val="clear" w:color="000000" w:fill="FFFFFF"/>
            <w:vAlign w:val="center"/>
            <w:hideMark/>
          </w:tcPr>
          <w:p w14:paraId="3BE67707"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119</w:t>
            </w:r>
          </w:p>
        </w:tc>
        <w:tc>
          <w:tcPr>
            <w:tcW w:w="850" w:type="dxa"/>
            <w:tcBorders>
              <w:top w:val="nil"/>
              <w:left w:val="nil"/>
              <w:bottom w:val="single" w:sz="4" w:space="0" w:color="auto"/>
              <w:right w:val="single" w:sz="4" w:space="0" w:color="auto"/>
            </w:tcBorders>
            <w:shd w:val="clear" w:color="000000" w:fill="FFFFFF"/>
            <w:vAlign w:val="center"/>
            <w:hideMark/>
          </w:tcPr>
          <w:p w14:paraId="137123EF"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shd w:val="clear" w:color="000000" w:fill="FFFFFF"/>
            <w:vAlign w:val="center"/>
            <w:hideMark/>
          </w:tcPr>
          <w:p w14:paraId="767C39E0"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119</w:t>
            </w:r>
          </w:p>
        </w:tc>
        <w:tc>
          <w:tcPr>
            <w:tcW w:w="1129" w:type="dxa"/>
            <w:tcBorders>
              <w:top w:val="nil"/>
              <w:left w:val="nil"/>
              <w:bottom w:val="single" w:sz="4" w:space="0" w:color="auto"/>
              <w:right w:val="single" w:sz="4" w:space="0" w:color="auto"/>
            </w:tcBorders>
            <w:shd w:val="clear" w:color="000000" w:fill="FFFFFF"/>
            <w:vAlign w:val="center"/>
            <w:hideMark/>
          </w:tcPr>
          <w:p w14:paraId="16C52D1B"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64393" w:rsidRPr="000C42E6" w14:paraId="1F6C5889"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E781F"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7754</w:t>
            </w:r>
          </w:p>
        </w:tc>
        <w:tc>
          <w:tcPr>
            <w:tcW w:w="4825" w:type="dxa"/>
            <w:tcBorders>
              <w:top w:val="nil"/>
              <w:left w:val="nil"/>
              <w:bottom w:val="single" w:sz="4" w:space="0" w:color="auto"/>
              <w:right w:val="single" w:sz="4" w:space="0" w:color="auto"/>
            </w:tcBorders>
            <w:shd w:val="clear" w:color="auto" w:fill="auto"/>
            <w:vAlign w:val="center"/>
            <w:hideMark/>
          </w:tcPr>
          <w:p w14:paraId="10132172"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Colecciones históricas en custodia</w:t>
            </w:r>
          </w:p>
        </w:tc>
        <w:tc>
          <w:tcPr>
            <w:tcW w:w="993" w:type="dxa"/>
            <w:tcBorders>
              <w:top w:val="nil"/>
              <w:left w:val="nil"/>
              <w:bottom w:val="single" w:sz="4" w:space="0" w:color="auto"/>
              <w:right w:val="single" w:sz="4" w:space="0" w:color="auto"/>
            </w:tcBorders>
            <w:shd w:val="clear" w:color="000000" w:fill="FFFFFF"/>
            <w:vAlign w:val="center"/>
            <w:hideMark/>
          </w:tcPr>
          <w:p w14:paraId="48F6C058"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939</w:t>
            </w:r>
          </w:p>
        </w:tc>
        <w:tc>
          <w:tcPr>
            <w:tcW w:w="850" w:type="dxa"/>
            <w:tcBorders>
              <w:top w:val="nil"/>
              <w:left w:val="nil"/>
              <w:bottom w:val="single" w:sz="4" w:space="0" w:color="auto"/>
              <w:right w:val="single" w:sz="4" w:space="0" w:color="auto"/>
            </w:tcBorders>
            <w:shd w:val="clear" w:color="000000" w:fill="FFFFFF"/>
            <w:vAlign w:val="center"/>
            <w:hideMark/>
          </w:tcPr>
          <w:p w14:paraId="3D3DD712"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shd w:val="clear" w:color="000000" w:fill="FFFFFF"/>
            <w:vAlign w:val="center"/>
            <w:hideMark/>
          </w:tcPr>
          <w:p w14:paraId="0870A4FC"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939</w:t>
            </w:r>
          </w:p>
        </w:tc>
        <w:tc>
          <w:tcPr>
            <w:tcW w:w="1129" w:type="dxa"/>
            <w:tcBorders>
              <w:top w:val="nil"/>
              <w:left w:val="nil"/>
              <w:bottom w:val="single" w:sz="4" w:space="0" w:color="auto"/>
              <w:right w:val="single" w:sz="4" w:space="0" w:color="auto"/>
            </w:tcBorders>
            <w:shd w:val="clear" w:color="000000" w:fill="FFFFFF"/>
            <w:vAlign w:val="center"/>
            <w:hideMark/>
          </w:tcPr>
          <w:p w14:paraId="64760A0C"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r>
      <w:tr w:rsidR="00F64393" w:rsidRPr="000C42E6" w14:paraId="07F317D4"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8D4202"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7761</w:t>
            </w:r>
          </w:p>
        </w:tc>
        <w:tc>
          <w:tcPr>
            <w:tcW w:w="4825" w:type="dxa"/>
            <w:tcBorders>
              <w:top w:val="nil"/>
              <w:left w:val="nil"/>
              <w:bottom w:val="single" w:sz="4" w:space="0" w:color="auto"/>
              <w:right w:val="single" w:sz="4" w:space="0" w:color="auto"/>
            </w:tcBorders>
            <w:shd w:val="clear" w:color="auto" w:fill="auto"/>
            <w:vAlign w:val="center"/>
            <w:hideMark/>
          </w:tcPr>
          <w:p w14:paraId="382A1015"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Custodia de  bienes muebles históricos</w:t>
            </w:r>
          </w:p>
        </w:tc>
        <w:tc>
          <w:tcPr>
            <w:tcW w:w="993" w:type="dxa"/>
            <w:tcBorders>
              <w:top w:val="nil"/>
              <w:left w:val="nil"/>
              <w:bottom w:val="single" w:sz="4" w:space="0" w:color="auto"/>
              <w:right w:val="single" w:sz="4" w:space="0" w:color="auto"/>
            </w:tcBorders>
            <w:shd w:val="clear" w:color="000000" w:fill="FFFFFF"/>
            <w:vAlign w:val="center"/>
            <w:hideMark/>
          </w:tcPr>
          <w:p w14:paraId="40B7C8CD"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850" w:type="dxa"/>
            <w:tcBorders>
              <w:top w:val="nil"/>
              <w:left w:val="nil"/>
              <w:bottom w:val="single" w:sz="4" w:space="0" w:color="auto"/>
              <w:right w:val="single" w:sz="4" w:space="0" w:color="auto"/>
            </w:tcBorders>
            <w:shd w:val="clear" w:color="000000" w:fill="FFFFFF"/>
            <w:vAlign w:val="center"/>
            <w:hideMark/>
          </w:tcPr>
          <w:p w14:paraId="659F2BC6"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446</w:t>
            </w:r>
          </w:p>
        </w:tc>
        <w:tc>
          <w:tcPr>
            <w:tcW w:w="992" w:type="dxa"/>
            <w:tcBorders>
              <w:top w:val="nil"/>
              <w:left w:val="nil"/>
              <w:bottom w:val="single" w:sz="4" w:space="0" w:color="auto"/>
              <w:right w:val="single" w:sz="4" w:space="0" w:color="auto"/>
            </w:tcBorders>
            <w:shd w:val="clear" w:color="000000" w:fill="FFFFFF"/>
            <w:vAlign w:val="center"/>
            <w:hideMark/>
          </w:tcPr>
          <w:p w14:paraId="265F39D3" w14:textId="1EDAA095" w:rsidR="003E3D60" w:rsidRPr="000C42E6" w:rsidRDefault="00A06FBE"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129" w:type="dxa"/>
            <w:tcBorders>
              <w:top w:val="nil"/>
              <w:left w:val="nil"/>
              <w:bottom w:val="single" w:sz="4" w:space="0" w:color="auto"/>
              <w:right w:val="single" w:sz="4" w:space="0" w:color="auto"/>
            </w:tcBorders>
            <w:shd w:val="clear" w:color="000000" w:fill="FFFFFF"/>
            <w:vAlign w:val="center"/>
            <w:hideMark/>
          </w:tcPr>
          <w:p w14:paraId="2E3A26E6"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446</w:t>
            </w:r>
          </w:p>
        </w:tc>
      </w:tr>
      <w:tr w:rsidR="00F64393" w:rsidRPr="000C42E6" w14:paraId="4D2F02A9"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E5E46E"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7763</w:t>
            </w:r>
          </w:p>
        </w:tc>
        <w:tc>
          <w:tcPr>
            <w:tcW w:w="4825" w:type="dxa"/>
            <w:tcBorders>
              <w:top w:val="nil"/>
              <w:left w:val="nil"/>
              <w:bottom w:val="single" w:sz="4" w:space="0" w:color="auto"/>
              <w:right w:val="single" w:sz="4" w:space="0" w:color="auto"/>
            </w:tcBorders>
            <w:shd w:val="clear" w:color="auto" w:fill="auto"/>
            <w:vAlign w:val="center"/>
            <w:hideMark/>
          </w:tcPr>
          <w:p w14:paraId="7578FD37"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Custodia de documentos y expedientes históricos</w:t>
            </w:r>
          </w:p>
        </w:tc>
        <w:tc>
          <w:tcPr>
            <w:tcW w:w="993" w:type="dxa"/>
            <w:tcBorders>
              <w:top w:val="nil"/>
              <w:left w:val="nil"/>
              <w:bottom w:val="single" w:sz="4" w:space="0" w:color="auto"/>
              <w:right w:val="single" w:sz="4" w:space="0" w:color="auto"/>
            </w:tcBorders>
            <w:shd w:val="clear" w:color="000000" w:fill="FFFFFF"/>
            <w:vAlign w:val="center"/>
            <w:hideMark/>
          </w:tcPr>
          <w:p w14:paraId="3D971C18"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850" w:type="dxa"/>
            <w:tcBorders>
              <w:top w:val="nil"/>
              <w:left w:val="nil"/>
              <w:bottom w:val="single" w:sz="4" w:space="0" w:color="auto"/>
              <w:right w:val="single" w:sz="4" w:space="0" w:color="auto"/>
            </w:tcBorders>
            <w:shd w:val="clear" w:color="000000" w:fill="FFFFFF"/>
            <w:vAlign w:val="center"/>
            <w:hideMark/>
          </w:tcPr>
          <w:p w14:paraId="691D9AF6"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119</w:t>
            </w:r>
          </w:p>
        </w:tc>
        <w:tc>
          <w:tcPr>
            <w:tcW w:w="992" w:type="dxa"/>
            <w:tcBorders>
              <w:top w:val="nil"/>
              <w:left w:val="nil"/>
              <w:bottom w:val="single" w:sz="4" w:space="0" w:color="auto"/>
              <w:right w:val="single" w:sz="4" w:space="0" w:color="auto"/>
            </w:tcBorders>
            <w:shd w:val="clear" w:color="000000" w:fill="FFFFFF"/>
            <w:vAlign w:val="center"/>
            <w:hideMark/>
          </w:tcPr>
          <w:p w14:paraId="2FCEABD4" w14:textId="444F33AB" w:rsidR="003E3D60" w:rsidRPr="000C42E6" w:rsidRDefault="00A06FBE"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129" w:type="dxa"/>
            <w:tcBorders>
              <w:top w:val="nil"/>
              <w:left w:val="nil"/>
              <w:bottom w:val="single" w:sz="4" w:space="0" w:color="auto"/>
              <w:right w:val="single" w:sz="4" w:space="0" w:color="auto"/>
            </w:tcBorders>
            <w:shd w:val="clear" w:color="000000" w:fill="FFFFFF"/>
            <w:vAlign w:val="center"/>
            <w:hideMark/>
          </w:tcPr>
          <w:p w14:paraId="26A2C367"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119</w:t>
            </w:r>
          </w:p>
        </w:tc>
      </w:tr>
      <w:tr w:rsidR="00F64393" w:rsidRPr="000C42E6" w14:paraId="1EDEB066" w14:textId="77777777" w:rsidTr="00151AEB">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85E8BC" w14:textId="77777777" w:rsidR="003E3D60" w:rsidRPr="000C42E6" w:rsidRDefault="003E3D60" w:rsidP="003E3D60">
            <w:pPr>
              <w:spacing w:after="0" w:line="240" w:lineRule="auto"/>
              <w:jc w:val="center"/>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7764</w:t>
            </w:r>
          </w:p>
        </w:tc>
        <w:tc>
          <w:tcPr>
            <w:tcW w:w="4825" w:type="dxa"/>
            <w:tcBorders>
              <w:top w:val="nil"/>
              <w:left w:val="nil"/>
              <w:bottom w:val="single" w:sz="4" w:space="0" w:color="auto"/>
              <w:right w:val="single" w:sz="4" w:space="0" w:color="auto"/>
            </w:tcBorders>
            <w:shd w:val="clear" w:color="auto" w:fill="auto"/>
            <w:vAlign w:val="center"/>
            <w:hideMark/>
          </w:tcPr>
          <w:p w14:paraId="6F3E37E1" w14:textId="77777777" w:rsidR="003E3D60" w:rsidRPr="000C42E6" w:rsidRDefault="003E3D60" w:rsidP="003E3D60">
            <w:pPr>
              <w:spacing w:after="0" w:line="240" w:lineRule="auto"/>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Custodia de colecciones históricas</w:t>
            </w:r>
          </w:p>
        </w:tc>
        <w:tc>
          <w:tcPr>
            <w:tcW w:w="993" w:type="dxa"/>
            <w:tcBorders>
              <w:top w:val="nil"/>
              <w:left w:val="nil"/>
              <w:bottom w:val="single" w:sz="4" w:space="0" w:color="auto"/>
              <w:right w:val="single" w:sz="4" w:space="0" w:color="auto"/>
            </w:tcBorders>
            <w:shd w:val="clear" w:color="000000" w:fill="FFFFFF"/>
            <w:vAlign w:val="center"/>
            <w:hideMark/>
          </w:tcPr>
          <w:p w14:paraId="40F2ACCC"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850" w:type="dxa"/>
            <w:tcBorders>
              <w:top w:val="nil"/>
              <w:left w:val="nil"/>
              <w:bottom w:val="single" w:sz="4" w:space="0" w:color="auto"/>
              <w:right w:val="single" w:sz="4" w:space="0" w:color="auto"/>
            </w:tcBorders>
            <w:shd w:val="clear" w:color="000000" w:fill="FFFFFF"/>
            <w:vAlign w:val="center"/>
            <w:hideMark/>
          </w:tcPr>
          <w:p w14:paraId="38DBE3E7"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939</w:t>
            </w:r>
          </w:p>
        </w:tc>
        <w:tc>
          <w:tcPr>
            <w:tcW w:w="992" w:type="dxa"/>
            <w:tcBorders>
              <w:top w:val="nil"/>
              <w:left w:val="nil"/>
              <w:bottom w:val="single" w:sz="4" w:space="0" w:color="auto"/>
              <w:right w:val="single" w:sz="4" w:space="0" w:color="auto"/>
            </w:tcBorders>
            <w:shd w:val="clear" w:color="000000" w:fill="FFFFFF"/>
            <w:vAlign w:val="center"/>
            <w:hideMark/>
          </w:tcPr>
          <w:p w14:paraId="66C2EDEE" w14:textId="2D7E0229" w:rsidR="003E3D60" w:rsidRPr="000C42E6" w:rsidRDefault="00A06FBE"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0</w:t>
            </w:r>
          </w:p>
        </w:tc>
        <w:tc>
          <w:tcPr>
            <w:tcW w:w="1129" w:type="dxa"/>
            <w:tcBorders>
              <w:top w:val="nil"/>
              <w:left w:val="nil"/>
              <w:bottom w:val="single" w:sz="4" w:space="0" w:color="auto"/>
              <w:right w:val="single" w:sz="4" w:space="0" w:color="auto"/>
            </w:tcBorders>
            <w:shd w:val="clear" w:color="000000" w:fill="FFFFFF"/>
            <w:vAlign w:val="center"/>
            <w:hideMark/>
          </w:tcPr>
          <w:p w14:paraId="5F2EBB92" w14:textId="77777777" w:rsidR="003E3D60" w:rsidRPr="000C42E6" w:rsidRDefault="003E3D60" w:rsidP="00404C7D">
            <w:pPr>
              <w:spacing w:after="0" w:line="240" w:lineRule="auto"/>
              <w:jc w:val="right"/>
              <w:rPr>
                <w:rFonts w:ascii="Arial" w:eastAsia="Times New Roman" w:hAnsi="Arial" w:cs="Arial"/>
                <w:color w:val="000000"/>
                <w:sz w:val="20"/>
                <w:szCs w:val="20"/>
                <w:lang w:eastAsia="es-MX"/>
              </w:rPr>
            </w:pPr>
            <w:r w:rsidRPr="000C42E6">
              <w:rPr>
                <w:rFonts w:ascii="Arial" w:eastAsia="Times New Roman" w:hAnsi="Arial" w:cs="Arial"/>
                <w:color w:val="000000"/>
                <w:sz w:val="20"/>
                <w:szCs w:val="20"/>
                <w:lang w:eastAsia="es-MX"/>
              </w:rPr>
              <w:t>939</w:t>
            </w:r>
          </w:p>
        </w:tc>
      </w:tr>
    </w:tbl>
    <w:p w14:paraId="1E89128F" w14:textId="77777777" w:rsidR="004B572A" w:rsidRPr="000C42E6" w:rsidRDefault="004B572A" w:rsidP="007644D7">
      <w:pPr>
        <w:spacing w:after="200" w:line="240" w:lineRule="auto"/>
        <w:rPr>
          <w:rFonts w:ascii="Arial" w:eastAsia="DIN Next LT Pro Condensed" w:hAnsi="Arial" w:cs="Arial"/>
          <w:position w:val="1"/>
          <w:sz w:val="20"/>
          <w:szCs w:val="20"/>
        </w:rPr>
      </w:pPr>
    </w:p>
    <w:p w14:paraId="20FEEA06" w14:textId="77777777" w:rsidR="00CB7883" w:rsidRPr="000C42E6" w:rsidRDefault="00CB7883" w:rsidP="007644D7">
      <w:pPr>
        <w:spacing w:after="200" w:line="240" w:lineRule="auto"/>
        <w:rPr>
          <w:rFonts w:ascii="Arial" w:eastAsia="DIN Next LT Pro Condensed" w:hAnsi="Arial" w:cs="Arial"/>
          <w:w w:val="102"/>
          <w:position w:val="1"/>
          <w:sz w:val="20"/>
          <w:szCs w:val="20"/>
        </w:rPr>
      </w:pPr>
      <w:r w:rsidRPr="000C42E6">
        <w:rPr>
          <w:rFonts w:ascii="Arial" w:eastAsia="DIN Next LT Pro Condensed" w:hAnsi="Arial" w:cs="Arial"/>
          <w:position w:val="1"/>
          <w:sz w:val="20"/>
          <w:szCs w:val="20"/>
        </w:rPr>
        <w:lastRenderedPageBreak/>
        <w:t>Las</w:t>
      </w:r>
      <w:r w:rsidRPr="000C42E6">
        <w:rPr>
          <w:rFonts w:ascii="Arial" w:eastAsia="DIN Next LT Pro Condensed" w:hAnsi="Arial" w:cs="Arial"/>
          <w:spacing w:val="5"/>
          <w:position w:val="1"/>
          <w:sz w:val="20"/>
          <w:szCs w:val="20"/>
        </w:rPr>
        <w:t xml:space="preserve"> </w:t>
      </w:r>
      <w:r w:rsidRPr="000C42E6">
        <w:rPr>
          <w:rFonts w:ascii="Arial" w:eastAsia="DIN Next LT Pro Condensed" w:hAnsi="Arial" w:cs="Arial"/>
          <w:position w:val="1"/>
          <w:sz w:val="20"/>
          <w:szCs w:val="20"/>
        </w:rPr>
        <w:t>Cuentas</w:t>
      </w:r>
      <w:r w:rsidRPr="000C42E6">
        <w:rPr>
          <w:rFonts w:ascii="Arial" w:eastAsia="DIN Next LT Pro Condensed" w:hAnsi="Arial" w:cs="Arial"/>
          <w:spacing w:val="11"/>
          <w:position w:val="1"/>
          <w:sz w:val="20"/>
          <w:szCs w:val="20"/>
        </w:rPr>
        <w:t xml:space="preserve"> </w:t>
      </w:r>
      <w:r w:rsidRPr="000C42E6">
        <w:rPr>
          <w:rFonts w:ascii="Arial" w:eastAsia="DIN Next LT Pro Condensed" w:hAnsi="Arial" w:cs="Arial"/>
          <w:position w:val="1"/>
          <w:sz w:val="20"/>
          <w:szCs w:val="20"/>
        </w:rPr>
        <w:t>de</w:t>
      </w:r>
      <w:r w:rsidRPr="000C42E6">
        <w:rPr>
          <w:rFonts w:ascii="Arial" w:eastAsia="DIN Next LT Pro Condensed" w:hAnsi="Arial" w:cs="Arial"/>
          <w:spacing w:val="4"/>
          <w:position w:val="1"/>
          <w:sz w:val="20"/>
          <w:szCs w:val="20"/>
        </w:rPr>
        <w:t xml:space="preserve"> </w:t>
      </w:r>
      <w:r w:rsidRPr="000C42E6">
        <w:rPr>
          <w:rFonts w:ascii="Arial" w:eastAsia="DIN Next LT Pro Condensed" w:hAnsi="Arial" w:cs="Arial"/>
          <w:position w:val="1"/>
          <w:sz w:val="20"/>
          <w:szCs w:val="20"/>
        </w:rPr>
        <w:t>Orden</w:t>
      </w:r>
      <w:r w:rsidRPr="000C42E6">
        <w:rPr>
          <w:rFonts w:ascii="Arial" w:eastAsia="DIN Next LT Pro Condensed" w:hAnsi="Arial" w:cs="Arial"/>
          <w:spacing w:val="9"/>
          <w:position w:val="1"/>
          <w:sz w:val="20"/>
          <w:szCs w:val="20"/>
        </w:rPr>
        <w:t xml:space="preserve"> Presupuestarias</w:t>
      </w:r>
      <w:r w:rsidRPr="000C42E6">
        <w:rPr>
          <w:rFonts w:ascii="Arial" w:eastAsia="DIN Next LT Pro Condensed" w:hAnsi="Arial" w:cs="Arial"/>
          <w:spacing w:val="22"/>
          <w:position w:val="1"/>
          <w:sz w:val="20"/>
          <w:szCs w:val="20"/>
        </w:rPr>
        <w:t xml:space="preserve"> </w:t>
      </w:r>
      <w:r w:rsidRPr="000C42E6">
        <w:rPr>
          <w:rFonts w:ascii="Arial" w:eastAsia="DIN Next LT Pro Condensed" w:hAnsi="Arial" w:cs="Arial"/>
          <w:position w:val="1"/>
          <w:sz w:val="20"/>
          <w:szCs w:val="20"/>
        </w:rPr>
        <w:t>presentan</w:t>
      </w:r>
      <w:r w:rsidRPr="000C42E6">
        <w:rPr>
          <w:rFonts w:ascii="Arial" w:eastAsia="DIN Next LT Pro Condensed" w:hAnsi="Arial" w:cs="Arial"/>
          <w:spacing w:val="14"/>
          <w:position w:val="1"/>
          <w:sz w:val="20"/>
          <w:szCs w:val="20"/>
        </w:rPr>
        <w:t xml:space="preserve"> </w:t>
      </w:r>
      <w:r w:rsidR="008F6358" w:rsidRPr="000C42E6">
        <w:rPr>
          <w:rFonts w:ascii="Arial" w:eastAsia="DIN Next LT Pro Condensed" w:hAnsi="Arial" w:cs="Arial"/>
          <w:spacing w:val="14"/>
          <w:position w:val="1"/>
          <w:sz w:val="20"/>
          <w:szCs w:val="20"/>
        </w:rPr>
        <w:t xml:space="preserve">al </w:t>
      </w:r>
      <w:r w:rsidR="00882564" w:rsidRPr="000C42E6">
        <w:rPr>
          <w:rFonts w:ascii="Arial" w:eastAsia="DIN Next LT Pro Condensed" w:hAnsi="Arial" w:cs="Arial"/>
          <w:position w:val="1"/>
          <w:sz w:val="20"/>
          <w:szCs w:val="20"/>
        </w:rPr>
        <w:t>31 de diciembre</w:t>
      </w:r>
      <w:r w:rsidR="00F94632" w:rsidRPr="000C42E6">
        <w:rPr>
          <w:rFonts w:ascii="Arial" w:eastAsia="DIN Next LT Pro Condensed" w:hAnsi="Arial" w:cs="Arial"/>
          <w:position w:val="1"/>
          <w:sz w:val="20"/>
          <w:szCs w:val="20"/>
        </w:rPr>
        <w:t xml:space="preserve"> de</w:t>
      </w:r>
      <w:r w:rsidR="009512B0" w:rsidRPr="000C42E6">
        <w:rPr>
          <w:rFonts w:ascii="Arial" w:eastAsia="DIN Next LT Pro Condensed" w:hAnsi="Arial" w:cs="Arial"/>
          <w:position w:val="1"/>
          <w:sz w:val="20"/>
          <w:szCs w:val="20"/>
        </w:rPr>
        <w:t xml:space="preserve"> 2025</w:t>
      </w:r>
      <w:r w:rsidRPr="000C42E6">
        <w:rPr>
          <w:rFonts w:ascii="Arial" w:eastAsia="DIN Next LT Pro Condensed" w:hAnsi="Arial" w:cs="Arial"/>
          <w:position w:val="1"/>
          <w:sz w:val="20"/>
          <w:szCs w:val="20"/>
        </w:rPr>
        <w:t xml:space="preserve"> los</w:t>
      </w:r>
      <w:r w:rsidRPr="000C42E6">
        <w:rPr>
          <w:rFonts w:ascii="Arial" w:eastAsia="DIN Next LT Pro Condensed" w:hAnsi="Arial" w:cs="Arial"/>
          <w:spacing w:val="5"/>
          <w:position w:val="1"/>
          <w:sz w:val="20"/>
          <w:szCs w:val="20"/>
        </w:rPr>
        <w:t xml:space="preserve"> </w:t>
      </w:r>
      <w:r w:rsidRPr="000C42E6">
        <w:rPr>
          <w:rFonts w:ascii="Arial" w:eastAsia="DIN Next LT Pro Condensed" w:hAnsi="Arial" w:cs="Arial"/>
          <w:position w:val="1"/>
          <w:sz w:val="20"/>
          <w:szCs w:val="20"/>
        </w:rPr>
        <w:t>siguientes</w:t>
      </w:r>
      <w:r w:rsidRPr="000C42E6">
        <w:rPr>
          <w:rFonts w:ascii="Arial" w:eastAsia="DIN Next LT Pro Condensed" w:hAnsi="Arial" w:cs="Arial"/>
          <w:spacing w:val="15"/>
          <w:position w:val="1"/>
          <w:sz w:val="20"/>
          <w:szCs w:val="20"/>
        </w:rPr>
        <w:t xml:space="preserve"> </w:t>
      </w:r>
      <w:r w:rsidRPr="000C42E6">
        <w:rPr>
          <w:rFonts w:ascii="Arial" w:eastAsia="DIN Next LT Pro Condensed" w:hAnsi="Arial" w:cs="Arial"/>
          <w:w w:val="102"/>
          <w:position w:val="1"/>
          <w:sz w:val="20"/>
          <w:szCs w:val="20"/>
        </w:rPr>
        <w:t>importes:</w:t>
      </w:r>
    </w:p>
    <w:p w14:paraId="6E649FA0" w14:textId="77777777" w:rsidR="00725D7B" w:rsidRPr="000C42E6" w:rsidRDefault="00CB7883" w:rsidP="00CB7883">
      <w:pPr>
        <w:spacing w:before="43" w:after="200" w:line="240" w:lineRule="auto"/>
        <w:ind w:right="76"/>
        <w:jc w:val="both"/>
        <w:rPr>
          <w:rFonts w:ascii="Arial" w:eastAsia="DIN Next LT Pro Condensed" w:hAnsi="Arial" w:cs="Arial"/>
          <w:w w:val="102"/>
          <w:sz w:val="20"/>
          <w:szCs w:val="20"/>
        </w:rPr>
      </w:pPr>
      <w:r w:rsidRPr="000C42E6">
        <w:rPr>
          <w:rFonts w:ascii="Arial" w:eastAsia="DIN Next LT Pro Condensed" w:hAnsi="Arial" w:cs="Arial"/>
          <w:sz w:val="20"/>
          <w:szCs w:val="20"/>
        </w:rPr>
        <w:t>Ley</w:t>
      </w:r>
      <w:r w:rsidRPr="000C42E6">
        <w:rPr>
          <w:rFonts w:ascii="Arial" w:eastAsia="DIN Next LT Pro Condensed" w:hAnsi="Arial" w:cs="Arial"/>
          <w:spacing w:val="31"/>
          <w:sz w:val="20"/>
          <w:szCs w:val="20"/>
        </w:rPr>
        <w:t xml:space="preserve"> </w:t>
      </w:r>
      <w:r w:rsidRPr="000C42E6">
        <w:rPr>
          <w:rFonts w:ascii="Arial" w:eastAsia="DIN Next LT Pro Condensed" w:hAnsi="Arial" w:cs="Arial"/>
          <w:sz w:val="20"/>
          <w:szCs w:val="20"/>
        </w:rPr>
        <w:t>de</w:t>
      </w:r>
      <w:r w:rsidRPr="000C42E6">
        <w:rPr>
          <w:rFonts w:ascii="Arial" w:eastAsia="DIN Next LT Pro Condensed" w:hAnsi="Arial" w:cs="Arial"/>
          <w:spacing w:val="30"/>
          <w:sz w:val="20"/>
          <w:szCs w:val="20"/>
        </w:rPr>
        <w:t xml:space="preserve"> </w:t>
      </w:r>
      <w:r w:rsidRPr="000C42E6">
        <w:rPr>
          <w:rFonts w:ascii="Arial" w:eastAsia="DIN Next LT Pro Condensed" w:hAnsi="Arial" w:cs="Arial"/>
          <w:sz w:val="20"/>
          <w:szCs w:val="20"/>
        </w:rPr>
        <w:t>Ingresos</w:t>
      </w:r>
      <w:r w:rsidRPr="000C42E6">
        <w:rPr>
          <w:rFonts w:ascii="Arial" w:eastAsia="DIN Next LT Pro Condensed" w:hAnsi="Arial" w:cs="Arial"/>
          <w:spacing w:val="38"/>
          <w:sz w:val="20"/>
          <w:szCs w:val="20"/>
        </w:rPr>
        <w:t xml:space="preserve"> </w:t>
      </w:r>
      <w:r w:rsidRPr="000C42E6">
        <w:rPr>
          <w:rFonts w:ascii="Arial" w:eastAsia="DIN Next LT Pro Condensed" w:hAnsi="Arial" w:cs="Arial"/>
          <w:sz w:val="20"/>
          <w:szCs w:val="20"/>
        </w:rPr>
        <w:t>Estimada,</w:t>
      </w:r>
      <w:r w:rsidRPr="000C42E6">
        <w:rPr>
          <w:rFonts w:ascii="Arial" w:eastAsia="DIN Next LT Pro Condensed" w:hAnsi="Arial" w:cs="Arial"/>
          <w:spacing w:val="40"/>
          <w:sz w:val="20"/>
          <w:szCs w:val="20"/>
        </w:rPr>
        <w:t xml:space="preserve"> </w:t>
      </w:r>
      <w:r w:rsidRPr="000C42E6">
        <w:rPr>
          <w:rFonts w:ascii="Arial" w:eastAsia="DIN Next LT Pro Condensed" w:hAnsi="Arial" w:cs="Arial"/>
          <w:sz w:val="20"/>
          <w:szCs w:val="20"/>
        </w:rPr>
        <w:t>aprobada</w:t>
      </w:r>
      <w:r w:rsidRPr="000C42E6">
        <w:rPr>
          <w:rFonts w:ascii="Arial" w:eastAsia="DIN Next LT Pro Condensed" w:hAnsi="Arial" w:cs="Arial"/>
          <w:spacing w:val="39"/>
          <w:sz w:val="20"/>
          <w:szCs w:val="20"/>
        </w:rPr>
        <w:t xml:space="preserve"> </w:t>
      </w:r>
      <w:r w:rsidRPr="000C42E6">
        <w:rPr>
          <w:rFonts w:ascii="Arial" w:eastAsia="DIN Next LT Pro Condensed" w:hAnsi="Arial" w:cs="Arial"/>
          <w:sz w:val="20"/>
          <w:szCs w:val="20"/>
        </w:rPr>
        <w:t>por</w:t>
      </w:r>
      <w:r w:rsidRPr="000C42E6">
        <w:rPr>
          <w:rFonts w:ascii="Arial" w:eastAsia="DIN Next LT Pro Condensed" w:hAnsi="Arial" w:cs="Arial"/>
          <w:spacing w:val="31"/>
          <w:sz w:val="20"/>
          <w:szCs w:val="20"/>
        </w:rPr>
        <w:t xml:space="preserve"> </w:t>
      </w:r>
      <w:r w:rsidRPr="000C42E6">
        <w:rPr>
          <w:rFonts w:ascii="Arial" w:eastAsia="DIN Next LT Pro Condensed" w:hAnsi="Arial" w:cs="Arial"/>
          <w:sz w:val="20"/>
          <w:szCs w:val="20"/>
        </w:rPr>
        <w:t>el</w:t>
      </w:r>
      <w:r w:rsidRPr="000C42E6">
        <w:rPr>
          <w:rFonts w:ascii="Arial" w:eastAsia="DIN Next LT Pro Condensed" w:hAnsi="Arial" w:cs="Arial"/>
          <w:spacing w:val="29"/>
          <w:sz w:val="20"/>
          <w:szCs w:val="20"/>
        </w:rPr>
        <w:t xml:space="preserve"> </w:t>
      </w:r>
      <w:r w:rsidRPr="000C42E6">
        <w:rPr>
          <w:rFonts w:ascii="Arial" w:eastAsia="DIN Next LT Pro Condensed" w:hAnsi="Arial" w:cs="Arial"/>
          <w:sz w:val="20"/>
          <w:szCs w:val="20"/>
        </w:rPr>
        <w:t>Honorable Congreso</w:t>
      </w:r>
      <w:r w:rsidRPr="000C42E6">
        <w:rPr>
          <w:rFonts w:ascii="Arial" w:eastAsia="DIN Next LT Pro Condensed" w:hAnsi="Arial" w:cs="Arial"/>
          <w:spacing w:val="39"/>
          <w:sz w:val="20"/>
          <w:szCs w:val="20"/>
        </w:rPr>
        <w:t xml:space="preserve"> </w:t>
      </w:r>
      <w:r w:rsidRPr="000C42E6">
        <w:rPr>
          <w:rFonts w:ascii="Arial" w:eastAsia="DIN Next LT Pro Condensed" w:hAnsi="Arial" w:cs="Arial"/>
          <w:sz w:val="20"/>
          <w:szCs w:val="20"/>
        </w:rPr>
        <w:t>del</w:t>
      </w:r>
      <w:r w:rsidRPr="000C42E6">
        <w:rPr>
          <w:rFonts w:ascii="Arial" w:eastAsia="DIN Next LT Pro Condensed" w:hAnsi="Arial" w:cs="Arial"/>
          <w:spacing w:val="31"/>
          <w:sz w:val="20"/>
          <w:szCs w:val="20"/>
        </w:rPr>
        <w:t xml:space="preserve"> </w:t>
      </w:r>
      <w:r w:rsidRPr="000C42E6">
        <w:rPr>
          <w:rFonts w:ascii="Arial" w:eastAsia="DIN Next LT Pro Condensed" w:hAnsi="Arial" w:cs="Arial"/>
          <w:sz w:val="20"/>
          <w:szCs w:val="20"/>
        </w:rPr>
        <w:t>Estado, integrada</w:t>
      </w:r>
      <w:r w:rsidRPr="000C42E6">
        <w:rPr>
          <w:rFonts w:ascii="Arial" w:eastAsia="DIN Next LT Pro Condensed" w:hAnsi="Arial" w:cs="Arial"/>
          <w:spacing w:val="30"/>
          <w:sz w:val="20"/>
          <w:szCs w:val="20"/>
        </w:rPr>
        <w:t xml:space="preserve"> </w:t>
      </w:r>
      <w:r w:rsidRPr="000C42E6">
        <w:rPr>
          <w:rFonts w:ascii="Arial" w:eastAsia="DIN Next LT Pro Condensed" w:hAnsi="Arial" w:cs="Arial"/>
          <w:sz w:val="20"/>
          <w:szCs w:val="20"/>
        </w:rPr>
        <w:t>con</w:t>
      </w:r>
      <w:r w:rsidRPr="000C42E6">
        <w:rPr>
          <w:rFonts w:ascii="Arial" w:eastAsia="DIN Next LT Pro Condensed" w:hAnsi="Arial" w:cs="Arial"/>
          <w:spacing w:val="32"/>
          <w:sz w:val="20"/>
          <w:szCs w:val="20"/>
        </w:rPr>
        <w:t xml:space="preserve"> </w:t>
      </w:r>
      <w:r w:rsidRPr="000C42E6">
        <w:rPr>
          <w:rFonts w:ascii="Arial" w:eastAsia="DIN Next LT Pro Condensed" w:hAnsi="Arial" w:cs="Arial"/>
          <w:sz w:val="20"/>
          <w:szCs w:val="20"/>
        </w:rPr>
        <w:t>Fuentes</w:t>
      </w:r>
      <w:r w:rsidRPr="000C42E6">
        <w:rPr>
          <w:rFonts w:ascii="Arial" w:eastAsia="DIN Next LT Pro Condensed" w:hAnsi="Arial" w:cs="Arial"/>
          <w:spacing w:val="37"/>
          <w:sz w:val="20"/>
          <w:szCs w:val="20"/>
        </w:rPr>
        <w:t xml:space="preserve"> </w:t>
      </w:r>
      <w:r w:rsidRPr="000C42E6">
        <w:rPr>
          <w:rFonts w:ascii="Arial" w:eastAsia="DIN Next LT Pro Condensed" w:hAnsi="Arial" w:cs="Arial"/>
          <w:sz w:val="20"/>
          <w:szCs w:val="20"/>
        </w:rPr>
        <w:t>de</w:t>
      </w:r>
      <w:r w:rsidRPr="000C42E6">
        <w:rPr>
          <w:rFonts w:ascii="Arial" w:eastAsia="DIN Next LT Pro Condensed" w:hAnsi="Arial" w:cs="Arial"/>
          <w:spacing w:val="30"/>
          <w:sz w:val="20"/>
          <w:szCs w:val="20"/>
        </w:rPr>
        <w:t xml:space="preserve"> </w:t>
      </w:r>
      <w:r w:rsidRPr="000C42E6">
        <w:rPr>
          <w:rFonts w:ascii="Arial" w:eastAsia="DIN Next LT Pro Condensed" w:hAnsi="Arial" w:cs="Arial"/>
          <w:w w:val="102"/>
          <w:sz w:val="20"/>
          <w:szCs w:val="20"/>
        </w:rPr>
        <w:t xml:space="preserve">Ingresos </w:t>
      </w:r>
      <w:r w:rsidRPr="000C42E6">
        <w:rPr>
          <w:rFonts w:ascii="Arial" w:eastAsia="DIN Next LT Pro Condensed" w:hAnsi="Arial" w:cs="Arial"/>
          <w:sz w:val="20"/>
          <w:szCs w:val="20"/>
        </w:rPr>
        <w:t>Federales</w:t>
      </w:r>
      <w:r w:rsidRPr="000C42E6">
        <w:rPr>
          <w:rFonts w:ascii="Arial" w:eastAsia="DIN Next LT Pro Condensed" w:hAnsi="Arial" w:cs="Arial"/>
          <w:spacing w:val="13"/>
          <w:sz w:val="20"/>
          <w:szCs w:val="20"/>
        </w:rPr>
        <w:t xml:space="preserve"> </w:t>
      </w:r>
      <w:r w:rsidRPr="000C42E6">
        <w:rPr>
          <w:rFonts w:ascii="Arial" w:eastAsia="DIN Next LT Pro Condensed" w:hAnsi="Arial" w:cs="Arial"/>
          <w:sz w:val="20"/>
          <w:szCs w:val="20"/>
        </w:rPr>
        <w:t>y Estatales,</w:t>
      </w:r>
      <w:r w:rsidRPr="000C42E6">
        <w:rPr>
          <w:rFonts w:ascii="Arial" w:eastAsia="DIN Next LT Pro Condensed" w:hAnsi="Arial" w:cs="Arial"/>
          <w:spacing w:val="11"/>
          <w:sz w:val="20"/>
          <w:szCs w:val="20"/>
        </w:rPr>
        <w:t xml:space="preserve"> </w:t>
      </w:r>
      <w:r w:rsidRPr="000C42E6">
        <w:rPr>
          <w:rFonts w:ascii="Arial" w:eastAsia="DIN Next LT Pro Condensed" w:hAnsi="Arial" w:cs="Arial"/>
          <w:sz w:val="20"/>
          <w:szCs w:val="20"/>
        </w:rPr>
        <w:t>mismos</w:t>
      </w:r>
      <w:r w:rsidRPr="000C42E6">
        <w:rPr>
          <w:rFonts w:ascii="Arial" w:eastAsia="DIN Next LT Pro Condensed" w:hAnsi="Arial" w:cs="Arial"/>
          <w:spacing w:val="9"/>
          <w:sz w:val="20"/>
          <w:szCs w:val="20"/>
        </w:rPr>
        <w:t xml:space="preserve"> </w:t>
      </w:r>
      <w:r w:rsidRPr="000C42E6">
        <w:rPr>
          <w:rFonts w:ascii="Arial" w:eastAsia="DIN Next LT Pro Condensed" w:hAnsi="Arial" w:cs="Arial"/>
          <w:sz w:val="20"/>
          <w:szCs w:val="20"/>
        </w:rPr>
        <w:t>que</w:t>
      </w:r>
      <w:r w:rsidRPr="000C42E6">
        <w:rPr>
          <w:rFonts w:ascii="Arial" w:eastAsia="DIN Next LT Pro Condensed" w:hAnsi="Arial" w:cs="Arial"/>
          <w:spacing w:val="3"/>
          <w:sz w:val="20"/>
          <w:szCs w:val="20"/>
        </w:rPr>
        <w:t xml:space="preserve"> </w:t>
      </w:r>
      <w:r w:rsidRPr="000C42E6">
        <w:rPr>
          <w:rFonts w:ascii="Arial" w:eastAsia="DIN Next LT Pro Condensed" w:hAnsi="Arial" w:cs="Arial"/>
          <w:sz w:val="20"/>
          <w:szCs w:val="20"/>
        </w:rPr>
        <w:t>sirven</w:t>
      </w:r>
      <w:r w:rsidRPr="000C42E6">
        <w:rPr>
          <w:rFonts w:ascii="Arial" w:eastAsia="DIN Next LT Pro Condensed" w:hAnsi="Arial" w:cs="Arial"/>
          <w:spacing w:val="7"/>
          <w:sz w:val="20"/>
          <w:szCs w:val="20"/>
        </w:rPr>
        <w:t xml:space="preserve"> </w:t>
      </w:r>
      <w:r w:rsidRPr="000C42E6">
        <w:rPr>
          <w:rFonts w:ascii="Arial" w:eastAsia="DIN Next LT Pro Condensed" w:hAnsi="Arial" w:cs="Arial"/>
          <w:sz w:val="20"/>
          <w:szCs w:val="20"/>
        </w:rPr>
        <w:t>de</w:t>
      </w:r>
      <w:r w:rsidRPr="000C42E6">
        <w:rPr>
          <w:rFonts w:ascii="Arial" w:eastAsia="DIN Next LT Pro Condensed" w:hAnsi="Arial" w:cs="Arial"/>
          <w:spacing w:val="2"/>
          <w:sz w:val="20"/>
          <w:szCs w:val="20"/>
        </w:rPr>
        <w:t xml:space="preserve"> </w:t>
      </w:r>
      <w:r w:rsidRPr="000C42E6">
        <w:rPr>
          <w:rFonts w:ascii="Arial" w:eastAsia="DIN Next LT Pro Condensed" w:hAnsi="Arial" w:cs="Arial"/>
          <w:sz w:val="20"/>
          <w:szCs w:val="20"/>
        </w:rPr>
        <w:t>sustento</w:t>
      </w:r>
      <w:r w:rsidRPr="000C42E6">
        <w:rPr>
          <w:rFonts w:ascii="Arial" w:eastAsia="DIN Next LT Pro Condensed" w:hAnsi="Arial" w:cs="Arial"/>
          <w:spacing w:val="10"/>
          <w:sz w:val="20"/>
          <w:szCs w:val="20"/>
        </w:rPr>
        <w:t xml:space="preserve"> </w:t>
      </w:r>
      <w:r w:rsidRPr="000C42E6">
        <w:rPr>
          <w:rFonts w:ascii="Arial" w:eastAsia="DIN Next LT Pro Condensed" w:hAnsi="Arial" w:cs="Arial"/>
          <w:sz w:val="20"/>
          <w:szCs w:val="20"/>
        </w:rPr>
        <w:t>para</w:t>
      </w:r>
      <w:r w:rsidRPr="000C42E6">
        <w:rPr>
          <w:rFonts w:ascii="Arial" w:eastAsia="DIN Next LT Pro Condensed" w:hAnsi="Arial" w:cs="Arial"/>
          <w:spacing w:val="4"/>
          <w:sz w:val="20"/>
          <w:szCs w:val="20"/>
        </w:rPr>
        <w:t xml:space="preserve"> </w:t>
      </w:r>
      <w:r w:rsidRPr="000C42E6">
        <w:rPr>
          <w:rFonts w:ascii="Arial" w:eastAsia="DIN Next LT Pro Condensed" w:hAnsi="Arial" w:cs="Arial"/>
          <w:sz w:val="20"/>
          <w:szCs w:val="20"/>
        </w:rPr>
        <w:t>el</w:t>
      </w:r>
      <w:r w:rsidRPr="000C42E6">
        <w:rPr>
          <w:rFonts w:ascii="Arial" w:eastAsia="DIN Next LT Pro Condensed" w:hAnsi="Arial" w:cs="Arial"/>
          <w:spacing w:val="1"/>
          <w:sz w:val="20"/>
          <w:szCs w:val="20"/>
        </w:rPr>
        <w:t xml:space="preserve"> </w:t>
      </w:r>
      <w:r w:rsidRPr="000C42E6">
        <w:rPr>
          <w:rFonts w:ascii="Arial" w:eastAsia="DIN Next LT Pro Condensed" w:hAnsi="Arial" w:cs="Arial"/>
          <w:sz w:val="20"/>
          <w:szCs w:val="20"/>
        </w:rPr>
        <w:t>Presupuesto</w:t>
      </w:r>
      <w:r w:rsidRPr="000C42E6">
        <w:rPr>
          <w:rFonts w:ascii="Arial" w:eastAsia="DIN Next LT Pro Condensed" w:hAnsi="Arial" w:cs="Arial"/>
          <w:spacing w:val="15"/>
          <w:sz w:val="20"/>
          <w:szCs w:val="20"/>
        </w:rPr>
        <w:t xml:space="preserve"> </w:t>
      </w:r>
      <w:r w:rsidRPr="000C42E6">
        <w:rPr>
          <w:rFonts w:ascii="Arial" w:eastAsia="DIN Next LT Pro Condensed" w:hAnsi="Arial" w:cs="Arial"/>
          <w:sz w:val="20"/>
          <w:szCs w:val="20"/>
        </w:rPr>
        <w:t>General</w:t>
      </w:r>
      <w:r w:rsidRPr="000C42E6">
        <w:rPr>
          <w:rFonts w:ascii="Arial" w:eastAsia="DIN Next LT Pro Condensed" w:hAnsi="Arial" w:cs="Arial"/>
          <w:spacing w:val="9"/>
          <w:sz w:val="20"/>
          <w:szCs w:val="20"/>
        </w:rPr>
        <w:t xml:space="preserve"> </w:t>
      </w:r>
      <w:r w:rsidRPr="000C42E6">
        <w:rPr>
          <w:rFonts w:ascii="Arial" w:eastAsia="DIN Next LT Pro Condensed" w:hAnsi="Arial" w:cs="Arial"/>
          <w:sz w:val="20"/>
          <w:szCs w:val="20"/>
        </w:rPr>
        <w:t>de</w:t>
      </w:r>
      <w:r w:rsidRPr="000C42E6">
        <w:rPr>
          <w:rFonts w:ascii="Arial" w:eastAsia="DIN Next LT Pro Condensed" w:hAnsi="Arial" w:cs="Arial"/>
          <w:spacing w:val="2"/>
          <w:sz w:val="20"/>
          <w:szCs w:val="20"/>
        </w:rPr>
        <w:t xml:space="preserve"> </w:t>
      </w:r>
      <w:r w:rsidRPr="000C42E6">
        <w:rPr>
          <w:rFonts w:ascii="Arial" w:eastAsia="DIN Next LT Pro Condensed" w:hAnsi="Arial" w:cs="Arial"/>
          <w:sz w:val="20"/>
          <w:szCs w:val="20"/>
        </w:rPr>
        <w:t>Egresos</w:t>
      </w:r>
      <w:r w:rsidRPr="000C42E6">
        <w:rPr>
          <w:rFonts w:ascii="Arial" w:eastAsia="DIN Next LT Pro Condensed" w:hAnsi="Arial" w:cs="Arial"/>
          <w:spacing w:val="9"/>
          <w:sz w:val="20"/>
          <w:szCs w:val="20"/>
        </w:rPr>
        <w:t xml:space="preserve"> </w:t>
      </w:r>
      <w:r w:rsidRPr="000C42E6">
        <w:rPr>
          <w:rFonts w:ascii="Arial" w:eastAsia="DIN Next LT Pro Condensed" w:hAnsi="Arial" w:cs="Arial"/>
          <w:sz w:val="20"/>
          <w:szCs w:val="20"/>
        </w:rPr>
        <w:t>del</w:t>
      </w:r>
      <w:r w:rsidRPr="000C42E6">
        <w:rPr>
          <w:rFonts w:ascii="Arial" w:eastAsia="DIN Next LT Pro Condensed" w:hAnsi="Arial" w:cs="Arial"/>
          <w:spacing w:val="3"/>
          <w:sz w:val="20"/>
          <w:szCs w:val="20"/>
        </w:rPr>
        <w:t xml:space="preserve"> </w:t>
      </w:r>
      <w:r w:rsidRPr="000C42E6">
        <w:rPr>
          <w:rFonts w:ascii="Arial" w:eastAsia="DIN Next LT Pro Condensed" w:hAnsi="Arial" w:cs="Arial"/>
          <w:sz w:val="20"/>
          <w:szCs w:val="20"/>
        </w:rPr>
        <w:t>Ejercicio</w:t>
      </w:r>
      <w:r w:rsidRPr="000C42E6">
        <w:rPr>
          <w:rFonts w:ascii="Arial" w:eastAsia="DIN Next LT Pro Condensed" w:hAnsi="Arial" w:cs="Arial"/>
          <w:spacing w:val="10"/>
          <w:sz w:val="20"/>
          <w:szCs w:val="20"/>
        </w:rPr>
        <w:t xml:space="preserve"> </w:t>
      </w:r>
      <w:r w:rsidRPr="000C42E6">
        <w:rPr>
          <w:rFonts w:ascii="Arial" w:eastAsia="DIN Next LT Pro Condensed" w:hAnsi="Arial" w:cs="Arial"/>
          <w:sz w:val="20"/>
          <w:szCs w:val="20"/>
        </w:rPr>
        <w:t>Fiscal</w:t>
      </w:r>
      <w:r w:rsidRPr="000C42E6">
        <w:rPr>
          <w:rFonts w:ascii="Arial" w:eastAsia="DIN Next LT Pro Condensed" w:hAnsi="Arial" w:cs="Arial"/>
          <w:spacing w:val="6"/>
          <w:sz w:val="20"/>
          <w:szCs w:val="20"/>
        </w:rPr>
        <w:t xml:space="preserve"> </w:t>
      </w:r>
      <w:r w:rsidR="007E267E" w:rsidRPr="000C42E6">
        <w:rPr>
          <w:rFonts w:ascii="Arial" w:eastAsia="DIN Next LT Pro Condensed" w:hAnsi="Arial" w:cs="Arial"/>
          <w:sz w:val="20"/>
          <w:szCs w:val="20"/>
        </w:rPr>
        <w:t>2025</w:t>
      </w:r>
      <w:r w:rsidRPr="000C42E6">
        <w:rPr>
          <w:rFonts w:ascii="Arial" w:eastAsia="DIN Next LT Pro Condensed" w:hAnsi="Arial" w:cs="Arial"/>
          <w:sz w:val="20"/>
          <w:szCs w:val="20"/>
        </w:rPr>
        <w:t>,</w:t>
      </w:r>
      <w:r w:rsidRPr="000C42E6">
        <w:rPr>
          <w:rFonts w:ascii="Arial" w:eastAsia="DIN Next LT Pro Condensed" w:hAnsi="Arial" w:cs="Arial"/>
          <w:spacing w:val="6"/>
          <w:sz w:val="20"/>
          <w:szCs w:val="20"/>
        </w:rPr>
        <w:t xml:space="preserve"> </w:t>
      </w:r>
      <w:r w:rsidRPr="000C42E6">
        <w:rPr>
          <w:rFonts w:ascii="Arial" w:eastAsia="DIN Next LT Pro Condensed" w:hAnsi="Arial" w:cs="Arial"/>
          <w:sz w:val="20"/>
          <w:szCs w:val="20"/>
        </w:rPr>
        <w:t>los</w:t>
      </w:r>
      <w:r w:rsidRPr="000C42E6">
        <w:rPr>
          <w:rFonts w:ascii="Arial" w:eastAsia="DIN Next LT Pro Condensed" w:hAnsi="Arial" w:cs="Arial"/>
          <w:spacing w:val="2"/>
          <w:sz w:val="20"/>
          <w:szCs w:val="20"/>
        </w:rPr>
        <w:t xml:space="preserve"> </w:t>
      </w:r>
      <w:r w:rsidRPr="000C42E6">
        <w:rPr>
          <w:rFonts w:ascii="Arial" w:eastAsia="DIN Next LT Pro Condensed" w:hAnsi="Arial" w:cs="Arial"/>
          <w:sz w:val="20"/>
          <w:szCs w:val="20"/>
        </w:rPr>
        <w:t>cuales</w:t>
      </w:r>
      <w:r w:rsidRPr="000C42E6">
        <w:rPr>
          <w:rFonts w:ascii="Arial" w:eastAsia="DIN Next LT Pro Condensed" w:hAnsi="Arial" w:cs="Arial"/>
          <w:spacing w:val="7"/>
          <w:sz w:val="20"/>
          <w:szCs w:val="20"/>
        </w:rPr>
        <w:t xml:space="preserve"> </w:t>
      </w:r>
      <w:r w:rsidRPr="000C42E6">
        <w:rPr>
          <w:rFonts w:ascii="Arial" w:eastAsia="DIN Next LT Pro Condensed" w:hAnsi="Arial" w:cs="Arial"/>
          <w:sz w:val="20"/>
          <w:szCs w:val="20"/>
        </w:rPr>
        <w:t>de</w:t>
      </w:r>
      <w:r w:rsidRPr="000C42E6">
        <w:rPr>
          <w:rFonts w:ascii="Arial" w:eastAsia="DIN Next LT Pro Condensed" w:hAnsi="Arial" w:cs="Arial"/>
          <w:spacing w:val="2"/>
          <w:sz w:val="20"/>
          <w:szCs w:val="20"/>
        </w:rPr>
        <w:t xml:space="preserve"> </w:t>
      </w:r>
      <w:r w:rsidRPr="000C42E6">
        <w:rPr>
          <w:rFonts w:ascii="Arial" w:eastAsia="DIN Next LT Pro Condensed" w:hAnsi="Arial" w:cs="Arial"/>
          <w:sz w:val="20"/>
          <w:szCs w:val="20"/>
        </w:rPr>
        <w:t>acuerdo</w:t>
      </w:r>
      <w:r w:rsidRPr="000C42E6">
        <w:rPr>
          <w:rFonts w:ascii="Arial" w:eastAsia="DIN Next LT Pro Condensed" w:hAnsi="Arial" w:cs="Arial"/>
          <w:spacing w:val="9"/>
          <w:sz w:val="20"/>
          <w:szCs w:val="20"/>
        </w:rPr>
        <w:t xml:space="preserve"> </w:t>
      </w:r>
      <w:r w:rsidRPr="000C42E6">
        <w:rPr>
          <w:rFonts w:ascii="Arial" w:eastAsia="DIN Next LT Pro Condensed" w:hAnsi="Arial" w:cs="Arial"/>
          <w:sz w:val="20"/>
          <w:szCs w:val="20"/>
        </w:rPr>
        <w:t>al</w:t>
      </w:r>
      <w:r w:rsidRPr="000C42E6">
        <w:rPr>
          <w:rFonts w:ascii="Arial" w:eastAsia="DIN Next LT Pro Condensed" w:hAnsi="Arial" w:cs="Arial"/>
          <w:spacing w:val="1"/>
          <w:sz w:val="20"/>
          <w:szCs w:val="20"/>
        </w:rPr>
        <w:t xml:space="preserve"> </w:t>
      </w:r>
      <w:r w:rsidRPr="000C42E6">
        <w:rPr>
          <w:rFonts w:ascii="Arial" w:eastAsia="DIN Next LT Pro Condensed" w:hAnsi="Arial" w:cs="Arial"/>
          <w:sz w:val="20"/>
          <w:szCs w:val="20"/>
        </w:rPr>
        <w:t>proceso</w:t>
      </w:r>
      <w:r w:rsidRPr="000C42E6">
        <w:rPr>
          <w:rFonts w:ascii="Arial" w:eastAsia="DIN Next LT Pro Condensed" w:hAnsi="Arial" w:cs="Arial"/>
          <w:spacing w:val="9"/>
          <w:sz w:val="20"/>
          <w:szCs w:val="20"/>
        </w:rPr>
        <w:t xml:space="preserve"> </w:t>
      </w:r>
      <w:r w:rsidRPr="000C42E6">
        <w:rPr>
          <w:rFonts w:ascii="Arial" w:eastAsia="DIN Next LT Pro Condensed" w:hAnsi="Arial" w:cs="Arial"/>
          <w:sz w:val="20"/>
          <w:szCs w:val="20"/>
        </w:rPr>
        <w:t>del</w:t>
      </w:r>
      <w:r w:rsidRPr="000C42E6">
        <w:rPr>
          <w:rFonts w:ascii="Arial" w:eastAsia="DIN Next LT Pro Condensed" w:hAnsi="Arial" w:cs="Arial"/>
          <w:spacing w:val="3"/>
          <w:sz w:val="20"/>
          <w:szCs w:val="20"/>
        </w:rPr>
        <w:t xml:space="preserve"> </w:t>
      </w:r>
      <w:r w:rsidRPr="000C42E6">
        <w:rPr>
          <w:rFonts w:ascii="Arial" w:eastAsia="DIN Next LT Pro Condensed" w:hAnsi="Arial" w:cs="Arial"/>
          <w:sz w:val="20"/>
          <w:szCs w:val="20"/>
        </w:rPr>
        <w:t>Ejercicio</w:t>
      </w:r>
      <w:r w:rsidRPr="000C42E6">
        <w:rPr>
          <w:rFonts w:ascii="Arial" w:eastAsia="DIN Next LT Pro Condensed" w:hAnsi="Arial" w:cs="Arial"/>
          <w:spacing w:val="10"/>
          <w:sz w:val="20"/>
          <w:szCs w:val="20"/>
        </w:rPr>
        <w:t xml:space="preserve"> </w:t>
      </w:r>
      <w:r w:rsidRPr="000C42E6">
        <w:rPr>
          <w:rFonts w:ascii="Arial" w:eastAsia="DIN Next LT Pro Condensed" w:hAnsi="Arial" w:cs="Arial"/>
          <w:sz w:val="20"/>
          <w:szCs w:val="20"/>
        </w:rPr>
        <w:t>del</w:t>
      </w:r>
      <w:r w:rsidRPr="000C42E6">
        <w:rPr>
          <w:rFonts w:ascii="Arial" w:eastAsia="DIN Next LT Pro Condensed" w:hAnsi="Arial" w:cs="Arial"/>
          <w:spacing w:val="3"/>
          <w:sz w:val="20"/>
          <w:szCs w:val="20"/>
        </w:rPr>
        <w:t xml:space="preserve"> </w:t>
      </w:r>
      <w:r w:rsidRPr="000C42E6">
        <w:rPr>
          <w:rFonts w:ascii="Arial" w:eastAsia="DIN Next LT Pro Condensed" w:hAnsi="Arial" w:cs="Arial"/>
          <w:sz w:val="20"/>
          <w:szCs w:val="20"/>
        </w:rPr>
        <w:t>Gasto</w:t>
      </w:r>
      <w:r w:rsidRPr="000C42E6">
        <w:rPr>
          <w:rFonts w:ascii="Arial" w:eastAsia="DIN Next LT Pro Condensed" w:hAnsi="Arial" w:cs="Arial"/>
          <w:spacing w:val="6"/>
          <w:sz w:val="20"/>
          <w:szCs w:val="20"/>
        </w:rPr>
        <w:t xml:space="preserve"> </w:t>
      </w:r>
      <w:r w:rsidRPr="000C42E6">
        <w:rPr>
          <w:rFonts w:ascii="Arial" w:eastAsia="DIN Next LT Pro Condensed" w:hAnsi="Arial" w:cs="Arial"/>
          <w:sz w:val="20"/>
          <w:szCs w:val="20"/>
        </w:rPr>
        <w:t>Público</w:t>
      </w:r>
      <w:r w:rsidRPr="000C42E6">
        <w:rPr>
          <w:rFonts w:ascii="Arial" w:eastAsia="DIN Next LT Pro Condensed" w:hAnsi="Arial" w:cs="Arial"/>
          <w:spacing w:val="8"/>
          <w:sz w:val="20"/>
          <w:szCs w:val="20"/>
        </w:rPr>
        <w:t xml:space="preserve"> </w:t>
      </w:r>
      <w:r w:rsidRPr="000C42E6">
        <w:rPr>
          <w:rFonts w:ascii="Arial" w:eastAsia="DIN Next LT Pro Condensed" w:hAnsi="Arial" w:cs="Arial"/>
          <w:w w:val="102"/>
          <w:sz w:val="20"/>
          <w:szCs w:val="20"/>
        </w:rPr>
        <w:t xml:space="preserve">fueron </w:t>
      </w:r>
      <w:r w:rsidRPr="000C42E6">
        <w:rPr>
          <w:rFonts w:ascii="Arial" w:eastAsia="DIN Next LT Pro Condensed" w:hAnsi="Arial" w:cs="Arial"/>
          <w:sz w:val="20"/>
          <w:szCs w:val="20"/>
        </w:rPr>
        <w:t>Comprometidos</w:t>
      </w:r>
      <w:r w:rsidRPr="000C42E6">
        <w:rPr>
          <w:rFonts w:ascii="Arial" w:eastAsia="DIN Next LT Pro Condensed" w:hAnsi="Arial" w:cs="Arial"/>
          <w:spacing w:val="22"/>
          <w:sz w:val="20"/>
          <w:szCs w:val="20"/>
        </w:rPr>
        <w:t xml:space="preserve"> </w:t>
      </w:r>
      <w:r w:rsidRPr="000C42E6">
        <w:rPr>
          <w:rFonts w:ascii="Arial" w:eastAsia="DIN Next LT Pro Condensed" w:hAnsi="Arial" w:cs="Arial"/>
          <w:sz w:val="20"/>
          <w:szCs w:val="20"/>
        </w:rPr>
        <w:t>y Devengados</w:t>
      </w:r>
      <w:r w:rsidRPr="000C42E6">
        <w:rPr>
          <w:rFonts w:ascii="Arial" w:eastAsia="DIN Next LT Pro Condensed" w:hAnsi="Arial" w:cs="Arial"/>
          <w:spacing w:val="17"/>
          <w:sz w:val="20"/>
          <w:szCs w:val="20"/>
        </w:rPr>
        <w:t xml:space="preserve"> </w:t>
      </w:r>
      <w:r w:rsidRPr="000C42E6">
        <w:rPr>
          <w:rFonts w:ascii="Arial" w:eastAsia="DIN Next LT Pro Condensed" w:hAnsi="Arial" w:cs="Arial"/>
          <w:sz w:val="20"/>
          <w:szCs w:val="20"/>
        </w:rPr>
        <w:t>sobre</w:t>
      </w:r>
      <w:r w:rsidRPr="000C42E6">
        <w:rPr>
          <w:rFonts w:ascii="Arial" w:eastAsia="DIN Next LT Pro Condensed" w:hAnsi="Arial" w:cs="Arial"/>
          <w:spacing w:val="8"/>
          <w:sz w:val="20"/>
          <w:szCs w:val="20"/>
        </w:rPr>
        <w:t xml:space="preserve"> </w:t>
      </w:r>
      <w:r w:rsidR="002A7BDB" w:rsidRPr="000C42E6">
        <w:rPr>
          <w:rFonts w:ascii="Arial" w:eastAsia="DIN Next LT Pro Condensed" w:hAnsi="Arial" w:cs="Arial"/>
          <w:sz w:val="20"/>
          <w:szCs w:val="20"/>
        </w:rPr>
        <w:t>la</w:t>
      </w:r>
      <w:r w:rsidRPr="000C42E6">
        <w:rPr>
          <w:rFonts w:ascii="Arial" w:eastAsia="DIN Next LT Pro Condensed" w:hAnsi="Arial" w:cs="Arial"/>
          <w:spacing w:val="4"/>
          <w:sz w:val="20"/>
          <w:szCs w:val="20"/>
        </w:rPr>
        <w:t xml:space="preserve"> </w:t>
      </w:r>
      <w:r w:rsidRPr="000C42E6">
        <w:rPr>
          <w:rFonts w:ascii="Arial" w:eastAsia="DIN Next LT Pro Condensed" w:hAnsi="Arial" w:cs="Arial"/>
          <w:sz w:val="20"/>
          <w:szCs w:val="20"/>
        </w:rPr>
        <w:t>base</w:t>
      </w:r>
      <w:r w:rsidRPr="000C42E6">
        <w:rPr>
          <w:rFonts w:ascii="Arial" w:eastAsia="DIN Next LT Pro Condensed" w:hAnsi="Arial" w:cs="Arial"/>
          <w:spacing w:val="7"/>
          <w:sz w:val="20"/>
          <w:szCs w:val="20"/>
        </w:rPr>
        <w:t xml:space="preserve"> </w:t>
      </w:r>
      <w:r w:rsidR="002A7BDB" w:rsidRPr="000C42E6">
        <w:rPr>
          <w:rFonts w:ascii="Arial" w:eastAsia="DIN Next LT Pro Condensed" w:hAnsi="Arial" w:cs="Arial"/>
          <w:sz w:val="20"/>
          <w:szCs w:val="20"/>
        </w:rPr>
        <w:t>del</w:t>
      </w:r>
      <w:r w:rsidRPr="000C42E6">
        <w:rPr>
          <w:rFonts w:ascii="Arial" w:eastAsia="DIN Next LT Pro Condensed" w:hAnsi="Arial" w:cs="Arial"/>
          <w:spacing w:val="6"/>
          <w:sz w:val="20"/>
          <w:szCs w:val="20"/>
        </w:rPr>
        <w:t xml:space="preserve"> </w:t>
      </w:r>
      <w:r w:rsidRPr="000C42E6">
        <w:rPr>
          <w:rFonts w:ascii="Arial" w:eastAsia="DIN Next LT Pro Condensed" w:hAnsi="Arial" w:cs="Arial"/>
          <w:sz w:val="20"/>
          <w:szCs w:val="20"/>
        </w:rPr>
        <w:t>Presupuesto</w:t>
      </w:r>
      <w:r w:rsidRPr="000C42E6">
        <w:rPr>
          <w:rFonts w:ascii="Arial" w:eastAsia="DIN Next LT Pro Condensed" w:hAnsi="Arial" w:cs="Arial"/>
          <w:spacing w:val="17"/>
          <w:sz w:val="20"/>
          <w:szCs w:val="20"/>
        </w:rPr>
        <w:t xml:space="preserve"> </w:t>
      </w:r>
      <w:r w:rsidRPr="000C42E6">
        <w:rPr>
          <w:rFonts w:ascii="Arial" w:eastAsia="DIN Next LT Pro Condensed" w:hAnsi="Arial" w:cs="Arial"/>
          <w:w w:val="102"/>
          <w:sz w:val="20"/>
          <w:szCs w:val="20"/>
        </w:rPr>
        <w:t>Aprobado.</w:t>
      </w:r>
    </w:p>
    <w:tbl>
      <w:tblPr>
        <w:tblW w:w="11520" w:type="dxa"/>
        <w:jc w:val="center"/>
        <w:tblCellMar>
          <w:left w:w="70" w:type="dxa"/>
          <w:right w:w="70" w:type="dxa"/>
        </w:tblCellMar>
        <w:tblLook w:val="04A0" w:firstRow="1" w:lastRow="0" w:firstColumn="1" w:lastColumn="0" w:noHBand="0" w:noVBand="1"/>
      </w:tblPr>
      <w:tblGrid>
        <w:gridCol w:w="880"/>
        <w:gridCol w:w="4200"/>
        <w:gridCol w:w="1680"/>
        <w:gridCol w:w="1660"/>
        <w:gridCol w:w="1560"/>
        <w:gridCol w:w="1540"/>
      </w:tblGrid>
      <w:tr w:rsidR="00404C7D" w:rsidRPr="00111847" w14:paraId="6B40CF36" w14:textId="77777777" w:rsidTr="00151AEB">
        <w:trPr>
          <w:trHeight w:val="300"/>
          <w:jc w:val="center"/>
        </w:trPr>
        <w:tc>
          <w:tcPr>
            <w:tcW w:w="8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5F4AFE1" w14:textId="77777777" w:rsidR="00404C7D" w:rsidRPr="00111847" w:rsidRDefault="00404C7D" w:rsidP="00B37BEB">
            <w:pPr>
              <w:spacing w:after="0" w:line="240" w:lineRule="auto"/>
              <w:jc w:val="center"/>
              <w:rPr>
                <w:rFonts w:ascii="Arial" w:eastAsia="Times New Roman" w:hAnsi="Arial" w:cs="Arial"/>
                <w:b/>
                <w:bCs/>
                <w:color w:val="000000"/>
                <w:sz w:val="20"/>
                <w:szCs w:val="20"/>
                <w:lang w:eastAsia="es-MX"/>
              </w:rPr>
            </w:pPr>
            <w:r w:rsidRPr="00111847">
              <w:rPr>
                <w:rFonts w:ascii="Arial" w:eastAsia="Times New Roman" w:hAnsi="Arial" w:cs="Arial"/>
                <w:b/>
                <w:bCs/>
                <w:color w:val="000000"/>
                <w:sz w:val="20"/>
                <w:szCs w:val="20"/>
                <w:lang w:eastAsia="es-MX"/>
              </w:rPr>
              <w:t>Cuenta</w:t>
            </w:r>
          </w:p>
        </w:tc>
        <w:tc>
          <w:tcPr>
            <w:tcW w:w="42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70C1752" w14:textId="77777777" w:rsidR="00404C7D" w:rsidRPr="00111847" w:rsidRDefault="00404C7D" w:rsidP="00B37BEB">
            <w:pPr>
              <w:spacing w:after="0" w:line="240" w:lineRule="auto"/>
              <w:jc w:val="center"/>
              <w:rPr>
                <w:rFonts w:ascii="Arial" w:eastAsia="Times New Roman" w:hAnsi="Arial" w:cs="Arial"/>
                <w:b/>
                <w:bCs/>
                <w:color w:val="000000"/>
                <w:sz w:val="20"/>
                <w:szCs w:val="20"/>
                <w:lang w:eastAsia="es-MX"/>
              </w:rPr>
            </w:pPr>
            <w:r w:rsidRPr="00111847">
              <w:rPr>
                <w:rFonts w:ascii="Arial" w:eastAsia="Times New Roman" w:hAnsi="Arial" w:cs="Arial"/>
                <w:b/>
                <w:bCs/>
                <w:color w:val="000000"/>
                <w:sz w:val="20"/>
                <w:szCs w:val="20"/>
                <w:lang w:eastAsia="es-MX"/>
              </w:rPr>
              <w:t>Nombre de la Cuenta</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5E74A53" w14:textId="77777777" w:rsidR="00404C7D" w:rsidRPr="00111847" w:rsidRDefault="00404C7D" w:rsidP="00B37BEB">
            <w:pPr>
              <w:spacing w:after="0" w:line="240" w:lineRule="auto"/>
              <w:jc w:val="center"/>
              <w:rPr>
                <w:rFonts w:ascii="Arial" w:eastAsia="Times New Roman" w:hAnsi="Arial" w:cs="Arial"/>
                <w:b/>
                <w:bCs/>
                <w:color w:val="000000"/>
                <w:sz w:val="20"/>
                <w:szCs w:val="20"/>
                <w:lang w:eastAsia="es-MX"/>
              </w:rPr>
            </w:pPr>
            <w:r w:rsidRPr="00111847">
              <w:rPr>
                <w:rFonts w:ascii="Arial" w:eastAsia="Times New Roman" w:hAnsi="Arial" w:cs="Arial"/>
                <w:b/>
                <w:bCs/>
                <w:color w:val="000000"/>
                <w:sz w:val="20"/>
                <w:szCs w:val="20"/>
                <w:lang w:eastAsia="es-MX"/>
              </w:rPr>
              <w:t xml:space="preserve">   Débito   </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51B526E" w14:textId="77777777" w:rsidR="00404C7D" w:rsidRPr="00111847" w:rsidRDefault="00404C7D" w:rsidP="00B37BEB">
            <w:pPr>
              <w:spacing w:after="0" w:line="240" w:lineRule="auto"/>
              <w:jc w:val="center"/>
              <w:rPr>
                <w:rFonts w:ascii="Arial" w:eastAsia="Times New Roman" w:hAnsi="Arial" w:cs="Arial"/>
                <w:b/>
                <w:bCs/>
                <w:color w:val="000000"/>
                <w:sz w:val="20"/>
                <w:szCs w:val="20"/>
                <w:lang w:eastAsia="es-MX"/>
              </w:rPr>
            </w:pPr>
            <w:r w:rsidRPr="00111847">
              <w:rPr>
                <w:rFonts w:ascii="Arial" w:eastAsia="Times New Roman" w:hAnsi="Arial" w:cs="Arial"/>
                <w:b/>
                <w:bCs/>
                <w:color w:val="000000"/>
                <w:sz w:val="20"/>
                <w:szCs w:val="20"/>
                <w:lang w:eastAsia="es-MX"/>
              </w:rPr>
              <w:t xml:space="preserve">   Crédito   </w:t>
            </w:r>
          </w:p>
        </w:tc>
        <w:tc>
          <w:tcPr>
            <w:tcW w:w="3100" w:type="dxa"/>
            <w:gridSpan w:val="2"/>
            <w:tcBorders>
              <w:top w:val="single" w:sz="4" w:space="0" w:color="auto"/>
              <w:left w:val="nil"/>
              <w:bottom w:val="single" w:sz="4" w:space="0" w:color="auto"/>
              <w:right w:val="single" w:sz="4" w:space="0" w:color="auto"/>
            </w:tcBorders>
            <w:shd w:val="clear" w:color="000000" w:fill="D9D9D9"/>
            <w:vAlign w:val="center"/>
            <w:hideMark/>
          </w:tcPr>
          <w:p w14:paraId="44361E9A" w14:textId="77777777" w:rsidR="00404C7D" w:rsidRPr="00111847" w:rsidRDefault="00404C7D" w:rsidP="00B37BEB">
            <w:pPr>
              <w:spacing w:after="0" w:line="240" w:lineRule="auto"/>
              <w:jc w:val="center"/>
              <w:rPr>
                <w:rFonts w:ascii="Arial" w:eastAsia="Times New Roman" w:hAnsi="Arial" w:cs="Arial"/>
                <w:b/>
                <w:bCs/>
                <w:color w:val="000000"/>
                <w:sz w:val="20"/>
                <w:szCs w:val="20"/>
                <w:lang w:eastAsia="es-MX"/>
              </w:rPr>
            </w:pPr>
            <w:r w:rsidRPr="00111847">
              <w:rPr>
                <w:rFonts w:ascii="Arial" w:eastAsia="Times New Roman" w:hAnsi="Arial" w:cs="Arial"/>
                <w:b/>
                <w:bCs/>
                <w:color w:val="000000"/>
                <w:sz w:val="20"/>
                <w:szCs w:val="20"/>
                <w:lang w:eastAsia="es-MX"/>
              </w:rPr>
              <w:t xml:space="preserve">   Saldo Final   </w:t>
            </w:r>
          </w:p>
        </w:tc>
      </w:tr>
      <w:tr w:rsidR="00404C7D" w:rsidRPr="00111847" w14:paraId="22C6A27F" w14:textId="77777777" w:rsidTr="00151AEB">
        <w:trPr>
          <w:trHeight w:val="300"/>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305A3F95" w14:textId="77777777" w:rsidR="00404C7D" w:rsidRPr="00111847" w:rsidRDefault="00404C7D" w:rsidP="00B37BEB">
            <w:pPr>
              <w:spacing w:after="0" w:line="240" w:lineRule="auto"/>
              <w:rPr>
                <w:rFonts w:ascii="Arial" w:eastAsia="Times New Roman" w:hAnsi="Arial" w:cs="Arial"/>
                <w:b/>
                <w:bCs/>
                <w:color w:val="000000"/>
                <w:sz w:val="20"/>
                <w:szCs w:val="20"/>
                <w:lang w:eastAsia="es-MX"/>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14:paraId="1145FF70" w14:textId="77777777" w:rsidR="00404C7D" w:rsidRPr="00111847" w:rsidRDefault="00404C7D" w:rsidP="00B37BEB">
            <w:pPr>
              <w:spacing w:after="0" w:line="240" w:lineRule="auto"/>
              <w:rPr>
                <w:rFonts w:ascii="Arial" w:eastAsia="Times New Roman" w:hAnsi="Arial" w:cs="Arial"/>
                <w:b/>
                <w:bCs/>
                <w:color w:val="000000"/>
                <w:sz w:val="20"/>
                <w:szCs w:val="20"/>
                <w:lang w:eastAsia="es-MX"/>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45652A07" w14:textId="77777777" w:rsidR="00404C7D" w:rsidRPr="00111847" w:rsidRDefault="00404C7D" w:rsidP="00B37BEB">
            <w:pPr>
              <w:spacing w:after="0" w:line="240" w:lineRule="auto"/>
              <w:rPr>
                <w:rFonts w:ascii="Arial" w:eastAsia="Times New Roman" w:hAnsi="Arial" w:cs="Arial"/>
                <w:b/>
                <w:bCs/>
                <w:color w:val="000000"/>
                <w:sz w:val="20"/>
                <w:szCs w:val="20"/>
                <w:lang w:eastAsia="es-MX"/>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50A2D2D" w14:textId="77777777" w:rsidR="00404C7D" w:rsidRPr="00111847" w:rsidRDefault="00404C7D" w:rsidP="00B37BEB">
            <w:pPr>
              <w:spacing w:after="0" w:line="240" w:lineRule="auto"/>
              <w:rPr>
                <w:rFonts w:ascii="Arial" w:eastAsia="Times New Roman" w:hAnsi="Arial" w:cs="Arial"/>
                <w:b/>
                <w:bCs/>
                <w:color w:val="000000"/>
                <w:sz w:val="20"/>
                <w:szCs w:val="20"/>
                <w:lang w:eastAsia="es-MX"/>
              </w:rPr>
            </w:pPr>
          </w:p>
        </w:tc>
        <w:tc>
          <w:tcPr>
            <w:tcW w:w="1560" w:type="dxa"/>
            <w:tcBorders>
              <w:top w:val="nil"/>
              <w:left w:val="nil"/>
              <w:bottom w:val="single" w:sz="4" w:space="0" w:color="auto"/>
              <w:right w:val="single" w:sz="4" w:space="0" w:color="auto"/>
            </w:tcBorders>
            <w:shd w:val="clear" w:color="000000" w:fill="D9D9D9"/>
            <w:vAlign w:val="center"/>
            <w:hideMark/>
          </w:tcPr>
          <w:p w14:paraId="02740100" w14:textId="77777777" w:rsidR="00404C7D" w:rsidRPr="00111847" w:rsidRDefault="00404C7D" w:rsidP="00B37BEB">
            <w:pPr>
              <w:spacing w:after="0" w:line="240" w:lineRule="auto"/>
              <w:jc w:val="center"/>
              <w:rPr>
                <w:rFonts w:ascii="Arial" w:eastAsia="Times New Roman" w:hAnsi="Arial" w:cs="Arial"/>
                <w:b/>
                <w:bCs/>
                <w:color w:val="000000"/>
                <w:sz w:val="20"/>
                <w:szCs w:val="20"/>
                <w:lang w:eastAsia="es-MX"/>
              </w:rPr>
            </w:pPr>
            <w:r w:rsidRPr="00111847">
              <w:rPr>
                <w:rFonts w:ascii="Arial" w:eastAsia="Times New Roman" w:hAnsi="Arial" w:cs="Arial"/>
                <w:b/>
                <w:bCs/>
                <w:color w:val="000000"/>
                <w:sz w:val="20"/>
                <w:szCs w:val="20"/>
                <w:lang w:eastAsia="es-MX"/>
              </w:rPr>
              <w:t xml:space="preserve">   Deudor   </w:t>
            </w:r>
          </w:p>
        </w:tc>
        <w:tc>
          <w:tcPr>
            <w:tcW w:w="1540" w:type="dxa"/>
            <w:tcBorders>
              <w:top w:val="nil"/>
              <w:left w:val="nil"/>
              <w:bottom w:val="single" w:sz="4" w:space="0" w:color="auto"/>
              <w:right w:val="single" w:sz="4" w:space="0" w:color="auto"/>
            </w:tcBorders>
            <w:shd w:val="clear" w:color="000000" w:fill="D9D9D9"/>
            <w:vAlign w:val="center"/>
            <w:hideMark/>
          </w:tcPr>
          <w:p w14:paraId="375714D3" w14:textId="77777777" w:rsidR="00404C7D" w:rsidRPr="00111847" w:rsidRDefault="00404C7D" w:rsidP="00B37BEB">
            <w:pPr>
              <w:spacing w:after="0" w:line="240" w:lineRule="auto"/>
              <w:jc w:val="center"/>
              <w:rPr>
                <w:rFonts w:ascii="Arial" w:eastAsia="Times New Roman" w:hAnsi="Arial" w:cs="Arial"/>
                <w:b/>
                <w:bCs/>
                <w:color w:val="000000"/>
                <w:sz w:val="20"/>
                <w:szCs w:val="20"/>
                <w:lang w:eastAsia="es-MX"/>
              </w:rPr>
            </w:pPr>
            <w:r w:rsidRPr="00111847">
              <w:rPr>
                <w:rFonts w:ascii="Arial" w:eastAsia="Times New Roman" w:hAnsi="Arial" w:cs="Arial"/>
                <w:b/>
                <w:bCs/>
                <w:color w:val="000000"/>
                <w:sz w:val="20"/>
                <w:szCs w:val="20"/>
                <w:lang w:eastAsia="es-MX"/>
              </w:rPr>
              <w:t xml:space="preserve">   Acreedor   </w:t>
            </w:r>
          </w:p>
        </w:tc>
      </w:tr>
      <w:tr w:rsidR="00404C7D" w:rsidRPr="00111847" w14:paraId="510B90EB" w14:textId="77777777" w:rsidTr="00946B18">
        <w:trPr>
          <w:trHeight w:val="216"/>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954A353"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811</w:t>
            </w:r>
          </w:p>
        </w:tc>
        <w:tc>
          <w:tcPr>
            <w:tcW w:w="4200" w:type="dxa"/>
            <w:tcBorders>
              <w:top w:val="nil"/>
              <w:left w:val="nil"/>
              <w:bottom w:val="single" w:sz="4" w:space="0" w:color="auto"/>
              <w:right w:val="single" w:sz="4" w:space="0" w:color="auto"/>
            </w:tcBorders>
            <w:shd w:val="clear" w:color="auto" w:fill="auto"/>
            <w:vAlign w:val="center"/>
            <w:hideMark/>
          </w:tcPr>
          <w:p w14:paraId="7F0A8209"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Ley de Ingresos Estimada</w:t>
            </w:r>
          </w:p>
        </w:tc>
        <w:tc>
          <w:tcPr>
            <w:tcW w:w="1680" w:type="dxa"/>
            <w:tcBorders>
              <w:top w:val="nil"/>
              <w:left w:val="nil"/>
              <w:bottom w:val="single" w:sz="4" w:space="0" w:color="auto"/>
              <w:right w:val="single" w:sz="4" w:space="0" w:color="auto"/>
            </w:tcBorders>
            <w:shd w:val="clear" w:color="000000" w:fill="FFFFFF"/>
            <w:vAlign w:val="center"/>
            <w:hideMark/>
          </w:tcPr>
          <w:p w14:paraId="512BA022" w14:textId="1102C9CA"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66,704,458,065</w:t>
            </w:r>
          </w:p>
        </w:tc>
        <w:tc>
          <w:tcPr>
            <w:tcW w:w="1660" w:type="dxa"/>
            <w:tcBorders>
              <w:top w:val="nil"/>
              <w:left w:val="nil"/>
              <w:bottom w:val="single" w:sz="4" w:space="0" w:color="auto"/>
              <w:right w:val="single" w:sz="4" w:space="0" w:color="auto"/>
            </w:tcBorders>
            <w:shd w:val="clear" w:color="000000" w:fill="FFFFFF"/>
            <w:vAlign w:val="center"/>
            <w:hideMark/>
          </w:tcPr>
          <w:p w14:paraId="11AB24C7"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000000" w:fill="FFFFFF"/>
            <w:vAlign w:val="center"/>
            <w:hideMark/>
          </w:tcPr>
          <w:p w14:paraId="6DAE9366" w14:textId="3C93228F"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66,704,458,065</w:t>
            </w:r>
          </w:p>
        </w:tc>
        <w:tc>
          <w:tcPr>
            <w:tcW w:w="1540" w:type="dxa"/>
            <w:tcBorders>
              <w:top w:val="nil"/>
              <w:left w:val="nil"/>
              <w:bottom w:val="single" w:sz="4" w:space="0" w:color="auto"/>
              <w:right w:val="single" w:sz="4" w:space="0" w:color="auto"/>
            </w:tcBorders>
            <w:shd w:val="clear" w:color="000000" w:fill="FFFFFF"/>
            <w:vAlign w:val="center"/>
            <w:hideMark/>
          </w:tcPr>
          <w:p w14:paraId="5D59973B"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r w:rsidR="00404C7D" w:rsidRPr="00111847" w14:paraId="16F82A62" w14:textId="77777777" w:rsidTr="00946B18">
        <w:trPr>
          <w:trHeight w:val="1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3C36315"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812</w:t>
            </w:r>
          </w:p>
        </w:tc>
        <w:tc>
          <w:tcPr>
            <w:tcW w:w="4200" w:type="dxa"/>
            <w:tcBorders>
              <w:top w:val="nil"/>
              <w:left w:val="nil"/>
              <w:bottom w:val="single" w:sz="4" w:space="0" w:color="auto"/>
              <w:right w:val="single" w:sz="4" w:space="0" w:color="auto"/>
            </w:tcBorders>
            <w:shd w:val="clear" w:color="auto" w:fill="auto"/>
            <w:vAlign w:val="center"/>
            <w:hideMark/>
          </w:tcPr>
          <w:p w14:paraId="39BD030E"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Ley de Ingresos por Ejecutar</w:t>
            </w:r>
          </w:p>
        </w:tc>
        <w:tc>
          <w:tcPr>
            <w:tcW w:w="1680" w:type="dxa"/>
            <w:tcBorders>
              <w:top w:val="nil"/>
              <w:left w:val="nil"/>
              <w:bottom w:val="single" w:sz="4" w:space="0" w:color="auto"/>
              <w:right w:val="single" w:sz="4" w:space="0" w:color="auto"/>
            </w:tcBorders>
            <w:shd w:val="clear" w:color="000000" w:fill="FFFFFF"/>
            <w:vAlign w:val="center"/>
            <w:hideMark/>
          </w:tcPr>
          <w:p w14:paraId="232B158A" w14:textId="18DFEA0B" w:rsidR="00404C7D" w:rsidRPr="00404C7D" w:rsidRDefault="00404C7D" w:rsidP="00404C7D">
            <w:pPr>
              <w:spacing w:after="0" w:line="240" w:lineRule="auto"/>
              <w:jc w:val="right"/>
              <w:rPr>
                <w:rFonts w:ascii="Arial" w:eastAsia="Times New Roman" w:hAnsi="Arial" w:cs="Arial"/>
                <w:color w:val="000000"/>
                <w:sz w:val="20"/>
                <w:szCs w:val="20"/>
                <w:lang w:eastAsia="es-MX"/>
              </w:rPr>
            </w:pPr>
            <w:r w:rsidRPr="00404C7D">
              <w:rPr>
                <w:rFonts w:ascii="Arial" w:eastAsia="Times New Roman" w:hAnsi="Arial" w:cs="Arial"/>
                <w:color w:val="000000"/>
                <w:sz w:val="20"/>
                <w:szCs w:val="20"/>
                <w:lang w:eastAsia="es-MX"/>
              </w:rPr>
              <w:t>97,629,012,394</w:t>
            </w:r>
          </w:p>
        </w:tc>
        <w:tc>
          <w:tcPr>
            <w:tcW w:w="1660" w:type="dxa"/>
            <w:tcBorders>
              <w:top w:val="nil"/>
              <w:left w:val="nil"/>
              <w:bottom w:val="single" w:sz="4" w:space="0" w:color="auto"/>
              <w:right w:val="single" w:sz="4" w:space="0" w:color="auto"/>
            </w:tcBorders>
            <w:shd w:val="clear" w:color="000000" w:fill="FFFFFF"/>
            <w:vAlign w:val="center"/>
            <w:hideMark/>
          </w:tcPr>
          <w:p w14:paraId="46E626B9" w14:textId="7F8BF212" w:rsidR="00404C7D" w:rsidRPr="00404C7D" w:rsidRDefault="00404C7D" w:rsidP="00404C7D">
            <w:pPr>
              <w:spacing w:after="0" w:line="240" w:lineRule="auto"/>
              <w:jc w:val="right"/>
              <w:rPr>
                <w:rFonts w:ascii="Arial" w:eastAsia="Times New Roman" w:hAnsi="Arial" w:cs="Arial"/>
                <w:color w:val="000000"/>
                <w:sz w:val="20"/>
                <w:szCs w:val="20"/>
                <w:lang w:eastAsia="es-MX"/>
              </w:rPr>
            </w:pPr>
            <w:r w:rsidRPr="00404C7D">
              <w:rPr>
                <w:rFonts w:ascii="Arial" w:eastAsia="Times New Roman" w:hAnsi="Arial" w:cs="Arial"/>
                <w:color w:val="000000"/>
                <w:sz w:val="20"/>
                <w:szCs w:val="20"/>
                <w:lang w:eastAsia="es-MX"/>
              </w:rPr>
              <w:t>97,629,012,394</w:t>
            </w:r>
          </w:p>
        </w:tc>
        <w:tc>
          <w:tcPr>
            <w:tcW w:w="1560" w:type="dxa"/>
            <w:tcBorders>
              <w:top w:val="nil"/>
              <w:left w:val="nil"/>
              <w:bottom w:val="single" w:sz="4" w:space="0" w:color="auto"/>
              <w:right w:val="single" w:sz="4" w:space="0" w:color="auto"/>
            </w:tcBorders>
            <w:shd w:val="clear" w:color="000000" w:fill="FFFFFF"/>
            <w:vAlign w:val="center"/>
            <w:hideMark/>
          </w:tcPr>
          <w:p w14:paraId="06686E03"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000000" w:fill="FFFFFF"/>
            <w:vAlign w:val="center"/>
            <w:hideMark/>
          </w:tcPr>
          <w:p w14:paraId="6F5124A8"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r w:rsidR="00404C7D" w:rsidRPr="00111847" w14:paraId="1AEB8618" w14:textId="77777777" w:rsidTr="00151AEB">
        <w:trPr>
          <w:trHeight w:val="342"/>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97EB410"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813</w:t>
            </w:r>
          </w:p>
        </w:tc>
        <w:tc>
          <w:tcPr>
            <w:tcW w:w="4200" w:type="dxa"/>
            <w:tcBorders>
              <w:top w:val="nil"/>
              <w:left w:val="nil"/>
              <w:bottom w:val="single" w:sz="4" w:space="0" w:color="auto"/>
              <w:right w:val="single" w:sz="4" w:space="0" w:color="auto"/>
            </w:tcBorders>
            <w:shd w:val="clear" w:color="auto" w:fill="auto"/>
            <w:vAlign w:val="center"/>
            <w:hideMark/>
          </w:tcPr>
          <w:p w14:paraId="1CCEA813"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Modificaciones a la Ley de Ingresos Estimada</w:t>
            </w:r>
          </w:p>
        </w:tc>
        <w:tc>
          <w:tcPr>
            <w:tcW w:w="1680" w:type="dxa"/>
            <w:tcBorders>
              <w:top w:val="nil"/>
              <w:left w:val="nil"/>
              <w:bottom w:val="single" w:sz="4" w:space="0" w:color="auto"/>
              <w:right w:val="single" w:sz="4" w:space="0" w:color="auto"/>
            </w:tcBorders>
            <w:shd w:val="clear" w:color="000000" w:fill="FFFFFF"/>
            <w:vAlign w:val="center"/>
            <w:hideMark/>
          </w:tcPr>
          <w:p w14:paraId="3F12A7B6" w14:textId="4A32A6FE"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30,924,554,329</w:t>
            </w:r>
          </w:p>
        </w:tc>
        <w:tc>
          <w:tcPr>
            <w:tcW w:w="1660" w:type="dxa"/>
            <w:tcBorders>
              <w:top w:val="nil"/>
              <w:left w:val="nil"/>
              <w:bottom w:val="single" w:sz="4" w:space="0" w:color="auto"/>
              <w:right w:val="single" w:sz="4" w:space="0" w:color="auto"/>
            </w:tcBorders>
            <w:shd w:val="clear" w:color="000000" w:fill="FFFFFF"/>
            <w:vAlign w:val="center"/>
            <w:hideMark/>
          </w:tcPr>
          <w:p w14:paraId="49B8BD8B" w14:textId="0BFD5DF1"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21,081,169,941</w:t>
            </w:r>
          </w:p>
        </w:tc>
        <w:tc>
          <w:tcPr>
            <w:tcW w:w="1560" w:type="dxa"/>
            <w:tcBorders>
              <w:top w:val="nil"/>
              <w:left w:val="nil"/>
              <w:bottom w:val="single" w:sz="4" w:space="0" w:color="auto"/>
              <w:right w:val="single" w:sz="4" w:space="0" w:color="auto"/>
            </w:tcBorders>
            <w:shd w:val="clear" w:color="000000" w:fill="FFFFFF"/>
            <w:vAlign w:val="center"/>
            <w:hideMark/>
          </w:tcPr>
          <w:p w14:paraId="4F4C61D3" w14:textId="17F352DC"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9,843,384,388</w:t>
            </w:r>
          </w:p>
        </w:tc>
        <w:tc>
          <w:tcPr>
            <w:tcW w:w="1540" w:type="dxa"/>
            <w:tcBorders>
              <w:top w:val="nil"/>
              <w:left w:val="nil"/>
              <w:bottom w:val="single" w:sz="4" w:space="0" w:color="auto"/>
              <w:right w:val="single" w:sz="4" w:space="0" w:color="auto"/>
            </w:tcBorders>
            <w:shd w:val="clear" w:color="000000" w:fill="FFFFFF"/>
            <w:vAlign w:val="center"/>
            <w:hideMark/>
          </w:tcPr>
          <w:p w14:paraId="4051BDCF"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r w:rsidR="00404C7D" w:rsidRPr="00111847" w14:paraId="3DA5DC3A" w14:textId="77777777" w:rsidTr="00946B18">
        <w:trPr>
          <w:trHeight w:val="102"/>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883FCAA"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814</w:t>
            </w:r>
          </w:p>
        </w:tc>
        <w:tc>
          <w:tcPr>
            <w:tcW w:w="4200" w:type="dxa"/>
            <w:tcBorders>
              <w:top w:val="nil"/>
              <w:left w:val="nil"/>
              <w:bottom w:val="single" w:sz="4" w:space="0" w:color="auto"/>
              <w:right w:val="single" w:sz="4" w:space="0" w:color="auto"/>
            </w:tcBorders>
            <w:shd w:val="clear" w:color="auto" w:fill="auto"/>
            <w:vAlign w:val="center"/>
            <w:hideMark/>
          </w:tcPr>
          <w:p w14:paraId="5A80FD91"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Ley de Ingresos Devengada</w:t>
            </w:r>
          </w:p>
        </w:tc>
        <w:tc>
          <w:tcPr>
            <w:tcW w:w="1680" w:type="dxa"/>
            <w:tcBorders>
              <w:top w:val="nil"/>
              <w:left w:val="nil"/>
              <w:bottom w:val="single" w:sz="4" w:space="0" w:color="auto"/>
              <w:right w:val="single" w:sz="4" w:space="0" w:color="auto"/>
            </w:tcBorders>
            <w:shd w:val="clear" w:color="000000" w:fill="FFFFFF"/>
            <w:vAlign w:val="center"/>
            <w:hideMark/>
          </w:tcPr>
          <w:p w14:paraId="218C8E87" w14:textId="6522D3C3"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75,571,248,231</w:t>
            </w:r>
          </w:p>
        </w:tc>
        <w:tc>
          <w:tcPr>
            <w:tcW w:w="1660" w:type="dxa"/>
            <w:tcBorders>
              <w:top w:val="nil"/>
              <w:left w:val="nil"/>
              <w:bottom w:val="single" w:sz="4" w:space="0" w:color="auto"/>
              <w:right w:val="single" w:sz="4" w:space="0" w:color="auto"/>
            </w:tcBorders>
            <w:shd w:val="clear" w:color="000000" w:fill="FFFFFF"/>
            <w:vAlign w:val="center"/>
            <w:hideMark/>
          </w:tcPr>
          <w:p w14:paraId="28448545" w14:textId="47CEE51E"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76,547,842,453</w:t>
            </w:r>
          </w:p>
        </w:tc>
        <w:tc>
          <w:tcPr>
            <w:tcW w:w="1560" w:type="dxa"/>
            <w:tcBorders>
              <w:top w:val="nil"/>
              <w:left w:val="nil"/>
              <w:bottom w:val="single" w:sz="4" w:space="0" w:color="auto"/>
              <w:right w:val="single" w:sz="4" w:space="0" w:color="auto"/>
            </w:tcBorders>
            <w:shd w:val="clear" w:color="000000" w:fill="FFFFFF"/>
            <w:vAlign w:val="center"/>
            <w:hideMark/>
          </w:tcPr>
          <w:p w14:paraId="67B972B1"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000000" w:fill="FFFFFF"/>
            <w:vAlign w:val="center"/>
            <w:hideMark/>
          </w:tcPr>
          <w:p w14:paraId="5071ED35" w14:textId="7FF49EB9"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976,594,222</w:t>
            </w:r>
          </w:p>
        </w:tc>
      </w:tr>
      <w:tr w:rsidR="00404C7D" w:rsidRPr="00111847" w14:paraId="34815E73" w14:textId="77777777" w:rsidTr="00946B18">
        <w:trPr>
          <w:trHeight w:val="147"/>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EFE6BF9"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815</w:t>
            </w:r>
          </w:p>
        </w:tc>
        <w:tc>
          <w:tcPr>
            <w:tcW w:w="4200" w:type="dxa"/>
            <w:tcBorders>
              <w:top w:val="nil"/>
              <w:left w:val="nil"/>
              <w:bottom w:val="single" w:sz="4" w:space="0" w:color="auto"/>
              <w:right w:val="single" w:sz="4" w:space="0" w:color="auto"/>
            </w:tcBorders>
            <w:shd w:val="clear" w:color="auto" w:fill="auto"/>
            <w:vAlign w:val="center"/>
            <w:hideMark/>
          </w:tcPr>
          <w:p w14:paraId="2180ED33"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Ley de Ingresos Recaudada</w:t>
            </w:r>
          </w:p>
        </w:tc>
        <w:tc>
          <w:tcPr>
            <w:tcW w:w="1680" w:type="dxa"/>
            <w:tcBorders>
              <w:top w:val="nil"/>
              <w:left w:val="nil"/>
              <w:bottom w:val="single" w:sz="4" w:space="0" w:color="auto"/>
              <w:right w:val="single" w:sz="4" w:space="0" w:color="auto"/>
            </w:tcBorders>
            <w:shd w:val="clear" w:color="000000" w:fill="FFFFFF"/>
            <w:vAlign w:val="center"/>
            <w:hideMark/>
          </w:tcPr>
          <w:p w14:paraId="6A188AC7"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660" w:type="dxa"/>
            <w:tcBorders>
              <w:top w:val="nil"/>
              <w:left w:val="nil"/>
              <w:bottom w:val="single" w:sz="4" w:space="0" w:color="auto"/>
              <w:right w:val="single" w:sz="4" w:space="0" w:color="auto"/>
            </w:tcBorders>
            <w:shd w:val="clear" w:color="000000" w:fill="FFFFFF"/>
            <w:vAlign w:val="center"/>
            <w:hideMark/>
          </w:tcPr>
          <w:p w14:paraId="4A90D88C" w14:textId="771C44FE"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75,571,248,231</w:t>
            </w:r>
          </w:p>
        </w:tc>
        <w:tc>
          <w:tcPr>
            <w:tcW w:w="1560" w:type="dxa"/>
            <w:tcBorders>
              <w:top w:val="nil"/>
              <w:left w:val="nil"/>
              <w:bottom w:val="single" w:sz="4" w:space="0" w:color="auto"/>
              <w:right w:val="single" w:sz="4" w:space="0" w:color="auto"/>
            </w:tcBorders>
            <w:shd w:val="clear" w:color="000000" w:fill="FFFFFF"/>
            <w:vAlign w:val="center"/>
            <w:hideMark/>
          </w:tcPr>
          <w:p w14:paraId="31D04E0C"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000000" w:fill="FFFFFF"/>
            <w:vAlign w:val="center"/>
            <w:hideMark/>
          </w:tcPr>
          <w:p w14:paraId="1F4EFE60" w14:textId="2C581D59"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75,571,248,231</w:t>
            </w:r>
          </w:p>
        </w:tc>
      </w:tr>
      <w:tr w:rsidR="00404C7D" w:rsidRPr="00111847" w14:paraId="60C93061" w14:textId="77777777" w:rsidTr="00946B18">
        <w:trPr>
          <w:trHeight w:val="194"/>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21136BF"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821</w:t>
            </w:r>
          </w:p>
        </w:tc>
        <w:tc>
          <w:tcPr>
            <w:tcW w:w="4200" w:type="dxa"/>
            <w:tcBorders>
              <w:top w:val="nil"/>
              <w:left w:val="nil"/>
              <w:bottom w:val="single" w:sz="4" w:space="0" w:color="auto"/>
              <w:right w:val="single" w:sz="4" w:space="0" w:color="auto"/>
            </w:tcBorders>
            <w:shd w:val="clear" w:color="auto" w:fill="auto"/>
            <w:vAlign w:val="center"/>
            <w:hideMark/>
          </w:tcPr>
          <w:p w14:paraId="496E167A"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Presupuesto de Egresos Aprobado</w:t>
            </w:r>
          </w:p>
        </w:tc>
        <w:tc>
          <w:tcPr>
            <w:tcW w:w="1680" w:type="dxa"/>
            <w:tcBorders>
              <w:top w:val="nil"/>
              <w:left w:val="nil"/>
              <w:bottom w:val="single" w:sz="4" w:space="0" w:color="auto"/>
              <w:right w:val="single" w:sz="4" w:space="0" w:color="auto"/>
            </w:tcBorders>
            <w:shd w:val="clear" w:color="000000" w:fill="FFFFFF"/>
            <w:vAlign w:val="center"/>
            <w:hideMark/>
          </w:tcPr>
          <w:p w14:paraId="1F611F0A"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660" w:type="dxa"/>
            <w:tcBorders>
              <w:top w:val="nil"/>
              <w:left w:val="nil"/>
              <w:bottom w:val="single" w:sz="4" w:space="0" w:color="auto"/>
              <w:right w:val="single" w:sz="4" w:space="0" w:color="auto"/>
            </w:tcBorders>
            <w:shd w:val="clear" w:color="000000" w:fill="FFFFFF"/>
            <w:vAlign w:val="center"/>
            <w:hideMark/>
          </w:tcPr>
          <w:p w14:paraId="6BF07881" w14:textId="55C7DBC1"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66,704,458,065</w:t>
            </w:r>
          </w:p>
        </w:tc>
        <w:tc>
          <w:tcPr>
            <w:tcW w:w="1560" w:type="dxa"/>
            <w:tcBorders>
              <w:top w:val="nil"/>
              <w:left w:val="nil"/>
              <w:bottom w:val="single" w:sz="4" w:space="0" w:color="auto"/>
              <w:right w:val="single" w:sz="4" w:space="0" w:color="auto"/>
            </w:tcBorders>
            <w:shd w:val="clear" w:color="000000" w:fill="FFFFFF"/>
            <w:vAlign w:val="center"/>
            <w:hideMark/>
          </w:tcPr>
          <w:p w14:paraId="034BDDB6"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000000" w:fill="FFFFFF"/>
            <w:vAlign w:val="center"/>
            <w:hideMark/>
          </w:tcPr>
          <w:p w14:paraId="10853183" w14:textId="791EBBD5"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66,704,458,065</w:t>
            </w:r>
          </w:p>
        </w:tc>
      </w:tr>
      <w:tr w:rsidR="00404C7D" w:rsidRPr="00111847" w14:paraId="264E156D" w14:textId="77777777" w:rsidTr="00946B18">
        <w:trPr>
          <w:trHeight w:val="9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151D627"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822</w:t>
            </w:r>
          </w:p>
        </w:tc>
        <w:tc>
          <w:tcPr>
            <w:tcW w:w="4200" w:type="dxa"/>
            <w:tcBorders>
              <w:top w:val="nil"/>
              <w:left w:val="nil"/>
              <w:bottom w:val="single" w:sz="4" w:space="0" w:color="auto"/>
              <w:right w:val="single" w:sz="4" w:space="0" w:color="auto"/>
            </w:tcBorders>
            <w:shd w:val="clear" w:color="auto" w:fill="auto"/>
            <w:vAlign w:val="center"/>
            <w:hideMark/>
          </w:tcPr>
          <w:p w14:paraId="5B9152A2"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Presupuesto de Egresos por Ejercer</w:t>
            </w:r>
          </w:p>
        </w:tc>
        <w:tc>
          <w:tcPr>
            <w:tcW w:w="1680" w:type="dxa"/>
            <w:tcBorders>
              <w:top w:val="nil"/>
              <w:left w:val="nil"/>
              <w:bottom w:val="single" w:sz="4" w:space="0" w:color="auto"/>
              <w:right w:val="single" w:sz="4" w:space="0" w:color="auto"/>
            </w:tcBorders>
            <w:shd w:val="clear" w:color="000000" w:fill="FFFFFF"/>
            <w:vAlign w:val="center"/>
            <w:hideMark/>
          </w:tcPr>
          <w:p w14:paraId="711C0117" w14:textId="752FC4BC"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145,313,026,435</w:t>
            </w:r>
          </w:p>
        </w:tc>
        <w:tc>
          <w:tcPr>
            <w:tcW w:w="1660" w:type="dxa"/>
            <w:tcBorders>
              <w:top w:val="nil"/>
              <w:left w:val="nil"/>
              <w:bottom w:val="single" w:sz="4" w:space="0" w:color="auto"/>
              <w:right w:val="single" w:sz="4" w:space="0" w:color="auto"/>
            </w:tcBorders>
            <w:shd w:val="clear" w:color="000000" w:fill="FFFFFF"/>
            <w:vAlign w:val="center"/>
            <w:hideMark/>
          </w:tcPr>
          <w:p w14:paraId="5A62D34E" w14:textId="13A1B090"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145,313,026,435</w:t>
            </w:r>
          </w:p>
        </w:tc>
        <w:tc>
          <w:tcPr>
            <w:tcW w:w="1560" w:type="dxa"/>
            <w:tcBorders>
              <w:top w:val="nil"/>
              <w:left w:val="nil"/>
              <w:bottom w:val="single" w:sz="4" w:space="0" w:color="auto"/>
              <w:right w:val="single" w:sz="4" w:space="0" w:color="auto"/>
            </w:tcBorders>
            <w:shd w:val="clear" w:color="000000" w:fill="FFFFFF"/>
            <w:vAlign w:val="center"/>
            <w:hideMark/>
          </w:tcPr>
          <w:p w14:paraId="1C512C3B"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000000" w:fill="FFFFFF"/>
            <w:vAlign w:val="center"/>
            <w:hideMark/>
          </w:tcPr>
          <w:p w14:paraId="711AA58D"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r w:rsidR="00404C7D" w:rsidRPr="00111847" w14:paraId="770F186C" w14:textId="77777777" w:rsidTr="00946B18">
        <w:trPr>
          <w:trHeight w:val="413"/>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C98AC2D"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823</w:t>
            </w:r>
          </w:p>
        </w:tc>
        <w:tc>
          <w:tcPr>
            <w:tcW w:w="4200" w:type="dxa"/>
            <w:tcBorders>
              <w:top w:val="nil"/>
              <w:left w:val="nil"/>
              <w:bottom w:val="single" w:sz="4" w:space="0" w:color="auto"/>
              <w:right w:val="single" w:sz="4" w:space="0" w:color="auto"/>
            </w:tcBorders>
            <w:shd w:val="clear" w:color="auto" w:fill="auto"/>
            <w:vAlign w:val="center"/>
            <w:hideMark/>
          </w:tcPr>
          <w:p w14:paraId="2811E8F4"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Modificaciones al Presupuesto de Egresos Aprobado</w:t>
            </w:r>
          </w:p>
        </w:tc>
        <w:tc>
          <w:tcPr>
            <w:tcW w:w="1680" w:type="dxa"/>
            <w:tcBorders>
              <w:top w:val="nil"/>
              <w:left w:val="nil"/>
              <w:bottom w:val="single" w:sz="4" w:space="0" w:color="auto"/>
              <w:right w:val="single" w:sz="4" w:space="0" w:color="auto"/>
            </w:tcBorders>
            <w:shd w:val="clear" w:color="000000" w:fill="FFFFFF"/>
            <w:vAlign w:val="center"/>
            <w:hideMark/>
          </w:tcPr>
          <w:p w14:paraId="5222B1BB" w14:textId="28761640"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68,049,481,162</w:t>
            </w:r>
          </w:p>
        </w:tc>
        <w:tc>
          <w:tcPr>
            <w:tcW w:w="1660" w:type="dxa"/>
            <w:tcBorders>
              <w:top w:val="nil"/>
              <w:left w:val="nil"/>
              <w:bottom w:val="single" w:sz="4" w:space="0" w:color="auto"/>
              <w:right w:val="single" w:sz="4" w:space="0" w:color="auto"/>
            </w:tcBorders>
            <w:shd w:val="clear" w:color="000000" w:fill="FFFFFF"/>
            <w:vAlign w:val="center"/>
            <w:hideMark/>
          </w:tcPr>
          <w:p w14:paraId="18092BA7" w14:textId="23547E24"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78,608,568,370</w:t>
            </w:r>
          </w:p>
        </w:tc>
        <w:tc>
          <w:tcPr>
            <w:tcW w:w="1560" w:type="dxa"/>
            <w:tcBorders>
              <w:top w:val="nil"/>
              <w:left w:val="nil"/>
              <w:bottom w:val="single" w:sz="4" w:space="0" w:color="auto"/>
              <w:right w:val="single" w:sz="4" w:space="0" w:color="auto"/>
            </w:tcBorders>
            <w:shd w:val="clear" w:color="000000" w:fill="FFFFFF"/>
            <w:vAlign w:val="center"/>
            <w:hideMark/>
          </w:tcPr>
          <w:p w14:paraId="32DC5B8B"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000000" w:fill="FFFFFF"/>
            <w:vAlign w:val="center"/>
            <w:hideMark/>
          </w:tcPr>
          <w:p w14:paraId="4AB0ADF9" w14:textId="45C923E6"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10,559,087,208</w:t>
            </w:r>
          </w:p>
        </w:tc>
      </w:tr>
      <w:tr w:rsidR="00404C7D" w:rsidRPr="00111847" w14:paraId="417462F5" w14:textId="77777777" w:rsidTr="00946B18">
        <w:trPr>
          <w:trHeight w:val="93"/>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928E7D0"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824</w:t>
            </w:r>
          </w:p>
        </w:tc>
        <w:tc>
          <w:tcPr>
            <w:tcW w:w="4200" w:type="dxa"/>
            <w:tcBorders>
              <w:top w:val="nil"/>
              <w:left w:val="nil"/>
              <w:bottom w:val="single" w:sz="4" w:space="0" w:color="auto"/>
              <w:right w:val="single" w:sz="4" w:space="0" w:color="auto"/>
            </w:tcBorders>
            <w:shd w:val="clear" w:color="auto" w:fill="auto"/>
            <w:vAlign w:val="center"/>
            <w:hideMark/>
          </w:tcPr>
          <w:p w14:paraId="5151E4B6"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Presupuesto de Egresos Comprometido</w:t>
            </w:r>
          </w:p>
        </w:tc>
        <w:tc>
          <w:tcPr>
            <w:tcW w:w="1680" w:type="dxa"/>
            <w:tcBorders>
              <w:top w:val="nil"/>
              <w:left w:val="nil"/>
              <w:bottom w:val="single" w:sz="4" w:space="0" w:color="auto"/>
              <w:right w:val="single" w:sz="4" w:space="0" w:color="auto"/>
            </w:tcBorders>
            <w:shd w:val="clear" w:color="000000" w:fill="FFFFFF"/>
            <w:vAlign w:val="center"/>
            <w:hideMark/>
          </w:tcPr>
          <w:p w14:paraId="4DC00544" w14:textId="66443150"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77,263,545,273</w:t>
            </w:r>
          </w:p>
        </w:tc>
        <w:tc>
          <w:tcPr>
            <w:tcW w:w="1660" w:type="dxa"/>
            <w:tcBorders>
              <w:top w:val="nil"/>
              <w:left w:val="nil"/>
              <w:bottom w:val="single" w:sz="4" w:space="0" w:color="auto"/>
              <w:right w:val="single" w:sz="4" w:space="0" w:color="auto"/>
            </w:tcBorders>
            <w:shd w:val="clear" w:color="000000" w:fill="FFFFFF"/>
            <w:vAlign w:val="center"/>
            <w:hideMark/>
          </w:tcPr>
          <w:p w14:paraId="5A96D1CD" w14:textId="57EF8CB9"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76,782,696,659</w:t>
            </w:r>
          </w:p>
        </w:tc>
        <w:tc>
          <w:tcPr>
            <w:tcW w:w="1560" w:type="dxa"/>
            <w:tcBorders>
              <w:top w:val="nil"/>
              <w:left w:val="nil"/>
              <w:bottom w:val="single" w:sz="4" w:space="0" w:color="auto"/>
              <w:right w:val="single" w:sz="4" w:space="0" w:color="auto"/>
            </w:tcBorders>
            <w:shd w:val="clear" w:color="000000" w:fill="FFFFFF"/>
            <w:vAlign w:val="center"/>
            <w:hideMark/>
          </w:tcPr>
          <w:p w14:paraId="66FB85FA" w14:textId="5AF48FAA"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480,848,614</w:t>
            </w:r>
          </w:p>
        </w:tc>
        <w:tc>
          <w:tcPr>
            <w:tcW w:w="1540" w:type="dxa"/>
            <w:tcBorders>
              <w:top w:val="nil"/>
              <w:left w:val="nil"/>
              <w:bottom w:val="single" w:sz="4" w:space="0" w:color="auto"/>
              <w:right w:val="single" w:sz="4" w:space="0" w:color="auto"/>
            </w:tcBorders>
            <w:shd w:val="clear" w:color="000000" w:fill="FFFFFF"/>
            <w:vAlign w:val="center"/>
            <w:hideMark/>
          </w:tcPr>
          <w:p w14:paraId="5A4FC639"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r w:rsidR="00404C7D" w:rsidRPr="00111847" w14:paraId="065D150E" w14:textId="77777777" w:rsidTr="00946B18">
        <w:trPr>
          <w:trHeight w:val="14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9051A36"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825</w:t>
            </w:r>
          </w:p>
        </w:tc>
        <w:tc>
          <w:tcPr>
            <w:tcW w:w="4200" w:type="dxa"/>
            <w:tcBorders>
              <w:top w:val="nil"/>
              <w:left w:val="nil"/>
              <w:bottom w:val="single" w:sz="4" w:space="0" w:color="auto"/>
              <w:right w:val="single" w:sz="4" w:space="0" w:color="auto"/>
            </w:tcBorders>
            <w:shd w:val="clear" w:color="auto" w:fill="auto"/>
            <w:vAlign w:val="center"/>
            <w:hideMark/>
          </w:tcPr>
          <w:p w14:paraId="43CB4EDA"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Presupuesto de Egresos Devengado</w:t>
            </w:r>
          </w:p>
        </w:tc>
        <w:tc>
          <w:tcPr>
            <w:tcW w:w="1680" w:type="dxa"/>
            <w:tcBorders>
              <w:top w:val="nil"/>
              <w:left w:val="nil"/>
              <w:bottom w:val="single" w:sz="4" w:space="0" w:color="auto"/>
              <w:right w:val="single" w:sz="4" w:space="0" w:color="auto"/>
            </w:tcBorders>
            <w:shd w:val="clear" w:color="000000" w:fill="FFFFFF"/>
            <w:vAlign w:val="center"/>
            <w:hideMark/>
          </w:tcPr>
          <w:p w14:paraId="699CD4BD" w14:textId="528B9B26"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76,782,696,659</w:t>
            </w:r>
          </w:p>
        </w:tc>
        <w:tc>
          <w:tcPr>
            <w:tcW w:w="1660" w:type="dxa"/>
            <w:tcBorders>
              <w:top w:val="nil"/>
              <w:left w:val="nil"/>
              <w:bottom w:val="single" w:sz="4" w:space="0" w:color="auto"/>
              <w:right w:val="single" w:sz="4" w:space="0" w:color="auto"/>
            </w:tcBorders>
            <w:shd w:val="clear" w:color="000000" w:fill="FFFFFF"/>
            <w:vAlign w:val="center"/>
            <w:hideMark/>
          </w:tcPr>
          <w:p w14:paraId="409A44CE" w14:textId="374AC0B8"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76,782,696,659</w:t>
            </w:r>
          </w:p>
        </w:tc>
        <w:tc>
          <w:tcPr>
            <w:tcW w:w="1560" w:type="dxa"/>
            <w:tcBorders>
              <w:top w:val="nil"/>
              <w:left w:val="nil"/>
              <w:bottom w:val="single" w:sz="4" w:space="0" w:color="auto"/>
              <w:right w:val="single" w:sz="4" w:space="0" w:color="auto"/>
            </w:tcBorders>
            <w:shd w:val="clear" w:color="000000" w:fill="FFFFFF"/>
            <w:vAlign w:val="center"/>
            <w:hideMark/>
          </w:tcPr>
          <w:p w14:paraId="794E6D1F"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40" w:type="dxa"/>
            <w:tcBorders>
              <w:top w:val="nil"/>
              <w:left w:val="nil"/>
              <w:bottom w:val="single" w:sz="4" w:space="0" w:color="auto"/>
              <w:right w:val="single" w:sz="4" w:space="0" w:color="auto"/>
            </w:tcBorders>
            <w:shd w:val="clear" w:color="000000" w:fill="FFFFFF"/>
            <w:vAlign w:val="center"/>
            <w:hideMark/>
          </w:tcPr>
          <w:p w14:paraId="50BD39BE"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r w:rsidR="00404C7D" w:rsidRPr="00111847" w14:paraId="41B9C44E" w14:textId="77777777" w:rsidTr="00946B18">
        <w:trPr>
          <w:trHeight w:val="7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BFD6432"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826</w:t>
            </w:r>
          </w:p>
        </w:tc>
        <w:tc>
          <w:tcPr>
            <w:tcW w:w="4200" w:type="dxa"/>
            <w:tcBorders>
              <w:top w:val="nil"/>
              <w:left w:val="nil"/>
              <w:bottom w:val="single" w:sz="4" w:space="0" w:color="auto"/>
              <w:right w:val="single" w:sz="4" w:space="0" w:color="auto"/>
            </w:tcBorders>
            <w:shd w:val="clear" w:color="auto" w:fill="auto"/>
            <w:vAlign w:val="center"/>
            <w:hideMark/>
          </w:tcPr>
          <w:p w14:paraId="02F9AF27"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Presupuesto de Egresos Ejercido</w:t>
            </w:r>
          </w:p>
        </w:tc>
        <w:tc>
          <w:tcPr>
            <w:tcW w:w="1680" w:type="dxa"/>
            <w:tcBorders>
              <w:top w:val="nil"/>
              <w:left w:val="nil"/>
              <w:bottom w:val="single" w:sz="4" w:space="0" w:color="auto"/>
              <w:right w:val="single" w:sz="4" w:space="0" w:color="auto"/>
            </w:tcBorders>
            <w:shd w:val="clear" w:color="000000" w:fill="FFFFFF"/>
            <w:vAlign w:val="center"/>
            <w:hideMark/>
          </w:tcPr>
          <w:p w14:paraId="3FC12E9B" w14:textId="4FD0E3F5"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76,782,696,659</w:t>
            </w:r>
          </w:p>
        </w:tc>
        <w:tc>
          <w:tcPr>
            <w:tcW w:w="1660" w:type="dxa"/>
            <w:tcBorders>
              <w:top w:val="nil"/>
              <w:left w:val="nil"/>
              <w:bottom w:val="single" w:sz="4" w:space="0" w:color="auto"/>
              <w:right w:val="single" w:sz="4" w:space="0" w:color="auto"/>
            </w:tcBorders>
            <w:shd w:val="clear" w:color="000000" w:fill="FFFFFF"/>
            <w:vAlign w:val="center"/>
            <w:hideMark/>
          </w:tcPr>
          <w:p w14:paraId="7125B611" w14:textId="16364602"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76,382,326,171</w:t>
            </w:r>
          </w:p>
        </w:tc>
        <w:tc>
          <w:tcPr>
            <w:tcW w:w="1560" w:type="dxa"/>
            <w:tcBorders>
              <w:top w:val="nil"/>
              <w:left w:val="nil"/>
              <w:bottom w:val="single" w:sz="4" w:space="0" w:color="auto"/>
              <w:right w:val="single" w:sz="4" w:space="0" w:color="auto"/>
            </w:tcBorders>
            <w:shd w:val="clear" w:color="000000" w:fill="FFFFFF"/>
            <w:vAlign w:val="center"/>
            <w:hideMark/>
          </w:tcPr>
          <w:p w14:paraId="4EC69F23" w14:textId="1929D1CA"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400,370,488</w:t>
            </w:r>
          </w:p>
        </w:tc>
        <w:tc>
          <w:tcPr>
            <w:tcW w:w="1540" w:type="dxa"/>
            <w:tcBorders>
              <w:top w:val="nil"/>
              <w:left w:val="nil"/>
              <w:bottom w:val="single" w:sz="4" w:space="0" w:color="auto"/>
              <w:right w:val="single" w:sz="4" w:space="0" w:color="auto"/>
            </w:tcBorders>
            <w:shd w:val="clear" w:color="000000" w:fill="FFFFFF"/>
            <w:vAlign w:val="center"/>
            <w:hideMark/>
          </w:tcPr>
          <w:p w14:paraId="34D3F063"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r w:rsidR="00404C7D" w:rsidRPr="00111847" w14:paraId="63C73486" w14:textId="77777777" w:rsidTr="00946B18">
        <w:trPr>
          <w:trHeight w:val="232"/>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EACC2F9" w14:textId="77777777" w:rsidR="00404C7D" w:rsidRPr="00111847" w:rsidRDefault="00404C7D" w:rsidP="00B37BEB">
            <w:pPr>
              <w:spacing w:after="0" w:line="240" w:lineRule="auto"/>
              <w:jc w:val="center"/>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827</w:t>
            </w:r>
          </w:p>
        </w:tc>
        <w:tc>
          <w:tcPr>
            <w:tcW w:w="4200" w:type="dxa"/>
            <w:tcBorders>
              <w:top w:val="nil"/>
              <w:left w:val="nil"/>
              <w:bottom w:val="single" w:sz="4" w:space="0" w:color="auto"/>
              <w:right w:val="single" w:sz="4" w:space="0" w:color="auto"/>
            </w:tcBorders>
            <w:shd w:val="clear" w:color="auto" w:fill="auto"/>
            <w:vAlign w:val="center"/>
            <w:hideMark/>
          </w:tcPr>
          <w:p w14:paraId="14C08DBF" w14:textId="77777777" w:rsidR="00404C7D" w:rsidRPr="00111847" w:rsidRDefault="00404C7D" w:rsidP="00B37BEB">
            <w:pPr>
              <w:spacing w:after="0" w:line="240" w:lineRule="auto"/>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Presupuesto de Egresos Pagado</w:t>
            </w:r>
          </w:p>
        </w:tc>
        <w:tc>
          <w:tcPr>
            <w:tcW w:w="1680" w:type="dxa"/>
            <w:tcBorders>
              <w:top w:val="nil"/>
              <w:left w:val="nil"/>
              <w:bottom w:val="single" w:sz="4" w:space="0" w:color="auto"/>
              <w:right w:val="single" w:sz="4" w:space="0" w:color="auto"/>
            </w:tcBorders>
            <w:shd w:val="clear" w:color="000000" w:fill="FFFFFF"/>
            <w:vAlign w:val="center"/>
            <w:hideMark/>
          </w:tcPr>
          <w:p w14:paraId="3A0A9036" w14:textId="6CB5E3D4"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76,382,326,171</w:t>
            </w:r>
          </w:p>
        </w:tc>
        <w:tc>
          <w:tcPr>
            <w:tcW w:w="1660" w:type="dxa"/>
            <w:tcBorders>
              <w:top w:val="nil"/>
              <w:left w:val="nil"/>
              <w:bottom w:val="single" w:sz="4" w:space="0" w:color="auto"/>
              <w:right w:val="single" w:sz="4" w:space="0" w:color="auto"/>
            </w:tcBorders>
            <w:shd w:val="clear" w:color="000000" w:fill="FFFFFF"/>
            <w:vAlign w:val="center"/>
            <w:hideMark/>
          </w:tcPr>
          <w:p w14:paraId="424B2775"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c>
          <w:tcPr>
            <w:tcW w:w="1560" w:type="dxa"/>
            <w:tcBorders>
              <w:top w:val="nil"/>
              <w:left w:val="nil"/>
              <w:bottom w:val="single" w:sz="4" w:space="0" w:color="auto"/>
              <w:right w:val="single" w:sz="4" w:space="0" w:color="auto"/>
            </w:tcBorders>
            <w:shd w:val="clear" w:color="000000" w:fill="FFFFFF"/>
            <w:vAlign w:val="center"/>
            <w:hideMark/>
          </w:tcPr>
          <w:p w14:paraId="5835840D" w14:textId="207B7C6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76,382,326,171</w:t>
            </w:r>
          </w:p>
        </w:tc>
        <w:tc>
          <w:tcPr>
            <w:tcW w:w="1540" w:type="dxa"/>
            <w:tcBorders>
              <w:top w:val="nil"/>
              <w:left w:val="nil"/>
              <w:bottom w:val="single" w:sz="4" w:space="0" w:color="auto"/>
              <w:right w:val="single" w:sz="4" w:space="0" w:color="auto"/>
            </w:tcBorders>
            <w:shd w:val="clear" w:color="000000" w:fill="FFFFFF"/>
            <w:vAlign w:val="center"/>
            <w:hideMark/>
          </w:tcPr>
          <w:p w14:paraId="1817CAAE" w14:textId="77777777" w:rsidR="00404C7D" w:rsidRPr="00111847" w:rsidRDefault="00404C7D" w:rsidP="00404C7D">
            <w:pPr>
              <w:spacing w:after="0" w:line="240" w:lineRule="auto"/>
              <w:jc w:val="right"/>
              <w:rPr>
                <w:rFonts w:ascii="Arial" w:eastAsia="Times New Roman" w:hAnsi="Arial" w:cs="Arial"/>
                <w:color w:val="000000"/>
                <w:sz w:val="20"/>
                <w:szCs w:val="20"/>
                <w:lang w:eastAsia="es-MX"/>
              </w:rPr>
            </w:pPr>
            <w:r w:rsidRPr="00111847">
              <w:rPr>
                <w:rFonts w:ascii="Arial" w:eastAsia="Times New Roman" w:hAnsi="Arial" w:cs="Arial"/>
                <w:color w:val="000000"/>
                <w:sz w:val="20"/>
                <w:szCs w:val="20"/>
                <w:lang w:eastAsia="es-MX"/>
              </w:rPr>
              <w:t>0</w:t>
            </w:r>
          </w:p>
        </w:tc>
      </w:tr>
    </w:tbl>
    <w:p w14:paraId="2E9327A6" w14:textId="77777777" w:rsidR="000160F9" w:rsidRPr="000C42E6" w:rsidRDefault="000160F9" w:rsidP="00CB7883">
      <w:pPr>
        <w:spacing w:before="43" w:after="200" w:line="240" w:lineRule="auto"/>
        <w:ind w:right="76"/>
        <w:jc w:val="both"/>
        <w:rPr>
          <w:rFonts w:ascii="Arial" w:eastAsia="DIN Next LT Pro Condensed" w:hAnsi="Arial" w:cs="Arial"/>
          <w:w w:val="102"/>
          <w:sz w:val="20"/>
          <w:szCs w:val="20"/>
        </w:rPr>
      </w:pPr>
    </w:p>
    <w:p w14:paraId="5E64C97E" w14:textId="77777777" w:rsidR="000160F9" w:rsidRPr="000C42E6" w:rsidRDefault="000160F9" w:rsidP="00CB7883">
      <w:pPr>
        <w:spacing w:before="43" w:after="200" w:line="240" w:lineRule="auto"/>
        <w:ind w:right="76"/>
        <w:jc w:val="both"/>
        <w:rPr>
          <w:rFonts w:ascii="Arial" w:eastAsia="DIN Next LT Pro Condensed" w:hAnsi="Arial" w:cs="Arial"/>
          <w:w w:val="102"/>
          <w:sz w:val="20"/>
          <w:szCs w:val="20"/>
        </w:rPr>
      </w:pPr>
    </w:p>
    <w:p w14:paraId="5B92DDD5" w14:textId="77777777" w:rsidR="000160F9" w:rsidRPr="000C42E6" w:rsidRDefault="000160F9" w:rsidP="00CB7883">
      <w:pPr>
        <w:spacing w:before="43" w:after="200" w:line="240" w:lineRule="auto"/>
        <w:ind w:right="76"/>
        <w:jc w:val="both"/>
        <w:rPr>
          <w:rFonts w:ascii="Arial" w:eastAsia="DIN Next LT Pro Condensed" w:hAnsi="Arial" w:cs="Arial"/>
          <w:w w:val="102"/>
          <w:sz w:val="20"/>
          <w:szCs w:val="20"/>
        </w:rPr>
      </w:pPr>
    </w:p>
    <w:p w14:paraId="2C552645" w14:textId="77777777" w:rsidR="00CB7883" w:rsidRPr="000C42E6" w:rsidRDefault="00CB7883" w:rsidP="00CB7883">
      <w:pPr>
        <w:spacing w:after="120" w:line="220" w:lineRule="exact"/>
        <w:jc w:val="center"/>
        <w:rPr>
          <w:rFonts w:ascii="Arial" w:eastAsia="Times New Roman" w:hAnsi="Arial" w:cs="Arial"/>
          <w:sz w:val="20"/>
          <w:szCs w:val="20"/>
          <w:lang w:eastAsia="es-ES"/>
        </w:rPr>
      </w:pPr>
    </w:p>
    <w:p w14:paraId="59AA0280" w14:textId="77777777" w:rsidR="00EA22C5" w:rsidRPr="000C42E6" w:rsidRDefault="00EA22C5">
      <w:pPr>
        <w:rPr>
          <w:rFonts w:ascii="Arial" w:hAnsi="Arial" w:cs="Arial"/>
          <w:sz w:val="20"/>
          <w:szCs w:val="20"/>
        </w:rPr>
      </w:pPr>
    </w:p>
    <w:sectPr w:rsidR="00EA22C5" w:rsidRPr="000C42E6" w:rsidSect="00BE28CC">
      <w:headerReference w:type="default" r:id="rId11"/>
      <w:footerReference w:type="default" r:id="rId12"/>
      <w:pgSz w:w="15840" w:h="12240" w:orient="landscape" w:code="1"/>
      <w:pgMar w:top="1134" w:right="1098" w:bottom="170" w:left="1843" w:header="709"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D674E" w14:textId="77777777" w:rsidR="009C4E1D" w:rsidRDefault="009C4E1D">
      <w:pPr>
        <w:spacing w:after="0" w:line="240" w:lineRule="auto"/>
      </w:pPr>
      <w:r>
        <w:separator/>
      </w:r>
    </w:p>
  </w:endnote>
  <w:endnote w:type="continuationSeparator" w:id="0">
    <w:p w14:paraId="53B5E965" w14:textId="77777777" w:rsidR="009C4E1D" w:rsidRDefault="009C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DIN Next LT Pro">
    <w:altName w:val="Corbel"/>
    <w:panose1 w:val="020B0503020203050203"/>
    <w:charset w:val="00"/>
    <w:family w:val="swiss"/>
    <w:pitch w:val="variable"/>
    <w:sig w:usb0="A00000AF" w:usb1="5000205B" w:usb2="00000000" w:usb3="00000000" w:csb0="0000009B" w:csb1="00000000"/>
  </w:font>
  <w:font w:name="DIN Next LT Pro Condensed">
    <w:altName w:val="Arial Narrow"/>
    <w:panose1 w:val="020B0506020203050203"/>
    <w:charset w:val="00"/>
    <w:family w:val="swiss"/>
    <w:pitch w:val="variable"/>
    <w:sig w:usb0="A00000AF" w:usb1="5000205B" w:usb2="00000000" w:usb3="00000000" w:csb0="0000009B" w:csb1="00000000"/>
  </w:font>
  <w:font w:name="Agency FB">
    <w:panose1 w:val="020B0503020202020204"/>
    <w:charset w:val="00"/>
    <w:family w:val="swiss"/>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BC94E" w14:textId="77777777" w:rsidR="009C4E1D" w:rsidRPr="00DD3043" w:rsidRDefault="009C4E1D">
    <w:pPr>
      <w:pStyle w:val="Piedepgina"/>
      <w:rPr>
        <w:rFonts w:ascii="Agency FB" w:hAnsi="Agency FB"/>
      </w:rPr>
    </w:pPr>
    <w:r w:rsidRPr="00DD3043">
      <w:rPr>
        <w:noProof/>
        <w:sz w:val="20"/>
        <w:lang w:eastAsia="es-MX"/>
      </w:rPr>
      <mc:AlternateContent>
        <mc:Choice Requires="wps">
          <w:drawing>
            <wp:anchor distT="0" distB="0" distL="114300" distR="114300" simplePos="0" relativeHeight="251661312" behindDoc="0" locked="0" layoutInCell="1" allowOverlap="1" wp14:anchorId="4A937EA2" wp14:editId="176DEE30">
              <wp:simplePos x="0" y="0"/>
              <wp:positionH relativeFrom="column">
                <wp:posOffset>-494030</wp:posOffset>
              </wp:positionH>
              <wp:positionV relativeFrom="paragraph">
                <wp:posOffset>4445</wp:posOffset>
              </wp:positionV>
              <wp:extent cx="9001496" cy="0"/>
              <wp:effectExtent l="0" t="0" r="28575" b="19050"/>
              <wp:wrapNone/>
              <wp:docPr id="6" name="16 Conector recto"/>
              <wp:cNvGraphicFramePr/>
              <a:graphic xmlns:a="http://schemas.openxmlformats.org/drawingml/2006/main">
                <a:graphicData uri="http://schemas.microsoft.com/office/word/2010/wordprocessingShape">
                  <wps:wsp>
                    <wps:cNvCnPr/>
                    <wps:spPr>
                      <a:xfrm>
                        <a:off x="0" y="0"/>
                        <a:ext cx="900149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42B5D5" id="16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35pt" to="669.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4vwQEAAG8DAAAOAAAAZHJzL2Uyb0RvYy54bWysU01v2zAMvQ/YfxB0b+wERbYacXpI0F2G&#10;LcC6H8DKki1AXyC1OPn3o5Q067bbMB8kUhSf+B7pzePJO3HUSDaGXi4XrRQ6qDjYMPby+/PT3Ucp&#10;KEMYwMWge3nWJB+3799t5tTpVZyiGzQKBgnUzamXU86paxpSk/ZAi5h04KCJ6CGzi2MzIMyM7l2z&#10;att1M0ccEkalifh0fwnKbcU3Rqv81RjSWbhecm25rljXl7I22w10I0KarLqWAf9QhQcb+NEb1B4y&#10;iB9o/4LyVmGkaPJCRd9EY6zSlQOzWbZ/sPk2QdKVC4tD6SYT/T9Y9eV4QGGHXq6lCOC5Rcu12HGv&#10;VI4osGxFpDlRx3d34YBXj9IBC+OTQV925iJOVdjzTVh9ykLx4UPbLu8f+AX1Gmt+JSak/ElHL4rR&#10;S2dD4QwdHD9T5sf46uuVchzik3Wu9s0FMXO9qw8tt1YBj49xkNn0iQlRGKUAN/JcqowVkqKzQ0kv&#10;QHSmnUNxBB4Nnqghzs9crxQOKHOASdSvsOcSfkst9eyBpktyDV2vuVCgdZ28a/lFuotYxXqJw7lq&#10;2BSPu1rRrxNYxuatz/bb/2T7EwAA//8DAFBLAwQUAAYACAAAACEA0PuBS9sAAAAGAQAADwAAAGRy&#10;cy9kb3ducmV2LnhtbEyOS0vDQBSF94L/YbiCG2knTcHYmEkpKULAhVgVXN5mrnk4jzAzbeO/d7LS&#10;5cc5nPMV20krdibne2sErJYJMDKNlb1pBby/PS0egPmARqKyhgT8kIdteX1VYC7txbzS+RBaFkeM&#10;z1FAF8KYc+6bjjT6pR3JxOzLOo0homu5dHiJ41rxNEnuucbexIcOR6o6ar4PJy2gfl5tqrsqtfUw&#10;DJ97fPlIXa2EuL2Zdo/AAk3hrwyzflSHMjod7clIz5SARZZF9SAgAzbH6/Um8nFmXhb8v375CwAA&#10;//8DAFBLAQItABQABgAIAAAAIQC2gziS/gAAAOEBAAATAAAAAAAAAAAAAAAAAAAAAABbQ29udGVu&#10;dF9UeXBlc10ueG1sUEsBAi0AFAAGAAgAAAAhADj9If/WAAAAlAEAAAsAAAAAAAAAAAAAAAAALwEA&#10;AF9yZWxzLy5yZWxzUEsBAi0AFAAGAAgAAAAhANkWri/BAQAAbwMAAA4AAAAAAAAAAAAAAAAALgIA&#10;AGRycy9lMm9Eb2MueG1sUEsBAi0AFAAGAAgAAAAhAND7gUvbAAAABgEAAA8AAAAAAAAAAAAAAAAA&#10;GwQAAGRycy9kb3ducmV2LnhtbFBLBQYAAAAABAAEAPMAAAAjBQAAAAA=&#10;" strokecolor="windowText" strokeweight="1pt"/>
          </w:pict>
        </mc:Fallback>
      </mc:AlternateContent>
    </w:r>
    <w:r w:rsidRPr="00DD3043">
      <w:rPr>
        <w:rFonts w:ascii="Agency FB" w:hAnsi="Agency FB"/>
        <w:sz w:val="20"/>
      </w:rPr>
      <w:t>CONTABLE</w:t>
    </w:r>
  </w:p>
  <w:p w14:paraId="25A68596" w14:textId="77777777" w:rsidR="009C4E1D" w:rsidRPr="0072082B" w:rsidRDefault="009C4E1D" w:rsidP="00BE28CC">
    <w:pPr>
      <w:pStyle w:val="Piedepgina"/>
      <w:tabs>
        <w:tab w:val="left" w:pos="1052"/>
        <w:tab w:val="left" w:pos="5059"/>
        <w:tab w:val="center" w:pos="6616"/>
      </w:tabs>
      <w:rPr>
        <w:rFonts w:ascii="DIN Next LT Pro" w:hAnsi="DIN Next LT Pro"/>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95036" w14:textId="77777777" w:rsidR="009C4E1D" w:rsidRDefault="009C4E1D">
      <w:pPr>
        <w:spacing w:after="0" w:line="240" w:lineRule="auto"/>
      </w:pPr>
      <w:r>
        <w:separator/>
      </w:r>
    </w:p>
  </w:footnote>
  <w:footnote w:type="continuationSeparator" w:id="0">
    <w:p w14:paraId="72C90AFA" w14:textId="77777777" w:rsidR="009C4E1D" w:rsidRDefault="009C4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8FE35" w14:textId="4B674CC5" w:rsidR="009C4E1D" w:rsidRPr="005948CE" w:rsidRDefault="009C4E1D" w:rsidP="00090C0A">
    <w:pPr>
      <w:pStyle w:val="Encabezado"/>
      <w:rPr>
        <w:rFonts w:ascii="DIN Next LT Pro Condensed" w:hAnsi="DIN Next LT Pro Condensed"/>
        <w:lang w:eastAsia="es-MX"/>
      </w:rPr>
    </w:pPr>
    <w:r>
      <w:rPr>
        <w:rFonts w:ascii="DIN Next LT Pro Condensed" w:hAnsi="DIN Next LT Pro Condensed"/>
        <w:noProof/>
        <w:lang w:eastAsia="es-MX"/>
      </w:rPr>
      <w:drawing>
        <wp:anchor distT="0" distB="0" distL="114300" distR="114300" simplePos="0" relativeHeight="251662336" behindDoc="1" locked="0" layoutInCell="1" allowOverlap="1" wp14:anchorId="77044E02" wp14:editId="75D1AC7C">
          <wp:simplePos x="0" y="0"/>
          <wp:positionH relativeFrom="margin">
            <wp:posOffset>7468870</wp:posOffset>
          </wp:positionH>
          <wp:positionV relativeFrom="paragraph">
            <wp:posOffset>-231140</wp:posOffset>
          </wp:positionV>
          <wp:extent cx="883920" cy="380916"/>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ENTA PUBLICA 2025.png"/>
                  <pic:cNvPicPr/>
                </pic:nvPicPr>
                <pic:blipFill rotWithShape="1">
                  <a:blip r:embed="rId1">
                    <a:extLst>
                      <a:ext uri="{28A0092B-C50C-407E-A947-70E740481C1C}">
                        <a14:useLocalDpi xmlns:a14="http://schemas.microsoft.com/office/drawing/2010/main" val="0"/>
                      </a:ext>
                    </a:extLst>
                  </a:blip>
                  <a:srcRect l="8332" t="4545" r="2941" b="6819"/>
                  <a:stretch/>
                </pic:blipFill>
                <pic:spPr bwMode="auto">
                  <a:xfrm>
                    <a:off x="0" y="0"/>
                    <a:ext cx="883920" cy="3809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48CE">
      <w:rPr>
        <w:rFonts w:ascii="DIN Next LT Pro Condensed" w:hAnsi="DIN Next LT Pro Condensed"/>
        <w:noProof/>
        <w:lang w:eastAsia="es-MX"/>
      </w:rPr>
      <mc:AlternateContent>
        <mc:Choice Requires="wps">
          <w:drawing>
            <wp:anchor distT="0" distB="0" distL="114300" distR="114300" simplePos="0" relativeHeight="251660288" behindDoc="0" locked="0" layoutInCell="1" allowOverlap="1" wp14:anchorId="3F88792E" wp14:editId="6E858ACD">
              <wp:simplePos x="0" y="0"/>
              <wp:positionH relativeFrom="column">
                <wp:posOffset>-626159</wp:posOffset>
              </wp:positionH>
              <wp:positionV relativeFrom="paragraph">
                <wp:posOffset>191053</wp:posOffset>
              </wp:positionV>
              <wp:extent cx="9001496" cy="0"/>
              <wp:effectExtent l="0" t="0" r="28575" b="19050"/>
              <wp:wrapNone/>
              <wp:docPr id="16" name="16 Conector recto"/>
              <wp:cNvGraphicFramePr/>
              <a:graphic xmlns:a="http://schemas.openxmlformats.org/drawingml/2006/main">
                <a:graphicData uri="http://schemas.microsoft.com/office/word/2010/wordprocessingShape">
                  <wps:wsp>
                    <wps:cNvCnPr/>
                    <wps:spPr>
                      <a:xfrm>
                        <a:off x="0" y="0"/>
                        <a:ext cx="900149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8BBAA9" id="16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5.05pt" to="65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0bkwgEAAHADAAAOAAAAZHJzL2Uyb0RvYy54bWysU01v2zAMvQ/YfxB0b+wERbYacXpI0F2G&#10;LcC6H8DKki1AXyC1OPn3o5Q067bbMB8kUhSf+B7pzePJO3HUSDaGXi4XrRQ6qDjYMPby+/PT3Ucp&#10;KEMYwMWge3nWJB+3799t5tTpVZyiGzQKBgnUzamXU86paxpSk/ZAi5h04KCJ6CGzi2MzIMyM7l2z&#10;att1M0ccEkalifh0fwnKbcU3Rqv81RjSWbhecm25rljXl7I22w10I0KarLqWAf9QhQcb+NEb1B4y&#10;iB9o/4LyVmGkaPJCRd9EY6zSlQOzWbZ/sPk2QdKVC4tD6SYT/T9Y9eV4QGEH7t1aigCee7Rcix03&#10;S+WIAstWVJoTdXx5Fw549SgdsFA+GfRlZzLiVJU935TVpywUHz607fL+gV9Qr7HmV2JCyp909KIY&#10;vXQ2FNLQwfEzZX6Mr75eKcchPlnnauNcEDPXu/rQcm8V8PwYB5lNn5gRhVEKcCMPpspYISk6O5T0&#10;AkRn2jkUR+DZ4JEa4vzM9UrhgDIHmET9Cnsu4bfUUs8eaLok19D1mgsFWtfRu5ZfpLuIVayXOJyr&#10;hk3xuK0V/TqCZW7e+my//VG2PwEAAP//AwBQSwMEFAAGAAgAAAAhAHpn4KbgAAAACgEAAA8AAABk&#10;cnMvZG93bnJldi54bWxMj01Lw0AQhu+C/2EZwYu0m6RQmphNkYgQ8CBWBY/b7JgPd2fD7raN/94t&#10;HupxZh7eed5yOxvNjuj8YElAukyAIbVWDdQJeH97WmyA+SBJSW0JBfygh211fVXKQtkTveJxFzoW&#10;Q8gXUkAfwlRw7tsejfRLOyHF25d1RoY4uo4rJ08x3GieJcmaGzlQ/NDLCese2+/dwQhontO8vqsz&#10;24zj+PkoXz4y12ghbm/mh3tgAedwgeGsH9Whik57eyDlmRawyDfriApYJSmwM7BK89hu/7fhVcn/&#10;V6h+AQAA//8DAFBLAQItABQABgAIAAAAIQC2gziS/gAAAOEBAAATAAAAAAAAAAAAAAAAAAAAAABb&#10;Q29udGVudF9UeXBlc10ueG1sUEsBAi0AFAAGAAgAAAAhADj9If/WAAAAlAEAAAsAAAAAAAAAAAAA&#10;AAAALwEAAF9yZWxzLy5yZWxzUEsBAi0AFAAGAAgAAAAhAPkzRuTCAQAAcAMAAA4AAAAAAAAAAAAA&#10;AAAALgIAAGRycy9lMm9Eb2MueG1sUEsBAi0AFAAGAAgAAAAhAHpn4KbgAAAACgEAAA8AAAAAAAAA&#10;AAAAAAAAHAQAAGRycy9kb3ducmV2LnhtbFBLBQYAAAAABAAEAPMAAAApBQAAAAA=&#10;" strokecolor="windowText" strokeweight="1pt"/>
          </w:pict>
        </mc:Fallback>
      </mc:AlternateContent>
    </w:r>
    <w:r>
      <w:rPr>
        <w:rFonts w:ascii="DIN Next LT Pro Condensed" w:hAnsi="DIN Next LT Pro Condensed"/>
        <w:lang w:eastAsia="es-MX"/>
      </w:rPr>
      <w:t>PODER EJECUTIVO</w:t>
    </w:r>
  </w:p>
  <w:p w14:paraId="3F2CE376" w14:textId="2F85D997" w:rsidR="009C4E1D" w:rsidRDefault="009C4E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088"/>
    <w:multiLevelType w:val="hybridMultilevel"/>
    <w:tmpl w:val="B47EE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92A24"/>
    <w:multiLevelType w:val="hybridMultilevel"/>
    <w:tmpl w:val="697E7EFE"/>
    <w:lvl w:ilvl="0" w:tplc="3862791E">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92050B0"/>
    <w:multiLevelType w:val="hybridMultilevel"/>
    <w:tmpl w:val="56C41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F4D09"/>
    <w:multiLevelType w:val="hybridMultilevel"/>
    <w:tmpl w:val="FE0EEA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B61DE"/>
    <w:multiLevelType w:val="hybridMultilevel"/>
    <w:tmpl w:val="337441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2010A0"/>
    <w:multiLevelType w:val="hybridMultilevel"/>
    <w:tmpl w:val="AA16808A"/>
    <w:lvl w:ilvl="0" w:tplc="911C81D6">
      <w:start w:val="1"/>
      <w:numFmt w:val="upperRoman"/>
      <w:lvlText w:val="%1."/>
      <w:lvlJc w:val="left"/>
      <w:pPr>
        <w:ind w:left="217" w:hanging="360"/>
      </w:pPr>
      <w:rPr>
        <w:rFonts w:hint="default"/>
      </w:rPr>
    </w:lvl>
    <w:lvl w:ilvl="1" w:tplc="080A0019">
      <w:start w:val="1"/>
      <w:numFmt w:val="lowerLetter"/>
      <w:lvlText w:val="%2."/>
      <w:lvlJc w:val="left"/>
      <w:pPr>
        <w:ind w:left="937" w:hanging="360"/>
      </w:pPr>
    </w:lvl>
    <w:lvl w:ilvl="2" w:tplc="080A001B" w:tentative="1">
      <w:start w:val="1"/>
      <w:numFmt w:val="lowerRoman"/>
      <w:lvlText w:val="%3."/>
      <w:lvlJc w:val="right"/>
      <w:pPr>
        <w:ind w:left="1657" w:hanging="180"/>
      </w:pPr>
    </w:lvl>
    <w:lvl w:ilvl="3" w:tplc="080A000F" w:tentative="1">
      <w:start w:val="1"/>
      <w:numFmt w:val="decimal"/>
      <w:lvlText w:val="%4."/>
      <w:lvlJc w:val="left"/>
      <w:pPr>
        <w:ind w:left="2377" w:hanging="360"/>
      </w:pPr>
    </w:lvl>
    <w:lvl w:ilvl="4" w:tplc="080A0019" w:tentative="1">
      <w:start w:val="1"/>
      <w:numFmt w:val="lowerLetter"/>
      <w:lvlText w:val="%5."/>
      <w:lvlJc w:val="left"/>
      <w:pPr>
        <w:ind w:left="3097" w:hanging="360"/>
      </w:pPr>
    </w:lvl>
    <w:lvl w:ilvl="5" w:tplc="080A001B" w:tentative="1">
      <w:start w:val="1"/>
      <w:numFmt w:val="lowerRoman"/>
      <w:lvlText w:val="%6."/>
      <w:lvlJc w:val="right"/>
      <w:pPr>
        <w:ind w:left="3817" w:hanging="180"/>
      </w:pPr>
    </w:lvl>
    <w:lvl w:ilvl="6" w:tplc="080A000F" w:tentative="1">
      <w:start w:val="1"/>
      <w:numFmt w:val="decimal"/>
      <w:lvlText w:val="%7."/>
      <w:lvlJc w:val="left"/>
      <w:pPr>
        <w:ind w:left="4537" w:hanging="360"/>
      </w:pPr>
    </w:lvl>
    <w:lvl w:ilvl="7" w:tplc="080A0019" w:tentative="1">
      <w:start w:val="1"/>
      <w:numFmt w:val="lowerLetter"/>
      <w:lvlText w:val="%8."/>
      <w:lvlJc w:val="left"/>
      <w:pPr>
        <w:ind w:left="5257" w:hanging="360"/>
      </w:pPr>
    </w:lvl>
    <w:lvl w:ilvl="8" w:tplc="080A001B" w:tentative="1">
      <w:start w:val="1"/>
      <w:numFmt w:val="lowerRoman"/>
      <w:lvlText w:val="%9."/>
      <w:lvlJc w:val="right"/>
      <w:pPr>
        <w:ind w:left="5977" w:hanging="180"/>
      </w:pPr>
    </w:lvl>
  </w:abstractNum>
  <w:abstractNum w:abstractNumId="6" w15:restartNumberingAfterBreak="0">
    <w:nsid w:val="24B026C0"/>
    <w:multiLevelType w:val="hybridMultilevel"/>
    <w:tmpl w:val="BB08A724"/>
    <w:lvl w:ilvl="0" w:tplc="582AB91E">
      <w:start w:val="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407A91"/>
    <w:multiLevelType w:val="hybridMultilevel"/>
    <w:tmpl w:val="A7562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13366E"/>
    <w:multiLevelType w:val="multilevel"/>
    <w:tmpl w:val="AC8E4970"/>
    <w:lvl w:ilvl="0">
      <w:start w:val="1"/>
      <w:numFmt w:val="lowerLetter"/>
      <w:lvlText w:val="%1."/>
      <w:lvlJc w:val="left"/>
      <w:pPr>
        <w:tabs>
          <w:tab w:val="num" w:pos="720"/>
        </w:tabs>
        <w:ind w:left="720" w:hanging="360"/>
      </w:pPr>
    </w:lvl>
    <w:lvl w:ilvl="1">
      <w:start w:val="19"/>
      <w:numFmt w:val="decimal"/>
      <w:lvlText w:val="%2"/>
      <w:lvlJc w:val="left"/>
      <w:pPr>
        <w:ind w:left="1440" w:hanging="360"/>
      </w:pPr>
      <w:rPr>
        <w:rFonts w:hint="default"/>
        <w:b/>
      </w:rPr>
    </w:lvl>
    <w:lvl w:ilvl="2">
      <w:start w:val="19"/>
      <w:numFmt w:val="decimal"/>
      <w:lvlText w:val="%3."/>
      <w:lvlJc w:val="left"/>
      <w:pPr>
        <w:ind w:left="2160" w:hanging="360"/>
      </w:pPr>
      <w:rPr>
        <w:rFonts w:hint="default"/>
        <w:b/>
      </w:rPr>
    </w:lvl>
    <w:lvl w:ilvl="3">
      <w:start w:val="3"/>
      <w:numFmt w:val="lowerLetter"/>
      <w:lvlText w:val="%4)"/>
      <w:lvlJc w:val="left"/>
      <w:pPr>
        <w:ind w:left="2880" w:hanging="360"/>
      </w:pPr>
      <w:rPr>
        <w:rFonts w:hint="default"/>
      </w:rPr>
    </w:lvl>
    <w:lvl w:ilvl="4">
      <w:start w:val="1"/>
      <w:numFmt w:val="lowerLetter"/>
      <w:lvlText w:val="%5)"/>
      <w:lvlJc w:val="left"/>
      <w:pPr>
        <w:ind w:left="3600" w:hanging="360"/>
      </w:pPr>
      <w:rPr>
        <w:rFonts w:ascii="Arial" w:eastAsiaTheme="minorHAnsi" w:hAnsi="Arial" w:cs="Arial"/>
        <w:b w:val="0"/>
      </w:rPr>
    </w:lvl>
    <w:lvl w:ilvl="5">
      <w:start w:val="1"/>
      <w:numFmt w:val="bullet"/>
      <w:lvlText w:val="-"/>
      <w:lvlJc w:val="left"/>
      <w:pPr>
        <w:ind w:left="4320" w:hanging="360"/>
      </w:pPr>
      <w:rPr>
        <w:rFonts w:ascii="Arial" w:eastAsiaTheme="minorHAnsi" w:hAnsi="Arial" w:cs="Arial" w:hint="default"/>
      </w:rPr>
    </w:lvl>
    <w:lvl w:ilvl="6">
      <w:start w:val="1"/>
      <w:numFmt w:val="upp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136CA3"/>
    <w:multiLevelType w:val="multilevel"/>
    <w:tmpl w:val="D0A63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753C70"/>
    <w:multiLevelType w:val="hybridMultilevel"/>
    <w:tmpl w:val="1560838C"/>
    <w:lvl w:ilvl="0" w:tplc="EF6E16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652185B"/>
    <w:multiLevelType w:val="hybridMultilevel"/>
    <w:tmpl w:val="3DEA82BC"/>
    <w:lvl w:ilvl="0" w:tplc="05A265F8">
      <w:start w:val="3"/>
      <w:numFmt w:val="upperRoman"/>
      <w:lvlText w:val="%1."/>
      <w:lvlJc w:val="left"/>
      <w:pPr>
        <w:ind w:left="21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8C633C"/>
    <w:multiLevelType w:val="multilevel"/>
    <w:tmpl w:val="2440F2B0"/>
    <w:lvl w:ilvl="0">
      <w:start w:val="1"/>
      <w:numFmt w:val="lowerLetter"/>
      <w:lvlText w:val="%1)"/>
      <w:lvlJc w:val="left"/>
      <w:pPr>
        <w:tabs>
          <w:tab w:val="num" w:pos="720"/>
        </w:tabs>
        <w:ind w:left="720" w:hanging="360"/>
      </w:pPr>
    </w:lvl>
    <w:lvl w:ilvl="1">
      <w:start w:val="9"/>
      <w:numFmt w:val="decimal"/>
      <w:lvlText w:val="%2"/>
      <w:lvlJc w:val="left"/>
      <w:pPr>
        <w:ind w:left="1440" w:hanging="360"/>
      </w:pPr>
      <w:rPr>
        <w:rFonts w:hint="default"/>
      </w:rPr>
    </w:lvl>
    <w:lvl w:ilvl="2">
      <w:numFmt w:val="bullet"/>
      <w:lvlText w:val=""/>
      <w:lvlJc w:val="left"/>
      <w:pPr>
        <w:ind w:left="2160" w:hanging="360"/>
      </w:pPr>
      <w:rPr>
        <w:rFonts w:ascii="Symbol" w:eastAsiaTheme="minorHAnsi" w:hAnsi="Symbo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2568D6"/>
    <w:multiLevelType w:val="hybridMultilevel"/>
    <w:tmpl w:val="316A2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D6886"/>
    <w:multiLevelType w:val="hybridMultilevel"/>
    <w:tmpl w:val="4498D02C"/>
    <w:lvl w:ilvl="0" w:tplc="E6D4FF2E">
      <w:start w:val="1"/>
      <w:numFmt w:val="upperRoman"/>
      <w:lvlText w:val="%1."/>
      <w:lvlJc w:val="left"/>
      <w:pPr>
        <w:ind w:left="217" w:hanging="360"/>
      </w:pPr>
      <w:rPr>
        <w:rFonts w:hint="default"/>
      </w:rPr>
    </w:lvl>
    <w:lvl w:ilvl="1" w:tplc="080A0019">
      <w:start w:val="1"/>
      <w:numFmt w:val="lowerLetter"/>
      <w:lvlText w:val="%2."/>
      <w:lvlJc w:val="left"/>
      <w:pPr>
        <w:ind w:left="937" w:hanging="360"/>
      </w:pPr>
    </w:lvl>
    <w:lvl w:ilvl="2" w:tplc="080A001B" w:tentative="1">
      <w:start w:val="1"/>
      <w:numFmt w:val="lowerRoman"/>
      <w:lvlText w:val="%3."/>
      <w:lvlJc w:val="right"/>
      <w:pPr>
        <w:ind w:left="1657" w:hanging="180"/>
      </w:pPr>
    </w:lvl>
    <w:lvl w:ilvl="3" w:tplc="080A000F" w:tentative="1">
      <w:start w:val="1"/>
      <w:numFmt w:val="decimal"/>
      <w:lvlText w:val="%4."/>
      <w:lvlJc w:val="left"/>
      <w:pPr>
        <w:ind w:left="2377" w:hanging="360"/>
      </w:pPr>
    </w:lvl>
    <w:lvl w:ilvl="4" w:tplc="080A0019" w:tentative="1">
      <w:start w:val="1"/>
      <w:numFmt w:val="lowerLetter"/>
      <w:lvlText w:val="%5."/>
      <w:lvlJc w:val="left"/>
      <w:pPr>
        <w:ind w:left="3097" w:hanging="360"/>
      </w:pPr>
    </w:lvl>
    <w:lvl w:ilvl="5" w:tplc="080A001B" w:tentative="1">
      <w:start w:val="1"/>
      <w:numFmt w:val="lowerRoman"/>
      <w:lvlText w:val="%6."/>
      <w:lvlJc w:val="right"/>
      <w:pPr>
        <w:ind w:left="3817" w:hanging="180"/>
      </w:pPr>
    </w:lvl>
    <w:lvl w:ilvl="6" w:tplc="080A000F" w:tentative="1">
      <w:start w:val="1"/>
      <w:numFmt w:val="decimal"/>
      <w:lvlText w:val="%7."/>
      <w:lvlJc w:val="left"/>
      <w:pPr>
        <w:ind w:left="4537" w:hanging="360"/>
      </w:pPr>
    </w:lvl>
    <w:lvl w:ilvl="7" w:tplc="080A0019" w:tentative="1">
      <w:start w:val="1"/>
      <w:numFmt w:val="lowerLetter"/>
      <w:lvlText w:val="%8."/>
      <w:lvlJc w:val="left"/>
      <w:pPr>
        <w:ind w:left="5257" w:hanging="360"/>
      </w:pPr>
    </w:lvl>
    <w:lvl w:ilvl="8" w:tplc="080A001B" w:tentative="1">
      <w:start w:val="1"/>
      <w:numFmt w:val="lowerRoman"/>
      <w:lvlText w:val="%9."/>
      <w:lvlJc w:val="right"/>
      <w:pPr>
        <w:ind w:left="5977" w:hanging="180"/>
      </w:pPr>
    </w:lvl>
  </w:abstractNum>
  <w:abstractNum w:abstractNumId="15" w15:restartNumberingAfterBreak="0">
    <w:nsid w:val="3CE0263F"/>
    <w:multiLevelType w:val="multilevel"/>
    <w:tmpl w:val="D2383B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7F55AB"/>
    <w:multiLevelType w:val="hybridMultilevel"/>
    <w:tmpl w:val="5CBE48B2"/>
    <w:lvl w:ilvl="0" w:tplc="080A0001">
      <w:start w:val="1"/>
      <w:numFmt w:val="bullet"/>
      <w:lvlText w:val=""/>
      <w:lvlJc w:val="left"/>
      <w:pPr>
        <w:ind w:left="643" w:hanging="360"/>
      </w:pPr>
      <w:rPr>
        <w:rFonts w:ascii="Symbol" w:hAnsi="Symbol" w:hint="default"/>
      </w:rPr>
    </w:lvl>
    <w:lvl w:ilvl="1" w:tplc="080A0003" w:tentative="1">
      <w:start w:val="1"/>
      <w:numFmt w:val="bullet"/>
      <w:lvlText w:val="o"/>
      <w:lvlJc w:val="left"/>
      <w:pPr>
        <w:ind w:left="1363" w:hanging="360"/>
      </w:pPr>
      <w:rPr>
        <w:rFonts w:ascii="Courier New" w:hAnsi="Courier New" w:cs="Courier New" w:hint="default"/>
      </w:rPr>
    </w:lvl>
    <w:lvl w:ilvl="2" w:tplc="080A0005" w:tentative="1">
      <w:start w:val="1"/>
      <w:numFmt w:val="bullet"/>
      <w:lvlText w:val=""/>
      <w:lvlJc w:val="left"/>
      <w:pPr>
        <w:ind w:left="2083" w:hanging="360"/>
      </w:pPr>
      <w:rPr>
        <w:rFonts w:ascii="Wingdings" w:hAnsi="Wingdings" w:hint="default"/>
      </w:rPr>
    </w:lvl>
    <w:lvl w:ilvl="3" w:tplc="080A0001" w:tentative="1">
      <w:start w:val="1"/>
      <w:numFmt w:val="bullet"/>
      <w:lvlText w:val=""/>
      <w:lvlJc w:val="left"/>
      <w:pPr>
        <w:ind w:left="2803" w:hanging="360"/>
      </w:pPr>
      <w:rPr>
        <w:rFonts w:ascii="Symbol" w:hAnsi="Symbol" w:hint="default"/>
      </w:rPr>
    </w:lvl>
    <w:lvl w:ilvl="4" w:tplc="080A0003" w:tentative="1">
      <w:start w:val="1"/>
      <w:numFmt w:val="bullet"/>
      <w:lvlText w:val="o"/>
      <w:lvlJc w:val="left"/>
      <w:pPr>
        <w:ind w:left="3523" w:hanging="360"/>
      </w:pPr>
      <w:rPr>
        <w:rFonts w:ascii="Courier New" w:hAnsi="Courier New" w:cs="Courier New" w:hint="default"/>
      </w:rPr>
    </w:lvl>
    <w:lvl w:ilvl="5" w:tplc="080A0005" w:tentative="1">
      <w:start w:val="1"/>
      <w:numFmt w:val="bullet"/>
      <w:lvlText w:val=""/>
      <w:lvlJc w:val="left"/>
      <w:pPr>
        <w:ind w:left="4243" w:hanging="360"/>
      </w:pPr>
      <w:rPr>
        <w:rFonts w:ascii="Wingdings" w:hAnsi="Wingdings" w:hint="default"/>
      </w:rPr>
    </w:lvl>
    <w:lvl w:ilvl="6" w:tplc="080A0001" w:tentative="1">
      <w:start w:val="1"/>
      <w:numFmt w:val="bullet"/>
      <w:lvlText w:val=""/>
      <w:lvlJc w:val="left"/>
      <w:pPr>
        <w:ind w:left="4963" w:hanging="360"/>
      </w:pPr>
      <w:rPr>
        <w:rFonts w:ascii="Symbol" w:hAnsi="Symbol" w:hint="default"/>
      </w:rPr>
    </w:lvl>
    <w:lvl w:ilvl="7" w:tplc="080A0003" w:tentative="1">
      <w:start w:val="1"/>
      <w:numFmt w:val="bullet"/>
      <w:lvlText w:val="o"/>
      <w:lvlJc w:val="left"/>
      <w:pPr>
        <w:ind w:left="5683" w:hanging="360"/>
      </w:pPr>
      <w:rPr>
        <w:rFonts w:ascii="Courier New" w:hAnsi="Courier New" w:cs="Courier New" w:hint="default"/>
      </w:rPr>
    </w:lvl>
    <w:lvl w:ilvl="8" w:tplc="080A0005" w:tentative="1">
      <w:start w:val="1"/>
      <w:numFmt w:val="bullet"/>
      <w:lvlText w:val=""/>
      <w:lvlJc w:val="left"/>
      <w:pPr>
        <w:ind w:left="6403" w:hanging="360"/>
      </w:pPr>
      <w:rPr>
        <w:rFonts w:ascii="Wingdings" w:hAnsi="Wingdings" w:hint="default"/>
      </w:rPr>
    </w:lvl>
  </w:abstractNum>
  <w:abstractNum w:abstractNumId="17" w15:restartNumberingAfterBreak="0">
    <w:nsid w:val="45E51464"/>
    <w:multiLevelType w:val="multilevel"/>
    <w:tmpl w:val="7570C6EA"/>
    <w:lvl w:ilvl="0">
      <w:start w:val="6"/>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7A12D17"/>
    <w:multiLevelType w:val="hybridMultilevel"/>
    <w:tmpl w:val="09B6C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9410C1"/>
    <w:multiLevelType w:val="hybridMultilevel"/>
    <w:tmpl w:val="D1787B7C"/>
    <w:lvl w:ilvl="0" w:tplc="080A0017">
      <w:start w:val="1"/>
      <w:numFmt w:val="lowerLetter"/>
      <w:lvlText w:val="%1)"/>
      <w:lvlJc w:val="left"/>
      <w:pPr>
        <w:ind w:left="833" w:hanging="360"/>
      </w:pPr>
      <w:rPr>
        <w:rFonts w:hint="default"/>
        <w:b/>
        <w:sz w:val="22"/>
        <w:szCs w:val="16"/>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20" w15:restartNumberingAfterBreak="0">
    <w:nsid w:val="48D37FB6"/>
    <w:multiLevelType w:val="hybridMultilevel"/>
    <w:tmpl w:val="38268F9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B75D49"/>
    <w:multiLevelType w:val="hybridMultilevel"/>
    <w:tmpl w:val="24E82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FC2F71"/>
    <w:multiLevelType w:val="multilevel"/>
    <w:tmpl w:val="B55E9028"/>
    <w:lvl w:ilvl="0">
      <w:start w:val="3"/>
      <w:numFmt w:val="decimal"/>
      <w:lvlText w:val="%1."/>
      <w:lvlJc w:val="left"/>
      <w:pPr>
        <w:ind w:left="648" w:hanging="360"/>
      </w:pPr>
      <w:rPr>
        <w:rFonts w:hint="default"/>
      </w:rPr>
    </w:lvl>
    <w:lvl w:ilvl="1">
      <w:start w:val="7"/>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3" w15:restartNumberingAfterBreak="0">
    <w:nsid w:val="554B5E73"/>
    <w:multiLevelType w:val="hybridMultilevel"/>
    <w:tmpl w:val="C52A9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355BEF"/>
    <w:multiLevelType w:val="hybridMultilevel"/>
    <w:tmpl w:val="2174A7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D77757C"/>
    <w:multiLevelType w:val="hybridMultilevel"/>
    <w:tmpl w:val="811A2708"/>
    <w:lvl w:ilvl="0" w:tplc="D070F21A">
      <w:start w:val="1"/>
      <w:numFmt w:val="lowerLetter"/>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6" w15:restartNumberingAfterBreak="0">
    <w:nsid w:val="5DAB20E1"/>
    <w:multiLevelType w:val="multilevel"/>
    <w:tmpl w:val="26EA5C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E35363"/>
    <w:multiLevelType w:val="multilevel"/>
    <w:tmpl w:val="26E815DC"/>
    <w:lvl w:ilvl="0">
      <w:start w:val="2"/>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5827A9"/>
    <w:multiLevelType w:val="hybridMultilevel"/>
    <w:tmpl w:val="23061E82"/>
    <w:lvl w:ilvl="0" w:tplc="819E182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34E7B18"/>
    <w:multiLevelType w:val="multilevel"/>
    <w:tmpl w:val="5314A246"/>
    <w:lvl w:ilvl="0">
      <w:start w:val="5"/>
      <w:numFmt w:val="lowerLetter"/>
      <w:lvlText w:val="%1."/>
      <w:lvlJc w:val="left"/>
      <w:pPr>
        <w:tabs>
          <w:tab w:val="num" w:pos="720"/>
        </w:tabs>
        <w:ind w:left="720" w:hanging="360"/>
      </w:pPr>
    </w:lvl>
    <w:lvl w:ilvl="1">
      <w:start w:val="3"/>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5CE54D7"/>
    <w:multiLevelType w:val="multilevel"/>
    <w:tmpl w:val="7DC21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Arial" w:hint="default"/>
      </w:rPr>
    </w:lvl>
    <w:lvl w:ilvl="2">
      <w:start w:val="1"/>
      <w:numFmt w:val="decimal"/>
      <w:isLgl/>
      <w:lvlText w:val="%1.%2.%3"/>
      <w:lvlJc w:val="left"/>
      <w:pPr>
        <w:ind w:left="1080" w:hanging="720"/>
      </w:pPr>
      <w:rPr>
        <w:rFonts w:eastAsia="Times New Roman" w:cs="Arial" w:hint="default"/>
      </w:rPr>
    </w:lvl>
    <w:lvl w:ilvl="3">
      <w:start w:val="1"/>
      <w:numFmt w:val="decimal"/>
      <w:isLgl/>
      <w:lvlText w:val="%1.%2.%3.%4"/>
      <w:lvlJc w:val="left"/>
      <w:pPr>
        <w:ind w:left="1440" w:hanging="1080"/>
      </w:pPr>
      <w:rPr>
        <w:rFonts w:eastAsia="Times New Roman" w:cs="Arial" w:hint="default"/>
      </w:rPr>
    </w:lvl>
    <w:lvl w:ilvl="4">
      <w:start w:val="1"/>
      <w:numFmt w:val="decimal"/>
      <w:isLgl/>
      <w:lvlText w:val="%1.%2.%3.%4.%5"/>
      <w:lvlJc w:val="left"/>
      <w:pPr>
        <w:ind w:left="1440" w:hanging="1080"/>
      </w:pPr>
      <w:rPr>
        <w:rFonts w:eastAsia="Times New Roman" w:cs="Arial" w:hint="default"/>
      </w:rPr>
    </w:lvl>
    <w:lvl w:ilvl="5">
      <w:start w:val="1"/>
      <w:numFmt w:val="decimal"/>
      <w:isLgl/>
      <w:lvlText w:val="%1.%2.%3.%4.%5.%6"/>
      <w:lvlJc w:val="left"/>
      <w:pPr>
        <w:ind w:left="1800" w:hanging="1440"/>
      </w:pPr>
      <w:rPr>
        <w:rFonts w:eastAsia="Times New Roman" w:cs="Arial" w:hint="default"/>
      </w:rPr>
    </w:lvl>
    <w:lvl w:ilvl="6">
      <w:start w:val="1"/>
      <w:numFmt w:val="decimal"/>
      <w:isLgl/>
      <w:lvlText w:val="%1.%2.%3.%4.%5.%6.%7"/>
      <w:lvlJc w:val="left"/>
      <w:pPr>
        <w:ind w:left="1800" w:hanging="1440"/>
      </w:pPr>
      <w:rPr>
        <w:rFonts w:eastAsia="Times New Roman" w:cs="Arial" w:hint="default"/>
      </w:rPr>
    </w:lvl>
    <w:lvl w:ilvl="7">
      <w:start w:val="1"/>
      <w:numFmt w:val="decimal"/>
      <w:isLgl/>
      <w:lvlText w:val="%1.%2.%3.%4.%5.%6.%7.%8"/>
      <w:lvlJc w:val="left"/>
      <w:pPr>
        <w:ind w:left="2160" w:hanging="1800"/>
      </w:pPr>
      <w:rPr>
        <w:rFonts w:eastAsia="Times New Roman" w:cs="Arial" w:hint="default"/>
      </w:rPr>
    </w:lvl>
    <w:lvl w:ilvl="8">
      <w:start w:val="1"/>
      <w:numFmt w:val="decimal"/>
      <w:isLgl/>
      <w:lvlText w:val="%1.%2.%3.%4.%5.%6.%7.%8.%9"/>
      <w:lvlJc w:val="left"/>
      <w:pPr>
        <w:ind w:left="2160" w:hanging="1800"/>
      </w:pPr>
      <w:rPr>
        <w:rFonts w:eastAsia="Times New Roman" w:cs="Arial" w:hint="default"/>
      </w:rPr>
    </w:lvl>
  </w:abstractNum>
  <w:abstractNum w:abstractNumId="31" w15:restartNumberingAfterBreak="0">
    <w:nsid w:val="679D3AB9"/>
    <w:multiLevelType w:val="hybridMultilevel"/>
    <w:tmpl w:val="22E4E5B0"/>
    <w:lvl w:ilvl="0" w:tplc="2640D2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EC19CF"/>
    <w:multiLevelType w:val="hybridMultilevel"/>
    <w:tmpl w:val="49E08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4C4EF7"/>
    <w:multiLevelType w:val="hybridMultilevel"/>
    <w:tmpl w:val="FE0EEA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C81A97"/>
    <w:multiLevelType w:val="hybridMultilevel"/>
    <w:tmpl w:val="8C308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FB544D"/>
    <w:multiLevelType w:val="hybridMultilevel"/>
    <w:tmpl w:val="07106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EB53D8"/>
    <w:multiLevelType w:val="hybridMultilevel"/>
    <w:tmpl w:val="A12490EC"/>
    <w:lvl w:ilvl="0" w:tplc="2200D4A6">
      <w:start w:val="1"/>
      <w:numFmt w:val="decimal"/>
      <w:lvlText w:val="%1."/>
      <w:lvlJc w:val="left"/>
      <w:pPr>
        <w:ind w:left="432" w:hanging="432"/>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9E17D17"/>
    <w:multiLevelType w:val="hybridMultilevel"/>
    <w:tmpl w:val="9A2CF5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AA2D5F"/>
    <w:multiLevelType w:val="multilevel"/>
    <w:tmpl w:val="2440F2B0"/>
    <w:lvl w:ilvl="0">
      <w:start w:val="1"/>
      <w:numFmt w:val="lowerLetter"/>
      <w:lvlText w:val="%1)"/>
      <w:lvlJc w:val="left"/>
      <w:pPr>
        <w:tabs>
          <w:tab w:val="num" w:pos="720"/>
        </w:tabs>
        <w:ind w:left="720" w:hanging="360"/>
      </w:pPr>
    </w:lvl>
    <w:lvl w:ilvl="1">
      <w:start w:val="9"/>
      <w:numFmt w:val="decimal"/>
      <w:lvlText w:val="%2"/>
      <w:lvlJc w:val="left"/>
      <w:pPr>
        <w:ind w:left="1440" w:hanging="360"/>
      </w:pPr>
      <w:rPr>
        <w:rFonts w:hint="default"/>
      </w:rPr>
    </w:lvl>
    <w:lvl w:ilvl="2">
      <w:numFmt w:val="bullet"/>
      <w:lvlText w:val=""/>
      <w:lvlJc w:val="left"/>
      <w:pPr>
        <w:ind w:left="2160" w:hanging="360"/>
      </w:pPr>
      <w:rPr>
        <w:rFonts w:ascii="Symbol" w:eastAsiaTheme="minorHAnsi" w:hAnsi="Symbo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EE48E3"/>
    <w:multiLevelType w:val="hybridMultilevel"/>
    <w:tmpl w:val="02BC4DD8"/>
    <w:lvl w:ilvl="0" w:tplc="9BF6A3C4">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F77594B"/>
    <w:multiLevelType w:val="hybridMultilevel"/>
    <w:tmpl w:val="5CBE4E8A"/>
    <w:lvl w:ilvl="0" w:tplc="794005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AE0A13"/>
    <w:multiLevelType w:val="hybridMultilevel"/>
    <w:tmpl w:val="6F929B6C"/>
    <w:lvl w:ilvl="0" w:tplc="D0F29542">
      <w:start w:val="1"/>
      <w:numFmt w:val="decimal"/>
      <w:lvlText w:val="%1."/>
      <w:lvlJc w:val="left"/>
      <w:pPr>
        <w:ind w:left="502"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15"/>
  </w:num>
  <w:num w:numId="4">
    <w:abstractNumId w:val="9"/>
  </w:num>
  <w:num w:numId="5">
    <w:abstractNumId w:val="29"/>
  </w:num>
  <w:num w:numId="6">
    <w:abstractNumId w:val="17"/>
  </w:num>
  <w:num w:numId="7">
    <w:abstractNumId w:val="12"/>
  </w:num>
  <w:num w:numId="8">
    <w:abstractNumId w:val="8"/>
  </w:num>
  <w:num w:numId="9">
    <w:abstractNumId w:val="5"/>
  </w:num>
  <w:num w:numId="10">
    <w:abstractNumId w:val="41"/>
  </w:num>
  <w:num w:numId="11">
    <w:abstractNumId w:val="13"/>
  </w:num>
  <w:num w:numId="12">
    <w:abstractNumId w:val="19"/>
  </w:num>
  <w:num w:numId="13">
    <w:abstractNumId w:val="30"/>
  </w:num>
  <w:num w:numId="14">
    <w:abstractNumId w:val="35"/>
  </w:num>
  <w:num w:numId="15">
    <w:abstractNumId w:val="37"/>
  </w:num>
  <w:num w:numId="16">
    <w:abstractNumId w:val="36"/>
  </w:num>
  <w:num w:numId="17">
    <w:abstractNumId w:val="4"/>
  </w:num>
  <w:num w:numId="18">
    <w:abstractNumId w:val="25"/>
  </w:num>
  <w:num w:numId="19">
    <w:abstractNumId w:val="22"/>
  </w:num>
  <w:num w:numId="20">
    <w:abstractNumId w:val="24"/>
  </w:num>
  <w:num w:numId="21">
    <w:abstractNumId w:val="1"/>
  </w:num>
  <w:num w:numId="22">
    <w:abstractNumId w:val="40"/>
  </w:num>
  <w:num w:numId="23">
    <w:abstractNumId w:val="39"/>
  </w:num>
  <w:num w:numId="24">
    <w:abstractNumId w:val="10"/>
  </w:num>
  <w:num w:numId="25">
    <w:abstractNumId w:val="28"/>
  </w:num>
  <w:num w:numId="26">
    <w:abstractNumId w:val="2"/>
  </w:num>
  <w:num w:numId="27">
    <w:abstractNumId w:val="16"/>
  </w:num>
  <w:num w:numId="28">
    <w:abstractNumId w:val="32"/>
  </w:num>
  <w:num w:numId="29">
    <w:abstractNumId w:val="21"/>
  </w:num>
  <w:num w:numId="30">
    <w:abstractNumId w:val="31"/>
  </w:num>
  <w:num w:numId="31">
    <w:abstractNumId w:val="33"/>
  </w:num>
  <w:num w:numId="32">
    <w:abstractNumId w:val="7"/>
  </w:num>
  <w:num w:numId="33">
    <w:abstractNumId w:val="34"/>
  </w:num>
  <w:num w:numId="34">
    <w:abstractNumId w:val="0"/>
  </w:num>
  <w:num w:numId="35">
    <w:abstractNumId w:val="23"/>
  </w:num>
  <w:num w:numId="36">
    <w:abstractNumId w:val="3"/>
  </w:num>
  <w:num w:numId="37">
    <w:abstractNumId w:val="38"/>
  </w:num>
  <w:num w:numId="38">
    <w:abstractNumId w:val="20"/>
  </w:num>
  <w:num w:numId="39">
    <w:abstractNumId w:val="14"/>
  </w:num>
  <w:num w:numId="40">
    <w:abstractNumId w:val="11"/>
  </w:num>
  <w:num w:numId="41">
    <w:abstractNumId w:val="18"/>
  </w:num>
  <w:num w:numId="42">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83"/>
    <w:rsid w:val="00001966"/>
    <w:rsid w:val="00001A3D"/>
    <w:rsid w:val="00003544"/>
    <w:rsid w:val="00003B62"/>
    <w:rsid w:val="00003EA1"/>
    <w:rsid w:val="00006825"/>
    <w:rsid w:val="0000788C"/>
    <w:rsid w:val="00007C24"/>
    <w:rsid w:val="00007E92"/>
    <w:rsid w:val="00012074"/>
    <w:rsid w:val="0001244D"/>
    <w:rsid w:val="000128E1"/>
    <w:rsid w:val="00012D07"/>
    <w:rsid w:val="00012D33"/>
    <w:rsid w:val="00012F0A"/>
    <w:rsid w:val="00014514"/>
    <w:rsid w:val="00014B97"/>
    <w:rsid w:val="000157FF"/>
    <w:rsid w:val="000160F9"/>
    <w:rsid w:val="0001791F"/>
    <w:rsid w:val="0002183A"/>
    <w:rsid w:val="00023064"/>
    <w:rsid w:val="00023180"/>
    <w:rsid w:val="00023AF0"/>
    <w:rsid w:val="00023CD4"/>
    <w:rsid w:val="00024490"/>
    <w:rsid w:val="0002524A"/>
    <w:rsid w:val="00025491"/>
    <w:rsid w:val="00025A13"/>
    <w:rsid w:val="000264D6"/>
    <w:rsid w:val="00027740"/>
    <w:rsid w:val="00031323"/>
    <w:rsid w:val="000316F4"/>
    <w:rsid w:val="00031F73"/>
    <w:rsid w:val="000341AA"/>
    <w:rsid w:val="00034B14"/>
    <w:rsid w:val="00034B93"/>
    <w:rsid w:val="00035356"/>
    <w:rsid w:val="00035B0B"/>
    <w:rsid w:val="00036555"/>
    <w:rsid w:val="00036972"/>
    <w:rsid w:val="00036C90"/>
    <w:rsid w:val="000376C1"/>
    <w:rsid w:val="00037A6C"/>
    <w:rsid w:val="00040063"/>
    <w:rsid w:val="00040E13"/>
    <w:rsid w:val="00041753"/>
    <w:rsid w:val="00041950"/>
    <w:rsid w:val="00042692"/>
    <w:rsid w:val="00042CD6"/>
    <w:rsid w:val="00044065"/>
    <w:rsid w:val="000447E0"/>
    <w:rsid w:val="00044EE0"/>
    <w:rsid w:val="0004529D"/>
    <w:rsid w:val="00045878"/>
    <w:rsid w:val="00045BC1"/>
    <w:rsid w:val="00045C51"/>
    <w:rsid w:val="000464FA"/>
    <w:rsid w:val="00047069"/>
    <w:rsid w:val="000504D2"/>
    <w:rsid w:val="00050AE6"/>
    <w:rsid w:val="00050C3D"/>
    <w:rsid w:val="000518B8"/>
    <w:rsid w:val="00051972"/>
    <w:rsid w:val="00051FB4"/>
    <w:rsid w:val="0005210C"/>
    <w:rsid w:val="0005269A"/>
    <w:rsid w:val="00053A37"/>
    <w:rsid w:val="00054006"/>
    <w:rsid w:val="00055915"/>
    <w:rsid w:val="0005703E"/>
    <w:rsid w:val="0005706D"/>
    <w:rsid w:val="0006051F"/>
    <w:rsid w:val="00060C43"/>
    <w:rsid w:val="00061F78"/>
    <w:rsid w:val="00062945"/>
    <w:rsid w:val="00062D58"/>
    <w:rsid w:val="00063172"/>
    <w:rsid w:val="00064911"/>
    <w:rsid w:val="00065292"/>
    <w:rsid w:val="000669F7"/>
    <w:rsid w:val="00070552"/>
    <w:rsid w:val="000705D7"/>
    <w:rsid w:val="00070948"/>
    <w:rsid w:val="00070F04"/>
    <w:rsid w:val="00071F21"/>
    <w:rsid w:val="00072398"/>
    <w:rsid w:val="00073B37"/>
    <w:rsid w:val="00075AEC"/>
    <w:rsid w:val="00076249"/>
    <w:rsid w:val="00076316"/>
    <w:rsid w:val="000772BF"/>
    <w:rsid w:val="00077516"/>
    <w:rsid w:val="00080CCD"/>
    <w:rsid w:val="000819D2"/>
    <w:rsid w:val="00081F60"/>
    <w:rsid w:val="0008322C"/>
    <w:rsid w:val="00083DF0"/>
    <w:rsid w:val="00083FA3"/>
    <w:rsid w:val="00084D26"/>
    <w:rsid w:val="00086070"/>
    <w:rsid w:val="00087F83"/>
    <w:rsid w:val="00090C0A"/>
    <w:rsid w:val="00090EDD"/>
    <w:rsid w:val="00092FFD"/>
    <w:rsid w:val="000930B0"/>
    <w:rsid w:val="000934CC"/>
    <w:rsid w:val="00093DC7"/>
    <w:rsid w:val="00096F4A"/>
    <w:rsid w:val="00097F30"/>
    <w:rsid w:val="000A0F55"/>
    <w:rsid w:val="000A17D7"/>
    <w:rsid w:val="000A1B42"/>
    <w:rsid w:val="000A270A"/>
    <w:rsid w:val="000A3267"/>
    <w:rsid w:val="000A332D"/>
    <w:rsid w:val="000A3AC0"/>
    <w:rsid w:val="000A3FF9"/>
    <w:rsid w:val="000A5413"/>
    <w:rsid w:val="000A56BA"/>
    <w:rsid w:val="000A64B6"/>
    <w:rsid w:val="000A68B0"/>
    <w:rsid w:val="000A7FD9"/>
    <w:rsid w:val="000B0040"/>
    <w:rsid w:val="000B2EF5"/>
    <w:rsid w:val="000B48E1"/>
    <w:rsid w:val="000B4BC4"/>
    <w:rsid w:val="000B4CE0"/>
    <w:rsid w:val="000B4DDC"/>
    <w:rsid w:val="000B55AE"/>
    <w:rsid w:val="000B63A4"/>
    <w:rsid w:val="000B645B"/>
    <w:rsid w:val="000B7595"/>
    <w:rsid w:val="000C0D2C"/>
    <w:rsid w:val="000C0F90"/>
    <w:rsid w:val="000C2139"/>
    <w:rsid w:val="000C272D"/>
    <w:rsid w:val="000C42E6"/>
    <w:rsid w:val="000C5EAC"/>
    <w:rsid w:val="000C63B9"/>
    <w:rsid w:val="000C63D2"/>
    <w:rsid w:val="000D0A08"/>
    <w:rsid w:val="000D182B"/>
    <w:rsid w:val="000D1B14"/>
    <w:rsid w:val="000D1D9A"/>
    <w:rsid w:val="000D2D10"/>
    <w:rsid w:val="000D3336"/>
    <w:rsid w:val="000D3401"/>
    <w:rsid w:val="000D3949"/>
    <w:rsid w:val="000D3A27"/>
    <w:rsid w:val="000D3F92"/>
    <w:rsid w:val="000D6A16"/>
    <w:rsid w:val="000E07FF"/>
    <w:rsid w:val="000E13EE"/>
    <w:rsid w:val="000E19E0"/>
    <w:rsid w:val="000E1A22"/>
    <w:rsid w:val="000E321A"/>
    <w:rsid w:val="000E42E0"/>
    <w:rsid w:val="000E477F"/>
    <w:rsid w:val="000E5193"/>
    <w:rsid w:val="000E53E3"/>
    <w:rsid w:val="000E6655"/>
    <w:rsid w:val="000E6F9F"/>
    <w:rsid w:val="000E74F2"/>
    <w:rsid w:val="000F002F"/>
    <w:rsid w:val="000F00AE"/>
    <w:rsid w:val="000F2947"/>
    <w:rsid w:val="000F2A89"/>
    <w:rsid w:val="000F45BA"/>
    <w:rsid w:val="000F4A89"/>
    <w:rsid w:val="000F599C"/>
    <w:rsid w:val="000F6673"/>
    <w:rsid w:val="000F720E"/>
    <w:rsid w:val="000F7930"/>
    <w:rsid w:val="00100340"/>
    <w:rsid w:val="00101AA9"/>
    <w:rsid w:val="00101EE5"/>
    <w:rsid w:val="00101FEB"/>
    <w:rsid w:val="001021A2"/>
    <w:rsid w:val="00102CD7"/>
    <w:rsid w:val="00103147"/>
    <w:rsid w:val="0010329E"/>
    <w:rsid w:val="001039B4"/>
    <w:rsid w:val="00105533"/>
    <w:rsid w:val="00107B31"/>
    <w:rsid w:val="00107EEE"/>
    <w:rsid w:val="0011031B"/>
    <w:rsid w:val="001104C9"/>
    <w:rsid w:val="00112385"/>
    <w:rsid w:val="00112388"/>
    <w:rsid w:val="001128EB"/>
    <w:rsid w:val="0011352F"/>
    <w:rsid w:val="00114215"/>
    <w:rsid w:val="0011431C"/>
    <w:rsid w:val="00114FB8"/>
    <w:rsid w:val="00115F3F"/>
    <w:rsid w:val="00115F89"/>
    <w:rsid w:val="0011712C"/>
    <w:rsid w:val="00117E9B"/>
    <w:rsid w:val="00120680"/>
    <w:rsid w:val="00120BA9"/>
    <w:rsid w:val="00121ADC"/>
    <w:rsid w:val="00121BFA"/>
    <w:rsid w:val="001220D8"/>
    <w:rsid w:val="00122936"/>
    <w:rsid w:val="00122953"/>
    <w:rsid w:val="001232C8"/>
    <w:rsid w:val="00123495"/>
    <w:rsid w:val="001263D4"/>
    <w:rsid w:val="0012762B"/>
    <w:rsid w:val="001319B7"/>
    <w:rsid w:val="001319FD"/>
    <w:rsid w:val="00131D4C"/>
    <w:rsid w:val="0013262E"/>
    <w:rsid w:val="001332E2"/>
    <w:rsid w:val="00133958"/>
    <w:rsid w:val="001339F8"/>
    <w:rsid w:val="00133AEA"/>
    <w:rsid w:val="00133F1A"/>
    <w:rsid w:val="001340EA"/>
    <w:rsid w:val="00135537"/>
    <w:rsid w:val="00135E1D"/>
    <w:rsid w:val="0014184F"/>
    <w:rsid w:val="00141BFE"/>
    <w:rsid w:val="00144515"/>
    <w:rsid w:val="00145F84"/>
    <w:rsid w:val="001462BB"/>
    <w:rsid w:val="0014777B"/>
    <w:rsid w:val="00147FB5"/>
    <w:rsid w:val="001503B8"/>
    <w:rsid w:val="0015192B"/>
    <w:rsid w:val="00151AEB"/>
    <w:rsid w:val="00153856"/>
    <w:rsid w:val="00153A25"/>
    <w:rsid w:val="00155C98"/>
    <w:rsid w:val="00156E88"/>
    <w:rsid w:val="001607B0"/>
    <w:rsid w:val="00163983"/>
    <w:rsid w:val="0016405F"/>
    <w:rsid w:val="0016435F"/>
    <w:rsid w:val="001646BD"/>
    <w:rsid w:val="00164A81"/>
    <w:rsid w:val="00165D3F"/>
    <w:rsid w:val="0016783D"/>
    <w:rsid w:val="00170994"/>
    <w:rsid w:val="00170F97"/>
    <w:rsid w:val="00171699"/>
    <w:rsid w:val="001735B7"/>
    <w:rsid w:val="001751CF"/>
    <w:rsid w:val="00175AA2"/>
    <w:rsid w:val="00177974"/>
    <w:rsid w:val="001779AC"/>
    <w:rsid w:val="00177FD9"/>
    <w:rsid w:val="00182086"/>
    <w:rsid w:val="0018385C"/>
    <w:rsid w:val="0018390F"/>
    <w:rsid w:val="00183BA7"/>
    <w:rsid w:val="00184C1C"/>
    <w:rsid w:val="00185686"/>
    <w:rsid w:val="00185B63"/>
    <w:rsid w:val="00186631"/>
    <w:rsid w:val="00191E8E"/>
    <w:rsid w:val="001943FC"/>
    <w:rsid w:val="00194D89"/>
    <w:rsid w:val="0019528F"/>
    <w:rsid w:val="00197165"/>
    <w:rsid w:val="001971E6"/>
    <w:rsid w:val="00197B85"/>
    <w:rsid w:val="00197CC4"/>
    <w:rsid w:val="001A0478"/>
    <w:rsid w:val="001A0DEA"/>
    <w:rsid w:val="001A1F04"/>
    <w:rsid w:val="001A49BF"/>
    <w:rsid w:val="001A4AA7"/>
    <w:rsid w:val="001A4B88"/>
    <w:rsid w:val="001A5C28"/>
    <w:rsid w:val="001A68EF"/>
    <w:rsid w:val="001A76B3"/>
    <w:rsid w:val="001A7E68"/>
    <w:rsid w:val="001B1E65"/>
    <w:rsid w:val="001B3789"/>
    <w:rsid w:val="001B4593"/>
    <w:rsid w:val="001B592E"/>
    <w:rsid w:val="001B6CCD"/>
    <w:rsid w:val="001B7BE3"/>
    <w:rsid w:val="001C006A"/>
    <w:rsid w:val="001C0077"/>
    <w:rsid w:val="001C041C"/>
    <w:rsid w:val="001C0BC4"/>
    <w:rsid w:val="001C0F64"/>
    <w:rsid w:val="001C1F1C"/>
    <w:rsid w:val="001C28E3"/>
    <w:rsid w:val="001C527E"/>
    <w:rsid w:val="001C5659"/>
    <w:rsid w:val="001C5E63"/>
    <w:rsid w:val="001C7EE2"/>
    <w:rsid w:val="001D0354"/>
    <w:rsid w:val="001D0889"/>
    <w:rsid w:val="001D1487"/>
    <w:rsid w:val="001D2630"/>
    <w:rsid w:val="001D3406"/>
    <w:rsid w:val="001D354F"/>
    <w:rsid w:val="001D37FE"/>
    <w:rsid w:val="001D3FD6"/>
    <w:rsid w:val="001D4221"/>
    <w:rsid w:val="001D4737"/>
    <w:rsid w:val="001D565A"/>
    <w:rsid w:val="001D5E09"/>
    <w:rsid w:val="001D6C77"/>
    <w:rsid w:val="001D72B9"/>
    <w:rsid w:val="001E0712"/>
    <w:rsid w:val="001E07BC"/>
    <w:rsid w:val="001E1223"/>
    <w:rsid w:val="001E25CC"/>
    <w:rsid w:val="001E2D30"/>
    <w:rsid w:val="001E457B"/>
    <w:rsid w:val="001E5755"/>
    <w:rsid w:val="001E7BE7"/>
    <w:rsid w:val="001F015C"/>
    <w:rsid w:val="001F076B"/>
    <w:rsid w:val="001F0ABA"/>
    <w:rsid w:val="001F24A8"/>
    <w:rsid w:val="001F2B6E"/>
    <w:rsid w:val="001F45E4"/>
    <w:rsid w:val="001F621B"/>
    <w:rsid w:val="002004F9"/>
    <w:rsid w:val="0020186F"/>
    <w:rsid w:val="00201D53"/>
    <w:rsid w:val="002050A7"/>
    <w:rsid w:val="00206E96"/>
    <w:rsid w:val="00210154"/>
    <w:rsid w:val="0021088D"/>
    <w:rsid w:val="002108E9"/>
    <w:rsid w:val="002111BE"/>
    <w:rsid w:val="00211A3A"/>
    <w:rsid w:val="00213107"/>
    <w:rsid w:val="00213E19"/>
    <w:rsid w:val="002156EA"/>
    <w:rsid w:val="00216A14"/>
    <w:rsid w:val="00216C85"/>
    <w:rsid w:val="00224688"/>
    <w:rsid w:val="00224FB4"/>
    <w:rsid w:val="002273F5"/>
    <w:rsid w:val="00227CCA"/>
    <w:rsid w:val="00230BD7"/>
    <w:rsid w:val="00230CA7"/>
    <w:rsid w:val="00230E08"/>
    <w:rsid w:val="00231CC4"/>
    <w:rsid w:val="00234621"/>
    <w:rsid w:val="00236F85"/>
    <w:rsid w:val="0023752E"/>
    <w:rsid w:val="00237BA7"/>
    <w:rsid w:val="00237E90"/>
    <w:rsid w:val="0024053A"/>
    <w:rsid w:val="002428F6"/>
    <w:rsid w:val="0024295C"/>
    <w:rsid w:val="00242F98"/>
    <w:rsid w:val="0024361E"/>
    <w:rsid w:val="0024366A"/>
    <w:rsid w:val="00243DD8"/>
    <w:rsid w:val="002448BF"/>
    <w:rsid w:val="00247691"/>
    <w:rsid w:val="002477CB"/>
    <w:rsid w:val="00247E77"/>
    <w:rsid w:val="00250E14"/>
    <w:rsid w:val="0025237A"/>
    <w:rsid w:val="00252745"/>
    <w:rsid w:val="002530D1"/>
    <w:rsid w:val="00255074"/>
    <w:rsid w:val="00256107"/>
    <w:rsid w:val="00260222"/>
    <w:rsid w:val="002607BC"/>
    <w:rsid w:val="0026244F"/>
    <w:rsid w:val="002639CF"/>
    <w:rsid w:val="00263F70"/>
    <w:rsid w:val="002646F5"/>
    <w:rsid w:val="00264C06"/>
    <w:rsid w:val="00265642"/>
    <w:rsid w:val="002656E2"/>
    <w:rsid w:val="00265CC7"/>
    <w:rsid w:val="00265D3F"/>
    <w:rsid w:val="002660AE"/>
    <w:rsid w:val="002669D2"/>
    <w:rsid w:val="00266ECA"/>
    <w:rsid w:val="00267974"/>
    <w:rsid w:val="00270B0C"/>
    <w:rsid w:val="00270CC5"/>
    <w:rsid w:val="00272F7A"/>
    <w:rsid w:val="002742F3"/>
    <w:rsid w:val="00274D08"/>
    <w:rsid w:val="00275257"/>
    <w:rsid w:val="002765A7"/>
    <w:rsid w:val="00277B36"/>
    <w:rsid w:val="002815AB"/>
    <w:rsid w:val="0028181C"/>
    <w:rsid w:val="002831F2"/>
    <w:rsid w:val="00285246"/>
    <w:rsid w:val="0028761C"/>
    <w:rsid w:val="00287679"/>
    <w:rsid w:val="002877AD"/>
    <w:rsid w:val="002900FB"/>
    <w:rsid w:val="00290FDB"/>
    <w:rsid w:val="0029236F"/>
    <w:rsid w:val="00294BE6"/>
    <w:rsid w:val="002956AE"/>
    <w:rsid w:val="00295D1F"/>
    <w:rsid w:val="002A0BD9"/>
    <w:rsid w:val="002A3857"/>
    <w:rsid w:val="002A6C37"/>
    <w:rsid w:val="002A7BDB"/>
    <w:rsid w:val="002B077A"/>
    <w:rsid w:val="002B0C40"/>
    <w:rsid w:val="002B3662"/>
    <w:rsid w:val="002B6004"/>
    <w:rsid w:val="002B6297"/>
    <w:rsid w:val="002B7729"/>
    <w:rsid w:val="002B7FCB"/>
    <w:rsid w:val="002C0D60"/>
    <w:rsid w:val="002C0EF8"/>
    <w:rsid w:val="002C2BFE"/>
    <w:rsid w:val="002C4D48"/>
    <w:rsid w:val="002C543A"/>
    <w:rsid w:val="002C5922"/>
    <w:rsid w:val="002C5E7B"/>
    <w:rsid w:val="002C647B"/>
    <w:rsid w:val="002C7EC7"/>
    <w:rsid w:val="002D0E26"/>
    <w:rsid w:val="002D270D"/>
    <w:rsid w:val="002D274B"/>
    <w:rsid w:val="002D4E7E"/>
    <w:rsid w:val="002D5A28"/>
    <w:rsid w:val="002D6506"/>
    <w:rsid w:val="002D6714"/>
    <w:rsid w:val="002D71BB"/>
    <w:rsid w:val="002D7943"/>
    <w:rsid w:val="002D7BFB"/>
    <w:rsid w:val="002E06A9"/>
    <w:rsid w:val="002E1B9C"/>
    <w:rsid w:val="002E251D"/>
    <w:rsid w:val="002E443D"/>
    <w:rsid w:val="002E513A"/>
    <w:rsid w:val="002E56BF"/>
    <w:rsid w:val="002E5D50"/>
    <w:rsid w:val="002E64E8"/>
    <w:rsid w:val="002E6B29"/>
    <w:rsid w:val="002E7189"/>
    <w:rsid w:val="002F181B"/>
    <w:rsid w:val="002F18B5"/>
    <w:rsid w:val="002F1F04"/>
    <w:rsid w:val="002F50F9"/>
    <w:rsid w:val="002F51E2"/>
    <w:rsid w:val="002F5852"/>
    <w:rsid w:val="002F5ACC"/>
    <w:rsid w:val="002F7265"/>
    <w:rsid w:val="002F7ACB"/>
    <w:rsid w:val="003002B1"/>
    <w:rsid w:val="003018FB"/>
    <w:rsid w:val="00301C36"/>
    <w:rsid w:val="00302C91"/>
    <w:rsid w:val="0030348E"/>
    <w:rsid w:val="00304F86"/>
    <w:rsid w:val="0030542A"/>
    <w:rsid w:val="0030556C"/>
    <w:rsid w:val="0030662A"/>
    <w:rsid w:val="00307018"/>
    <w:rsid w:val="003105B5"/>
    <w:rsid w:val="0031269C"/>
    <w:rsid w:val="00312963"/>
    <w:rsid w:val="00313968"/>
    <w:rsid w:val="00313994"/>
    <w:rsid w:val="00313DFB"/>
    <w:rsid w:val="00315590"/>
    <w:rsid w:val="00317165"/>
    <w:rsid w:val="00317546"/>
    <w:rsid w:val="00320A5D"/>
    <w:rsid w:val="0032159E"/>
    <w:rsid w:val="003217D8"/>
    <w:rsid w:val="0032396B"/>
    <w:rsid w:val="00324120"/>
    <w:rsid w:val="0032446A"/>
    <w:rsid w:val="00324CD4"/>
    <w:rsid w:val="00325D28"/>
    <w:rsid w:val="00326713"/>
    <w:rsid w:val="0032799E"/>
    <w:rsid w:val="00327FEE"/>
    <w:rsid w:val="00332465"/>
    <w:rsid w:val="00332ACC"/>
    <w:rsid w:val="00335858"/>
    <w:rsid w:val="00335DC2"/>
    <w:rsid w:val="00335E1D"/>
    <w:rsid w:val="0033637C"/>
    <w:rsid w:val="0033776F"/>
    <w:rsid w:val="00340973"/>
    <w:rsid w:val="00340B23"/>
    <w:rsid w:val="00341E01"/>
    <w:rsid w:val="003430A1"/>
    <w:rsid w:val="003432C1"/>
    <w:rsid w:val="003439CF"/>
    <w:rsid w:val="00343E15"/>
    <w:rsid w:val="00344235"/>
    <w:rsid w:val="003453D8"/>
    <w:rsid w:val="003459EC"/>
    <w:rsid w:val="00346211"/>
    <w:rsid w:val="0034681F"/>
    <w:rsid w:val="00346EEB"/>
    <w:rsid w:val="003474EF"/>
    <w:rsid w:val="003503BE"/>
    <w:rsid w:val="00351290"/>
    <w:rsid w:val="0035164D"/>
    <w:rsid w:val="00353B86"/>
    <w:rsid w:val="003542C2"/>
    <w:rsid w:val="00355755"/>
    <w:rsid w:val="00355772"/>
    <w:rsid w:val="003572BB"/>
    <w:rsid w:val="00357989"/>
    <w:rsid w:val="0036018C"/>
    <w:rsid w:val="00360F30"/>
    <w:rsid w:val="0036327B"/>
    <w:rsid w:val="003644F8"/>
    <w:rsid w:val="00365A5F"/>
    <w:rsid w:val="00366599"/>
    <w:rsid w:val="00373CAD"/>
    <w:rsid w:val="00373F79"/>
    <w:rsid w:val="00374615"/>
    <w:rsid w:val="003757F9"/>
    <w:rsid w:val="00375C6D"/>
    <w:rsid w:val="00375DC9"/>
    <w:rsid w:val="00376023"/>
    <w:rsid w:val="003760B2"/>
    <w:rsid w:val="003770D9"/>
    <w:rsid w:val="003777B3"/>
    <w:rsid w:val="00377960"/>
    <w:rsid w:val="003802FB"/>
    <w:rsid w:val="00381AAC"/>
    <w:rsid w:val="0038231F"/>
    <w:rsid w:val="003826C2"/>
    <w:rsid w:val="00385232"/>
    <w:rsid w:val="003865D3"/>
    <w:rsid w:val="00386931"/>
    <w:rsid w:val="0039089F"/>
    <w:rsid w:val="003916A2"/>
    <w:rsid w:val="00391FC4"/>
    <w:rsid w:val="00395490"/>
    <w:rsid w:val="00396BF3"/>
    <w:rsid w:val="00397716"/>
    <w:rsid w:val="003A027C"/>
    <w:rsid w:val="003A02B5"/>
    <w:rsid w:val="003A06A9"/>
    <w:rsid w:val="003A30BF"/>
    <w:rsid w:val="003A343C"/>
    <w:rsid w:val="003A4A2E"/>
    <w:rsid w:val="003A4E4F"/>
    <w:rsid w:val="003A532A"/>
    <w:rsid w:val="003A5636"/>
    <w:rsid w:val="003A5B93"/>
    <w:rsid w:val="003A5E88"/>
    <w:rsid w:val="003A7675"/>
    <w:rsid w:val="003B0AA0"/>
    <w:rsid w:val="003B1868"/>
    <w:rsid w:val="003B1A88"/>
    <w:rsid w:val="003B375C"/>
    <w:rsid w:val="003B43EE"/>
    <w:rsid w:val="003B4A79"/>
    <w:rsid w:val="003B5612"/>
    <w:rsid w:val="003B581E"/>
    <w:rsid w:val="003B5C87"/>
    <w:rsid w:val="003B6E2B"/>
    <w:rsid w:val="003C3828"/>
    <w:rsid w:val="003C5E3D"/>
    <w:rsid w:val="003C68A4"/>
    <w:rsid w:val="003C7F19"/>
    <w:rsid w:val="003D09FF"/>
    <w:rsid w:val="003D11A8"/>
    <w:rsid w:val="003D2CD4"/>
    <w:rsid w:val="003D2E55"/>
    <w:rsid w:val="003D5497"/>
    <w:rsid w:val="003D5801"/>
    <w:rsid w:val="003D5826"/>
    <w:rsid w:val="003D5BBB"/>
    <w:rsid w:val="003D5D2B"/>
    <w:rsid w:val="003D6E46"/>
    <w:rsid w:val="003D79ED"/>
    <w:rsid w:val="003D7C66"/>
    <w:rsid w:val="003E0413"/>
    <w:rsid w:val="003E0BF6"/>
    <w:rsid w:val="003E0F12"/>
    <w:rsid w:val="003E1054"/>
    <w:rsid w:val="003E3D60"/>
    <w:rsid w:val="003E5507"/>
    <w:rsid w:val="003E7493"/>
    <w:rsid w:val="003F0312"/>
    <w:rsid w:val="003F055D"/>
    <w:rsid w:val="003F390B"/>
    <w:rsid w:val="003F452E"/>
    <w:rsid w:val="003F47FF"/>
    <w:rsid w:val="003F671C"/>
    <w:rsid w:val="003F7716"/>
    <w:rsid w:val="003F7B7D"/>
    <w:rsid w:val="003F7C8B"/>
    <w:rsid w:val="00401039"/>
    <w:rsid w:val="004018A5"/>
    <w:rsid w:val="00402110"/>
    <w:rsid w:val="0040212B"/>
    <w:rsid w:val="00402924"/>
    <w:rsid w:val="00403783"/>
    <w:rsid w:val="00404C7D"/>
    <w:rsid w:val="0040506B"/>
    <w:rsid w:val="004073B0"/>
    <w:rsid w:val="004078F5"/>
    <w:rsid w:val="00411FCB"/>
    <w:rsid w:val="004129AF"/>
    <w:rsid w:val="00414045"/>
    <w:rsid w:val="0041438E"/>
    <w:rsid w:val="004151CB"/>
    <w:rsid w:val="004161A2"/>
    <w:rsid w:val="004203B3"/>
    <w:rsid w:val="00421C6B"/>
    <w:rsid w:val="00422BBF"/>
    <w:rsid w:val="00423C88"/>
    <w:rsid w:val="00424A57"/>
    <w:rsid w:val="00424BB1"/>
    <w:rsid w:val="00424C0F"/>
    <w:rsid w:val="00425043"/>
    <w:rsid w:val="0042642D"/>
    <w:rsid w:val="0042674F"/>
    <w:rsid w:val="004268DE"/>
    <w:rsid w:val="00426BF8"/>
    <w:rsid w:val="00432526"/>
    <w:rsid w:val="00433B3E"/>
    <w:rsid w:val="00433E3C"/>
    <w:rsid w:val="004405FD"/>
    <w:rsid w:val="0044142B"/>
    <w:rsid w:val="00441867"/>
    <w:rsid w:val="004418DC"/>
    <w:rsid w:val="004420A3"/>
    <w:rsid w:val="004424AD"/>
    <w:rsid w:val="00442C22"/>
    <w:rsid w:val="004442EF"/>
    <w:rsid w:val="004443C4"/>
    <w:rsid w:val="00446BB7"/>
    <w:rsid w:val="00446BC0"/>
    <w:rsid w:val="00446EC1"/>
    <w:rsid w:val="00450BA9"/>
    <w:rsid w:val="00451077"/>
    <w:rsid w:val="00451438"/>
    <w:rsid w:val="004518C8"/>
    <w:rsid w:val="00451BD0"/>
    <w:rsid w:val="00454B80"/>
    <w:rsid w:val="004553B9"/>
    <w:rsid w:val="00455881"/>
    <w:rsid w:val="00455CED"/>
    <w:rsid w:val="00456558"/>
    <w:rsid w:val="004620D0"/>
    <w:rsid w:val="00462CB3"/>
    <w:rsid w:val="00463572"/>
    <w:rsid w:val="0046475C"/>
    <w:rsid w:val="00464B12"/>
    <w:rsid w:val="00464F12"/>
    <w:rsid w:val="00465D96"/>
    <w:rsid w:val="00466487"/>
    <w:rsid w:val="00467036"/>
    <w:rsid w:val="00467F47"/>
    <w:rsid w:val="00470025"/>
    <w:rsid w:val="004706B7"/>
    <w:rsid w:val="0047280E"/>
    <w:rsid w:val="00475231"/>
    <w:rsid w:val="00475B96"/>
    <w:rsid w:val="00475CC4"/>
    <w:rsid w:val="004763E1"/>
    <w:rsid w:val="00477B62"/>
    <w:rsid w:val="0048127B"/>
    <w:rsid w:val="004819CB"/>
    <w:rsid w:val="00482750"/>
    <w:rsid w:val="00487AFE"/>
    <w:rsid w:val="00491349"/>
    <w:rsid w:val="00491442"/>
    <w:rsid w:val="00491655"/>
    <w:rsid w:val="00491713"/>
    <w:rsid w:val="00492DD3"/>
    <w:rsid w:val="00493CD8"/>
    <w:rsid w:val="00494A66"/>
    <w:rsid w:val="00494C30"/>
    <w:rsid w:val="00495698"/>
    <w:rsid w:val="004959D5"/>
    <w:rsid w:val="00495EE7"/>
    <w:rsid w:val="004977B7"/>
    <w:rsid w:val="00497C77"/>
    <w:rsid w:val="004A0B3A"/>
    <w:rsid w:val="004A0E5D"/>
    <w:rsid w:val="004A1376"/>
    <w:rsid w:val="004A2A07"/>
    <w:rsid w:val="004A3228"/>
    <w:rsid w:val="004A3A85"/>
    <w:rsid w:val="004A4482"/>
    <w:rsid w:val="004A4691"/>
    <w:rsid w:val="004A5B20"/>
    <w:rsid w:val="004A69CD"/>
    <w:rsid w:val="004B0F7F"/>
    <w:rsid w:val="004B1026"/>
    <w:rsid w:val="004B1558"/>
    <w:rsid w:val="004B267A"/>
    <w:rsid w:val="004B2A41"/>
    <w:rsid w:val="004B3EDC"/>
    <w:rsid w:val="004B42B1"/>
    <w:rsid w:val="004B572A"/>
    <w:rsid w:val="004B5B0B"/>
    <w:rsid w:val="004B70C0"/>
    <w:rsid w:val="004C0398"/>
    <w:rsid w:val="004C05A3"/>
    <w:rsid w:val="004C1108"/>
    <w:rsid w:val="004C12BA"/>
    <w:rsid w:val="004C1C44"/>
    <w:rsid w:val="004C22C3"/>
    <w:rsid w:val="004C2FD0"/>
    <w:rsid w:val="004C4049"/>
    <w:rsid w:val="004C598E"/>
    <w:rsid w:val="004C71D4"/>
    <w:rsid w:val="004C7DD0"/>
    <w:rsid w:val="004D0A9E"/>
    <w:rsid w:val="004D248D"/>
    <w:rsid w:val="004D3266"/>
    <w:rsid w:val="004D43AF"/>
    <w:rsid w:val="004D496B"/>
    <w:rsid w:val="004D5A11"/>
    <w:rsid w:val="004D6B75"/>
    <w:rsid w:val="004E224C"/>
    <w:rsid w:val="004E2952"/>
    <w:rsid w:val="004E46DB"/>
    <w:rsid w:val="004E52B7"/>
    <w:rsid w:val="004E5416"/>
    <w:rsid w:val="004E5457"/>
    <w:rsid w:val="004E7718"/>
    <w:rsid w:val="004F3BEB"/>
    <w:rsid w:val="004F5011"/>
    <w:rsid w:val="004F5B32"/>
    <w:rsid w:val="004F63CE"/>
    <w:rsid w:val="00500DF0"/>
    <w:rsid w:val="0050124F"/>
    <w:rsid w:val="005018E5"/>
    <w:rsid w:val="00502392"/>
    <w:rsid w:val="00502A44"/>
    <w:rsid w:val="00502F4A"/>
    <w:rsid w:val="0050454D"/>
    <w:rsid w:val="00504DFD"/>
    <w:rsid w:val="0050536E"/>
    <w:rsid w:val="00505977"/>
    <w:rsid w:val="00505C55"/>
    <w:rsid w:val="00506870"/>
    <w:rsid w:val="0051207F"/>
    <w:rsid w:val="005143B4"/>
    <w:rsid w:val="00514971"/>
    <w:rsid w:val="005177D0"/>
    <w:rsid w:val="00521037"/>
    <w:rsid w:val="00521BF0"/>
    <w:rsid w:val="00522514"/>
    <w:rsid w:val="005239F0"/>
    <w:rsid w:val="00523E4F"/>
    <w:rsid w:val="00523F6E"/>
    <w:rsid w:val="00524462"/>
    <w:rsid w:val="00525668"/>
    <w:rsid w:val="00525876"/>
    <w:rsid w:val="00525CB9"/>
    <w:rsid w:val="00526AA2"/>
    <w:rsid w:val="00526D08"/>
    <w:rsid w:val="00533BAA"/>
    <w:rsid w:val="00534072"/>
    <w:rsid w:val="0053419E"/>
    <w:rsid w:val="0053650F"/>
    <w:rsid w:val="005379CF"/>
    <w:rsid w:val="00537A7A"/>
    <w:rsid w:val="00537D41"/>
    <w:rsid w:val="00540098"/>
    <w:rsid w:val="005403D4"/>
    <w:rsid w:val="00540740"/>
    <w:rsid w:val="00540B78"/>
    <w:rsid w:val="0054256E"/>
    <w:rsid w:val="005425E9"/>
    <w:rsid w:val="00542626"/>
    <w:rsid w:val="005429B8"/>
    <w:rsid w:val="005438DE"/>
    <w:rsid w:val="00545E76"/>
    <w:rsid w:val="005466D5"/>
    <w:rsid w:val="00546898"/>
    <w:rsid w:val="00546F68"/>
    <w:rsid w:val="0054789F"/>
    <w:rsid w:val="005506A3"/>
    <w:rsid w:val="00550D11"/>
    <w:rsid w:val="0055158D"/>
    <w:rsid w:val="005521C9"/>
    <w:rsid w:val="00553A6E"/>
    <w:rsid w:val="00553C00"/>
    <w:rsid w:val="0055484E"/>
    <w:rsid w:val="00554E70"/>
    <w:rsid w:val="00555273"/>
    <w:rsid w:val="0055585B"/>
    <w:rsid w:val="005563BD"/>
    <w:rsid w:val="00556B80"/>
    <w:rsid w:val="00556E95"/>
    <w:rsid w:val="00557C3F"/>
    <w:rsid w:val="0056075D"/>
    <w:rsid w:val="0056131E"/>
    <w:rsid w:val="00562617"/>
    <w:rsid w:val="0056310B"/>
    <w:rsid w:val="00563837"/>
    <w:rsid w:val="00564638"/>
    <w:rsid w:val="005652F5"/>
    <w:rsid w:val="00566495"/>
    <w:rsid w:val="00566BF1"/>
    <w:rsid w:val="0056715B"/>
    <w:rsid w:val="00567D05"/>
    <w:rsid w:val="00570959"/>
    <w:rsid w:val="005732FA"/>
    <w:rsid w:val="005737F2"/>
    <w:rsid w:val="00573E2D"/>
    <w:rsid w:val="005740EA"/>
    <w:rsid w:val="005748F4"/>
    <w:rsid w:val="00574E7B"/>
    <w:rsid w:val="00575252"/>
    <w:rsid w:val="00575280"/>
    <w:rsid w:val="005753E8"/>
    <w:rsid w:val="0057668A"/>
    <w:rsid w:val="00576A18"/>
    <w:rsid w:val="0058040D"/>
    <w:rsid w:val="00580E8F"/>
    <w:rsid w:val="00581B01"/>
    <w:rsid w:val="00582C09"/>
    <w:rsid w:val="00582D68"/>
    <w:rsid w:val="00584663"/>
    <w:rsid w:val="00584F76"/>
    <w:rsid w:val="00586CE0"/>
    <w:rsid w:val="005873E5"/>
    <w:rsid w:val="00587530"/>
    <w:rsid w:val="00587724"/>
    <w:rsid w:val="00590503"/>
    <w:rsid w:val="00590C09"/>
    <w:rsid w:val="00590EF1"/>
    <w:rsid w:val="00591F5D"/>
    <w:rsid w:val="00591FFD"/>
    <w:rsid w:val="00592080"/>
    <w:rsid w:val="00592D8B"/>
    <w:rsid w:val="005933F2"/>
    <w:rsid w:val="00593F3C"/>
    <w:rsid w:val="005948CE"/>
    <w:rsid w:val="005948D5"/>
    <w:rsid w:val="00596FBB"/>
    <w:rsid w:val="00597193"/>
    <w:rsid w:val="005A0264"/>
    <w:rsid w:val="005A03E3"/>
    <w:rsid w:val="005A24BC"/>
    <w:rsid w:val="005A31E9"/>
    <w:rsid w:val="005A42DF"/>
    <w:rsid w:val="005A463D"/>
    <w:rsid w:val="005A494C"/>
    <w:rsid w:val="005A4B8C"/>
    <w:rsid w:val="005A55A5"/>
    <w:rsid w:val="005B04A3"/>
    <w:rsid w:val="005B120E"/>
    <w:rsid w:val="005B203A"/>
    <w:rsid w:val="005B2377"/>
    <w:rsid w:val="005B2D80"/>
    <w:rsid w:val="005B2DC0"/>
    <w:rsid w:val="005B37BE"/>
    <w:rsid w:val="005B4403"/>
    <w:rsid w:val="005B4673"/>
    <w:rsid w:val="005B50BE"/>
    <w:rsid w:val="005B5814"/>
    <w:rsid w:val="005B5E45"/>
    <w:rsid w:val="005B68C0"/>
    <w:rsid w:val="005B6DE5"/>
    <w:rsid w:val="005B7027"/>
    <w:rsid w:val="005B7E62"/>
    <w:rsid w:val="005C011C"/>
    <w:rsid w:val="005C0EA0"/>
    <w:rsid w:val="005C2D8D"/>
    <w:rsid w:val="005C2E1A"/>
    <w:rsid w:val="005C4106"/>
    <w:rsid w:val="005C4B7B"/>
    <w:rsid w:val="005C4CE9"/>
    <w:rsid w:val="005C5DDE"/>
    <w:rsid w:val="005D0153"/>
    <w:rsid w:val="005D0292"/>
    <w:rsid w:val="005D064C"/>
    <w:rsid w:val="005D078B"/>
    <w:rsid w:val="005D150A"/>
    <w:rsid w:val="005D25C3"/>
    <w:rsid w:val="005D303D"/>
    <w:rsid w:val="005D4C10"/>
    <w:rsid w:val="005D5769"/>
    <w:rsid w:val="005D5A28"/>
    <w:rsid w:val="005D5EBC"/>
    <w:rsid w:val="005E2212"/>
    <w:rsid w:val="005E32B8"/>
    <w:rsid w:val="005E3AFD"/>
    <w:rsid w:val="005E44A0"/>
    <w:rsid w:val="005E5E93"/>
    <w:rsid w:val="005E63CB"/>
    <w:rsid w:val="005E7CB4"/>
    <w:rsid w:val="005F0E91"/>
    <w:rsid w:val="005F0F03"/>
    <w:rsid w:val="005F14F0"/>
    <w:rsid w:val="005F17A1"/>
    <w:rsid w:val="005F1CBE"/>
    <w:rsid w:val="005F244E"/>
    <w:rsid w:val="005F29A6"/>
    <w:rsid w:val="005F2E78"/>
    <w:rsid w:val="005F39C9"/>
    <w:rsid w:val="005F4787"/>
    <w:rsid w:val="005F51BC"/>
    <w:rsid w:val="005F53E5"/>
    <w:rsid w:val="005F59FD"/>
    <w:rsid w:val="005F5F43"/>
    <w:rsid w:val="005F6786"/>
    <w:rsid w:val="005F67E0"/>
    <w:rsid w:val="005F6A0E"/>
    <w:rsid w:val="005F7121"/>
    <w:rsid w:val="005F7AFD"/>
    <w:rsid w:val="005F7F16"/>
    <w:rsid w:val="005F7FAD"/>
    <w:rsid w:val="006000B4"/>
    <w:rsid w:val="006016F3"/>
    <w:rsid w:val="00601717"/>
    <w:rsid w:val="00601EC3"/>
    <w:rsid w:val="00605927"/>
    <w:rsid w:val="006060A5"/>
    <w:rsid w:val="00607478"/>
    <w:rsid w:val="00607DDA"/>
    <w:rsid w:val="006110B6"/>
    <w:rsid w:val="00611E69"/>
    <w:rsid w:val="00612E6E"/>
    <w:rsid w:val="00613454"/>
    <w:rsid w:val="00613A2A"/>
    <w:rsid w:val="006143E2"/>
    <w:rsid w:val="00615DB9"/>
    <w:rsid w:val="006209AA"/>
    <w:rsid w:val="0062238A"/>
    <w:rsid w:val="006249EE"/>
    <w:rsid w:val="00624E96"/>
    <w:rsid w:val="00626057"/>
    <w:rsid w:val="00626715"/>
    <w:rsid w:val="006274FE"/>
    <w:rsid w:val="00630451"/>
    <w:rsid w:val="006308BD"/>
    <w:rsid w:val="006315DB"/>
    <w:rsid w:val="00632743"/>
    <w:rsid w:val="00633D67"/>
    <w:rsid w:val="006348E6"/>
    <w:rsid w:val="006414AD"/>
    <w:rsid w:val="00642575"/>
    <w:rsid w:val="00642907"/>
    <w:rsid w:val="006429CC"/>
    <w:rsid w:val="00645D74"/>
    <w:rsid w:val="0064605B"/>
    <w:rsid w:val="0064719B"/>
    <w:rsid w:val="006475DB"/>
    <w:rsid w:val="00650891"/>
    <w:rsid w:val="0065115D"/>
    <w:rsid w:val="006513B3"/>
    <w:rsid w:val="00652535"/>
    <w:rsid w:val="00652ED6"/>
    <w:rsid w:val="00653069"/>
    <w:rsid w:val="006536FD"/>
    <w:rsid w:val="00653F23"/>
    <w:rsid w:val="00656567"/>
    <w:rsid w:val="00657E49"/>
    <w:rsid w:val="006600F2"/>
    <w:rsid w:val="006611D1"/>
    <w:rsid w:val="00661AAA"/>
    <w:rsid w:val="0066276F"/>
    <w:rsid w:val="00662B9C"/>
    <w:rsid w:val="006670F2"/>
    <w:rsid w:val="00670140"/>
    <w:rsid w:val="00670ACF"/>
    <w:rsid w:val="006740FA"/>
    <w:rsid w:val="00674538"/>
    <w:rsid w:val="00680460"/>
    <w:rsid w:val="00681016"/>
    <w:rsid w:val="006819CD"/>
    <w:rsid w:val="00684807"/>
    <w:rsid w:val="006861D6"/>
    <w:rsid w:val="00687F8C"/>
    <w:rsid w:val="00690C10"/>
    <w:rsid w:val="00691C4C"/>
    <w:rsid w:val="00692488"/>
    <w:rsid w:val="00692678"/>
    <w:rsid w:val="006928F3"/>
    <w:rsid w:val="006931FB"/>
    <w:rsid w:val="00693C87"/>
    <w:rsid w:val="00694063"/>
    <w:rsid w:val="006945C7"/>
    <w:rsid w:val="006962D5"/>
    <w:rsid w:val="006964E1"/>
    <w:rsid w:val="0069726F"/>
    <w:rsid w:val="00697488"/>
    <w:rsid w:val="00697490"/>
    <w:rsid w:val="00697F19"/>
    <w:rsid w:val="006A093B"/>
    <w:rsid w:val="006A164C"/>
    <w:rsid w:val="006A2B01"/>
    <w:rsid w:val="006A2BBF"/>
    <w:rsid w:val="006A460C"/>
    <w:rsid w:val="006B1347"/>
    <w:rsid w:val="006B1AD7"/>
    <w:rsid w:val="006B1D7A"/>
    <w:rsid w:val="006B24A3"/>
    <w:rsid w:val="006B3022"/>
    <w:rsid w:val="006B3F86"/>
    <w:rsid w:val="006B4722"/>
    <w:rsid w:val="006B4F1C"/>
    <w:rsid w:val="006B5683"/>
    <w:rsid w:val="006B6234"/>
    <w:rsid w:val="006B6646"/>
    <w:rsid w:val="006B6CD6"/>
    <w:rsid w:val="006B717D"/>
    <w:rsid w:val="006B7B9C"/>
    <w:rsid w:val="006C0B90"/>
    <w:rsid w:val="006C0F43"/>
    <w:rsid w:val="006C254C"/>
    <w:rsid w:val="006C2573"/>
    <w:rsid w:val="006C26AE"/>
    <w:rsid w:val="006C37E6"/>
    <w:rsid w:val="006C3B64"/>
    <w:rsid w:val="006C4A44"/>
    <w:rsid w:val="006C686C"/>
    <w:rsid w:val="006C697F"/>
    <w:rsid w:val="006C7749"/>
    <w:rsid w:val="006D0CEC"/>
    <w:rsid w:val="006D1EC4"/>
    <w:rsid w:val="006D2A7D"/>
    <w:rsid w:val="006D2F3F"/>
    <w:rsid w:val="006D3063"/>
    <w:rsid w:val="006D5754"/>
    <w:rsid w:val="006E08A5"/>
    <w:rsid w:val="006E13FF"/>
    <w:rsid w:val="006E41B2"/>
    <w:rsid w:val="006E4402"/>
    <w:rsid w:val="006E441C"/>
    <w:rsid w:val="006E7128"/>
    <w:rsid w:val="006E782B"/>
    <w:rsid w:val="006E7CD0"/>
    <w:rsid w:val="006F056B"/>
    <w:rsid w:val="006F1DA6"/>
    <w:rsid w:val="006F1FC3"/>
    <w:rsid w:val="006F262B"/>
    <w:rsid w:val="006F4D1E"/>
    <w:rsid w:val="006F5BC2"/>
    <w:rsid w:val="006F66C3"/>
    <w:rsid w:val="006F71F8"/>
    <w:rsid w:val="006F78E6"/>
    <w:rsid w:val="007008B1"/>
    <w:rsid w:val="007026C8"/>
    <w:rsid w:val="00702CC1"/>
    <w:rsid w:val="0070396A"/>
    <w:rsid w:val="00703AB5"/>
    <w:rsid w:val="00703E9A"/>
    <w:rsid w:val="00703FE3"/>
    <w:rsid w:val="00704A74"/>
    <w:rsid w:val="00706C3C"/>
    <w:rsid w:val="00707499"/>
    <w:rsid w:val="0070765D"/>
    <w:rsid w:val="00707842"/>
    <w:rsid w:val="00707B2C"/>
    <w:rsid w:val="00710741"/>
    <w:rsid w:val="0071090B"/>
    <w:rsid w:val="007111DF"/>
    <w:rsid w:val="0071198A"/>
    <w:rsid w:val="00711CAF"/>
    <w:rsid w:val="00712683"/>
    <w:rsid w:val="007128CF"/>
    <w:rsid w:val="00714239"/>
    <w:rsid w:val="00714302"/>
    <w:rsid w:val="0071566B"/>
    <w:rsid w:val="00716E40"/>
    <w:rsid w:val="00717988"/>
    <w:rsid w:val="007206DF"/>
    <w:rsid w:val="00720A45"/>
    <w:rsid w:val="00721686"/>
    <w:rsid w:val="00723ADF"/>
    <w:rsid w:val="00723CFC"/>
    <w:rsid w:val="00724864"/>
    <w:rsid w:val="00724B6F"/>
    <w:rsid w:val="00725D7B"/>
    <w:rsid w:val="0072678C"/>
    <w:rsid w:val="0073038D"/>
    <w:rsid w:val="007320C2"/>
    <w:rsid w:val="00732AFB"/>
    <w:rsid w:val="00732E2F"/>
    <w:rsid w:val="007337E6"/>
    <w:rsid w:val="007359FC"/>
    <w:rsid w:val="00740FC2"/>
    <w:rsid w:val="00741E32"/>
    <w:rsid w:val="00742597"/>
    <w:rsid w:val="00742DB3"/>
    <w:rsid w:val="00743040"/>
    <w:rsid w:val="007463AA"/>
    <w:rsid w:val="007468E7"/>
    <w:rsid w:val="00747863"/>
    <w:rsid w:val="00747FD4"/>
    <w:rsid w:val="0075061F"/>
    <w:rsid w:val="0075070B"/>
    <w:rsid w:val="00751BE6"/>
    <w:rsid w:val="00752908"/>
    <w:rsid w:val="00752C2A"/>
    <w:rsid w:val="0075363B"/>
    <w:rsid w:val="00753883"/>
    <w:rsid w:val="0075389A"/>
    <w:rsid w:val="007558BC"/>
    <w:rsid w:val="007564C2"/>
    <w:rsid w:val="00757184"/>
    <w:rsid w:val="007609E6"/>
    <w:rsid w:val="00760A72"/>
    <w:rsid w:val="00760F62"/>
    <w:rsid w:val="00761E9C"/>
    <w:rsid w:val="007625F2"/>
    <w:rsid w:val="00762A40"/>
    <w:rsid w:val="00763F27"/>
    <w:rsid w:val="00764003"/>
    <w:rsid w:val="007644D7"/>
    <w:rsid w:val="0076497D"/>
    <w:rsid w:val="00764DE5"/>
    <w:rsid w:val="007663DA"/>
    <w:rsid w:val="00766490"/>
    <w:rsid w:val="00766E78"/>
    <w:rsid w:val="00770861"/>
    <w:rsid w:val="00770DE7"/>
    <w:rsid w:val="00770EBD"/>
    <w:rsid w:val="007722BA"/>
    <w:rsid w:val="00772556"/>
    <w:rsid w:val="00772735"/>
    <w:rsid w:val="007729DF"/>
    <w:rsid w:val="00772BCB"/>
    <w:rsid w:val="00773E72"/>
    <w:rsid w:val="00774D43"/>
    <w:rsid w:val="00777AA3"/>
    <w:rsid w:val="00780F6D"/>
    <w:rsid w:val="0078169F"/>
    <w:rsid w:val="00783261"/>
    <w:rsid w:val="00783758"/>
    <w:rsid w:val="00784D1C"/>
    <w:rsid w:val="00785576"/>
    <w:rsid w:val="00786549"/>
    <w:rsid w:val="007865F4"/>
    <w:rsid w:val="00790695"/>
    <w:rsid w:val="00792130"/>
    <w:rsid w:val="007922C0"/>
    <w:rsid w:val="00792576"/>
    <w:rsid w:val="00796B40"/>
    <w:rsid w:val="007A14EE"/>
    <w:rsid w:val="007A1F0A"/>
    <w:rsid w:val="007A2F81"/>
    <w:rsid w:val="007A3E92"/>
    <w:rsid w:val="007A5211"/>
    <w:rsid w:val="007A5DD1"/>
    <w:rsid w:val="007A705F"/>
    <w:rsid w:val="007B06C4"/>
    <w:rsid w:val="007B0E0B"/>
    <w:rsid w:val="007B0F86"/>
    <w:rsid w:val="007B2430"/>
    <w:rsid w:val="007B3B3A"/>
    <w:rsid w:val="007B67B1"/>
    <w:rsid w:val="007C036E"/>
    <w:rsid w:val="007C2664"/>
    <w:rsid w:val="007C33CD"/>
    <w:rsid w:val="007C44ED"/>
    <w:rsid w:val="007C581A"/>
    <w:rsid w:val="007C589A"/>
    <w:rsid w:val="007C592B"/>
    <w:rsid w:val="007C610F"/>
    <w:rsid w:val="007C64EB"/>
    <w:rsid w:val="007C6D9E"/>
    <w:rsid w:val="007C7FAC"/>
    <w:rsid w:val="007D21D4"/>
    <w:rsid w:val="007D226A"/>
    <w:rsid w:val="007D2D9B"/>
    <w:rsid w:val="007D35D7"/>
    <w:rsid w:val="007D36CB"/>
    <w:rsid w:val="007D37FE"/>
    <w:rsid w:val="007D47DA"/>
    <w:rsid w:val="007D4C41"/>
    <w:rsid w:val="007D509B"/>
    <w:rsid w:val="007E09FB"/>
    <w:rsid w:val="007E0BDA"/>
    <w:rsid w:val="007E0EE5"/>
    <w:rsid w:val="007E2474"/>
    <w:rsid w:val="007E267E"/>
    <w:rsid w:val="007E341B"/>
    <w:rsid w:val="007E36EA"/>
    <w:rsid w:val="007E5D21"/>
    <w:rsid w:val="007E5E9C"/>
    <w:rsid w:val="007E6D11"/>
    <w:rsid w:val="007E7D09"/>
    <w:rsid w:val="007F2A24"/>
    <w:rsid w:val="007F3026"/>
    <w:rsid w:val="007F371A"/>
    <w:rsid w:val="007F5D16"/>
    <w:rsid w:val="007F65DB"/>
    <w:rsid w:val="007F712E"/>
    <w:rsid w:val="007F7BDE"/>
    <w:rsid w:val="008025EC"/>
    <w:rsid w:val="00803B33"/>
    <w:rsid w:val="008042D0"/>
    <w:rsid w:val="00804526"/>
    <w:rsid w:val="00805EAC"/>
    <w:rsid w:val="0080602D"/>
    <w:rsid w:val="008112E4"/>
    <w:rsid w:val="00811FB0"/>
    <w:rsid w:val="00813EF0"/>
    <w:rsid w:val="0081419D"/>
    <w:rsid w:val="008141C5"/>
    <w:rsid w:val="008147EF"/>
    <w:rsid w:val="00815C8C"/>
    <w:rsid w:val="00815CE6"/>
    <w:rsid w:val="0081750A"/>
    <w:rsid w:val="00820F31"/>
    <w:rsid w:val="008211E9"/>
    <w:rsid w:val="00821747"/>
    <w:rsid w:val="008218DB"/>
    <w:rsid w:val="00822E44"/>
    <w:rsid w:val="00824345"/>
    <w:rsid w:val="00824463"/>
    <w:rsid w:val="0082536B"/>
    <w:rsid w:val="00825D7A"/>
    <w:rsid w:val="0082680E"/>
    <w:rsid w:val="00826DB1"/>
    <w:rsid w:val="00831161"/>
    <w:rsid w:val="008319DE"/>
    <w:rsid w:val="00831B19"/>
    <w:rsid w:val="00832B89"/>
    <w:rsid w:val="0083308B"/>
    <w:rsid w:val="00836542"/>
    <w:rsid w:val="00837A48"/>
    <w:rsid w:val="00841A07"/>
    <w:rsid w:val="00841F5B"/>
    <w:rsid w:val="0084435C"/>
    <w:rsid w:val="008449FC"/>
    <w:rsid w:val="00844B85"/>
    <w:rsid w:val="00846800"/>
    <w:rsid w:val="0084789D"/>
    <w:rsid w:val="00847AA2"/>
    <w:rsid w:val="00850B52"/>
    <w:rsid w:val="00850E49"/>
    <w:rsid w:val="0085189D"/>
    <w:rsid w:val="00852CFF"/>
    <w:rsid w:val="00853487"/>
    <w:rsid w:val="00853925"/>
    <w:rsid w:val="00854E6A"/>
    <w:rsid w:val="00855D53"/>
    <w:rsid w:val="00856F6C"/>
    <w:rsid w:val="008601A0"/>
    <w:rsid w:val="00860F4E"/>
    <w:rsid w:val="00862084"/>
    <w:rsid w:val="00862B39"/>
    <w:rsid w:val="008642EC"/>
    <w:rsid w:val="00865D80"/>
    <w:rsid w:val="0086668E"/>
    <w:rsid w:val="00866A20"/>
    <w:rsid w:val="008704C9"/>
    <w:rsid w:val="00872AAE"/>
    <w:rsid w:val="00872B61"/>
    <w:rsid w:val="00872FED"/>
    <w:rsid w:val="008734F4"/>
    <w:rsid w:val="00873869"/>
    <w:rsid w:val="008745F3"/>
    <w:rsid w:val="008771E7"/>
    <w:rsid w:val="00877686"/>
    <w:rsid w:val="0087770F"/>
    <w:rsid w:val="00877BFA"/>
    <w:rsid w:val="00880DE8"/>
    <w:rsid w:val="00881F42"/>
    <w:rsid w:val="00882564"/>
    <w:rsid w:val="0088396B"/>
    <w:rsid w:val="00883DE3"/>
    <w:rsid w:val="0088711E"/>
    <w:rsid w:val="00890382"/>
    <w:rsid w:val="008921D6"/>
    <w:rsid w:val="00892FAC"/>
    <w:rsid w:val="008931F3"/>
    <w:rsid w:val="00893BDC"/>
    <w:rsid w:val="00894B42"/>
    <w:rsid w:val="008959DC"/>
    <w:rsid w:val="0089600F"/>
    <w:rsid w:val="00896C0D"/>
    <w:rsid w:val="00896ED8"/>
    <w:rsid w:val="0089758A"/>
    <w:rsid w:val="008A06DE"/>
    <w:rsid w:val="008A1E77"/>
    <w:rsid w:val="008A315F"/>
    <w:rsid w:val="008A32EE"/>
    <w:rsid w:val="008A364A"/>
    <w:rsid w:val="008A3C1B"/>
    <w:rsid w:val="008A4B84"/>
    <w:rsid w:val="008A6668"/>
    <w:rsid w:val="008A67DA"/>
    <w:rsid w:val="008A78D5"/>
    <w:rsid w:val="008B1805"/>
    <w:rsid w:val="008B269B"/>
    <w:rsid w:val="008B4861"/>
    <w:rsid w:val="008B5313"/>
    <w:rsid w:val="008B6951"/>
    <w:rsid w:val="008B69D9"/>
    <w:rsid w:val="008B6B9B"/>
    <w:rsid w:val="008C0164"/>
    <w:rsid w:val="008C071D"/>
    <w:rsid w:val="008C11BF"/>
    <w:rsid w:val="008C3B30"/>
    <w:rsid w:val="008C3E80"/>
    <w:rsid w:val="008C4761"/>
    <w:rsid w:val="008C498D"/>
    <w:rsid w:val="008C79DB"/>
    <w:rsid w:val="008C7DCC"/>
    <w:rsid w:val="008D127D"/>
    <w:rsid w:val="008D13C0"/>
    <w:rsid w:val="008D29C9"/>
    <w:rsid w:val="008D342C"/>
    <w:rsid w:val="008D4BBA"/>
    <w:rsid w:val="008D6399"/>
    <w:rsid w:val="008D7216"/>
    <w:rsid w:val="008D7C13"/>
    <w:rsid w:val="008E06CB"/>
    <w:rsid w:val="008E06F3"/>
    <w:rsid w:val="008E16DC"/>
    <w:rsid w:val="008E317B"/>
    <w:rsid w:val="008E32CE"/>
    <w:rsid w:val="008E5148"/>
    <w:rsid w:val="008E6061"/>
    <w:rsid w:val="008E6CAF"/>
    <w:rsid w:val="008E7736"/>
    <w:rsid w:val="008F0DD1"/>
    <w:rsid w:val="008F1C1B"/>
    <w:rsid w:val="008F2824"/>
    <w:rsid w:val="008F29AA"/>
    <w:rsid w:val="008F38FB"/>
    <w:rsid w:val="008F5218"/>
    <w:rsid w:val="008F535E"/>
    <w:rsid w:val="008F6358"/>
    <w:rsid w:val="008F7911"/>
    <w:rsid w:val="009003D4"/>
    <w:rsid w:val="00900ACF"/>
    <w:rsid w:val="00903710"/>
    <w:rsid w:val="0090613F"/>
    <w:rsid w:val="00907560"/>
    <w:rsid w:val="009076E8"/>
    <w:rsid w:val="009114FB"/>
    <w:rsid w:val="00912542"/>
    <w:rsid w:val="0091349E"/>
    <w:rsid w:val="00914135"/>
    <w:rsid w:val="00914805"/>
    <w:rsid w:val="00914849"/>
    <w:rsid w:val="00914B25"/>
    <w:rsid w:val="009151C1"/>
    <w:rsid w:val="00915858"/>
    <w:rsid w:val="009213F7"/>
    <w:rsid w:val="00921BE9"/>
    <w:rsid w:val="00922656"/>
    <w:rsid w:val="0092420F"/>
    <w:rsid w:val="0092483C"/>
    <w:rsid w:val="009264F3"/>
    <w:rsid w:val="00927A11"/>
    <w:rsid w:val="0093150D"/>
    <w:rsid w:val="009315D0"/>
    <w:rsid w:val="00935322"/>
    <w:rsid w:val="0093551D"/>
    <w:rsid w:val="009356E7"/>
    <w:rsid w:val="00936840"/>
    <w:rsid w:val="00937B75"/>
    <w:rsid w:val="00937F3E"/>
    <w:rsid w:val="00942DE5"/>
    <w:rsid w:val="00943A57"/>
    <w:rsid w:val="00943BAF"/>
    <w:rsid w:val="00944255"/>
    <w:rsid w:val="009447C4"/>
    <w:rsid w:val="0094524B"/>
    <w:rsid w:val="00945CD6"/>
    <w:rsid w:val="00946A76"/>
    <w:rsid w:val="00946B18"/>
    <w:rsid w:val="00946F24"/>
    <w:rsid w:val="00946F8D"/>
    <w:rsid w:val="009506E6"/>
    <w:rsid w:val="009512B0"/>
    <w:rsid w:val="00951C27"/>
    <w:rsid w:val="00951D97"/>
    <w:rsid w:val="00952420"/>
    <w:rsid w:val="009529D6"/>
    <w:rsid w:val="00953680"/>
    <w:rsid w:val="009538C4"/>
    <w:rsid w:val="00954EBE"/>
    <w:rsid w:val="0095670B"/>
    <w:rsid w:val="00956FAC"/>
    <w:rsid w:val="009579D2"/>
    <w:rsid w:val="00957BBA"/>
    <w:rsid w:val="00957DF4"/>
    <w:rsid w:val="0096095A"/>
    <w:rsid w:val="00960985"/>
    <w:rsid w:val="00960E03"/>
    <w:rsid w:val="009612B2"/>
    <w:rsid w:val="00961C70"/>
    <w:rsid w:val="0096249C"/>
    <w:rsid w:val="009627CF"/>
    <w:rsid w:val="00963444"/>
    <w:rsid w:val="00964065"/>
    <w:rsid w:val="009651F5"/>
    <w:rsid w:val="00967388"/>
    <w:rsid w:val="00971658"/>
    <w:rsid w:val="00971B97"/>
    <w:rsid w:val="009720D3"/>
    <w:rsid w:val="00972417"/>
    <w:rsid w:val="009728B1"/>
    <w:rsid w:val="00972F61"/>
    <w:rsid w:val="0097434E"/>
    <w:rsid w:val="009767CB"/>
    <w:rsid w:val="00976A01"/>
    <w:rsid w:val="00976F3D"/>
    <w:rsid w:val="009776F0"/>
    <w:rsid w:val="009779B2"/>
    <w:rsid w:val="009811CA"/>
    <w:rsid w:val="0098342B"/>
    <w:rsid w:val="00983C85"/>
    <w:rsid w:val="0098515C"/>
    <w:rsid w:val="00985243"/>
    <w:rsid w:val="00987220"/>
    <w:rsid w:val="00991A34"/>
    <w:rsid w:val="00992E16"/>
    <w:rsid w:val="00992F1E"/>
    <w:rsid w:val="00992F28"/>
    <w:rsid w:val="009930CA"/>
    <w:rsid w:val="009937DA"/>
    <w:rsid w:val="009938BD"/>
    <w:rsid w:val="009943B6"/>
    <w:rsid w:val="00995637"/>
    <w:rsid w:val="00995967"/>
    <w:rsid w:val="00996054"/>
    <w:rsid w:val="0099788E"/>
    <w:rsid w:val="009A1D3B"/>
    <w:rsid w:val="009A2524"/>
    <w:rsid w:val="009A526A"/>
    <w:rsid w:val="009A5900"/>
    <w:rsid w:val="009A6510"/>
    <w:rsid w:val="009A7FA4"/>
    <w:rsid w:val="009B0C59"/>
    <w:rsid w:val="009B0FCE"/>
    <w:rsid w:val="009B1103"/>
    <w:rsid w:val="009B2BC5"/>
    <w:rsid w:val="009B2F7E"/>
    <w:rsid w:val="009B31BA"/>
    <w:rsid w:val="009B31FB"/>
    <w:rsid w:val="009B3996"/>
    <w:rsid w:val="009B4340"/>
    <w:rsid w:val="009C114D"/>
    <w:rsid w:val="009C2ECD"/>
    <w:rsid w:val="009C3703"/>
    <w:rsid w:val="009C4E1D"/>
    <w:rsid w:val="009C4EAF"/>
    <w:rsid w:val="009C50DC"/>
    <w:rsid w:val="009C5191"/>
    <w:rsid w:val="009C585B"/>
    <w:rsid w:val="009C7D27"/>
    <w:rsid w:val="009D0C7A"/>
    <w:rsid w:val="009D1955"/>
    <w:rsid w:val="009D2C11"/>
    <w:rsid w:val="009D3172"/>
    <w:rsid w:val="009D3746"/>
    <w:rsid w:val="009D3880"/>
    <w:rsid w:val="009D41B7"/>
    <w:rsid w:val="009D4E60"/>
    <w:rsid w:val="009D6987"/>
    <w:rsid w:val="009D7CC8"/>
    <w:rsid w:val="009E06C4"/>
    <w:rsid w:val="009E0F96"/>
    <w:rsid w:val="009E19E1"/>
    <w:rsid w:val="009E210E"/>
    <w:rsid w:val="009E3106"/>
    <w:rsid w:val="009E3226"/>
    <w:rsid w:val="009E5391"/>
    <w:rsid w:val="009E5484"/>
    <w:rsid w:val="009E657A"/>
    <w:rsid w:val="009E724B"/>
    <w:rsid w:val="009F03F3"/>
    <w:rsid w:val="009F067A"/>
    <w:rsid w:val="009F11BD"/>
    <w:rsid w:val="009F1ED2"/>
    <w:rsid w:val="009F1F1E"/>
    <w:rsid w:val="009F70A4"/>
    <w:rsid w:val="009F7525"/>
    <w:rsid w:val="00A016FE"/>
    <w:rsid w:val="00A02928"/>
    <w:rsid w:val="00A032C7"/>
    <w:rsid w:val="00A042CE"/>
    <w:rsid w:val="00A0434A"/>
    <w:rsid w:val="00A043C7"/>
    <w:rsid w:val="00A04FC2"/>
    <w:rsid w:val="00A05333"/>
    <w:rsid w:val="00A06DB0"/>
    <w:rsid w:val="00A06FBE"/>
    <w:rsid w:val="00A10899"/>
    <w:rsid w:val="00A10BD1"/>
    <w:rsid w:val="00A10E26"/>
    <w:rsid w:val="00A11BAD"/>
    <w:rsid w:val="00A12EA0"/>
    <w:rsid w:val="00A1414E"/>
    <w:rsid w:val="00A1432D"/>
    <w:rsid w:val="00A16E5C"/>
    <w:rsid w:val="00A178D4"/>
    <w:rsid w:val="00A17E04"/>
    <w:rsid w:val="00A17F56"/>
    <w:rsid w:val="00A2005E"/>
    <w:rsid w:val="00A20228"/>
    <w:rsid w:val="00A2095C"/>
    <w:rsid w:val="00A21282"/>
    <w:rsid w:val="00A2235E"/>
    <w:rsid w:val="00A23387"/>
    <w:rsid w:val="00A23418"/>
    <w:rsid w:val="00A23566"/>
    <w:rsid w:val="00A24644"/>
    <w:rsid w:val="00A249BE"/>
    <w:rsid w:val="00A25604"/>
    <w:rsid w:val="00A277E9"/>
    <w:rsid w:val="00A27EA2"/>
    <w:rsid w:val="00A3053F"/>
    <w:rsid w:val="00A30D95"/>
    <w:rsid w:val="00A317DA"/>
    <w:rsid w:val="00A3194A"/>
    <w:rsid w:val="00A32373"/>
    <w:rsid w:val="00A32C2A"/>
    <w:rsid w:val="00A331B8"/>
    <w:rsid w:val="00A33518"/>
    <w:rsid w:val="00A34897"/>
    <w:rsid w:val="00A35295"/>
    <w:rsid w:val="00A35764"/>
    <w:rsid w:val="00A37D86"/>
    <w:rsid w:val="00A40EBA"/>
    <w:rsid w:val="00A41AF4"/>
    <w:rsid w:val="00A42848"/>
    <w:rsid w:val="00A42D5D"/>
    <w:rsid w:val="00A44091"/>
    <w:rsid w:val="00A4492D"/>
    <w:rsid w:val="00A4612E"/>
    <w:rsid w:val="00A46280"/>
    <w:rsid w:val="00A468CE"/>
    <w:rsid w:val="00A46BE2"/>
    <w:rsid w:val="00A47892"/>
    <w:rsid w:val="00A50935"/>
    <w:rsid w:val="00A516E2"/>
    <w:rsid w:val="00A52144"/>
    <w:rsid w:val="00A56C97"/>
    <w:rsid w:val="00A573A2"/>
    <w:rsid w:val="00A61C7B"/>
    <w:rsid w:val="00A61C93"/>
    <w:rsid w:val="00A61D06"/>
    <w:rsid w:val="00A64467"/>
    <w:rsid w:val="00A64FA1"/>
    <w:rsid w:val="00A65D56"/>
    <w:rsid w:val="00A67329"/>
    <w:rsid w:val="00A6757F"/>
    <w:rsid w:val="00A676B8"/>
    <w:rsid w:val="00A67768"/>
    <w:rsid w:val="00A70EA1"/>
    <w:rsid w:val="00A72058"/>
    <w:rsid w:val="00A72C77"/>
    <w:rsid w:val="00A72D53"/>
    <w:rsid w:val="00A742D3"/>
    <w:rsid w:val="00A749BD"/>
    <w:rsid w:val="00A75C3F"/>
    <w:rsid w:val="00A75E3D"/>
    <w:rsid w:val="00A76728"/>
    <w:rsid w:val="00A8103C"/>
    <w:rsid w:val="00A81253"/>
    <w:rsid w:val="00A815DF"/>
    <w:rsid w:val="00A83787"/>
    <w:rsid w:val="00A84015"/>
    <w:rsid w:val="00A84291"/>
    <w:rsid w:val="00A84373"/>
    <w:rsid w:val="00A84DB7"/>
    <w:rsid w:val="00A85A7C"/>
    <w:rsid w:val="00A86FB1"/>
    <w:rsid w:val="00A87E3B"/>
    <w:rsid w:val="00A9067B"/>
    <w:rsid w:val="00A918CB"/>
    <w:rsid w:val="00A91C29"/>
    <w:rsid w:val="00A93164"/>
    <w:rsid w:val="00A938CE"/>
    <w:rsid w:val="00A93C62"/>
    <w:rsid w:val="00A94572"/>
    <w:rsid w:val="00A949DA"/>
    <w:rsid w:val="00A95049"/>
    <w:rsid w:val="00A95AE7"/>
    <w:rsid w:val="00A95B06"/>
    <w:rsid w:val="00A979BD"/>
    <w:rsid w:val="00AA019D"/>
    <w:rsid w:val="00AA083E"/>
    <w:rsid w:val="00AA26DA"/>
    <w:rsid w:val="00AA2985"/>
    <w:rsid w:val="00AA2CA5"/>
    <w:rsid w:val="00AA3163"/>
    <w:rsid w:val="00AA4B09"/>
    <w:rsid w:val="00AA511A"/>
    <w:rsid w:val="00AA546B"/>
    <w:rsid w:val="00AA5CEF"/>
    <w:rsid w:val="00AB2481"/>
    <w:rsid w:val="00AB3310"/>
    <w:rsid w:val="00AB44F2"/>
    <w:rsid w:val="00AB5902"/>
    <w:rsid w:val="00AB701F"/>
    <w:rsid w:val="00AB7C91"/>
    <w:rsid w:val="00AC090D"/>
    <w:rsid w:val="00AC1388"/>
    <w:rsid w:val="00AC305E"/>
    <w:rsid w:val="00AC4BA0"/>
    <w:rsid w:val="00AC7D43"/>
    <w:rsid w:val="00AD0744"/>
    <w:rsid w:val="00AD1088"/>
    <w:rsid w:val="00AD1827"/>
    <w:rsid w:val="00AD4446"/>
    <w:rsid w:val="00AD4710"/>
    <w:rsid w:val="00AD515F"/>
    <w:rsid w:val="00AD6FF7"/>
    <w:rsid w:val="00AD70BE"/>
    <w:rsid w:val="00AE01EC"/>
    <w:rsid w:val="00AE0DB3"/>
    <w:rsid w:val="00AE12CC"/>
    <w:rsid w:val="00AE34BB"/>
    <w:rsid w:val="00AE5127"/>
    <w:rsid w:val="00AE66CA"/>
    <w:rsid w:val="00AE6C81"/>
    <w:rsid w:val="00AE77E3"/>
    <w:rsid w:val="00AE7EE1"/>
    <w:rsid w:val="00AF0670"/>
    <w:rsid w:val="00AF071F"/>
    <w:rsid w:val="00AF0AE5"/>
    <w:rsid w:val="00AF103E"/>
    <w:rsid w:val="00AF11E1"/>
    <w:rsid w:val="00AF12F3"/>
    <w:rsid w:val="00AF155A"/>
    <w:rsid w:val="00AF1695"/>
    <w:rsid w:val="00AF1A8E"/>
    <w:rsid w:val="00AF21B5"/>
    <w:rsid w:val="00AF253B"/>
    <w:rsid w:val="00AF2931"/>
    <w:rsid w:val="00AF3FDB"/>
    <w:rsid w:val="00AF4065"/>
    <w:rsid w:val="00AF4DEF"/>
    <w:rsid w:val="00AF50CB"/>
    <w:rsid w:val="00AF5D41"/>
    <w:rsid w:val="00AF65AA"/>
    <w:rsid w:val="00AF68EF"/>
    <w:rsid w:val="00AF6ED5"/>
    <w:rsid w:val="00AF6FC9"/>
    <w:rsid w:val="00AF76BC"/>
    <w:rsid w:val="00B00175"/>
    <w:rsid w:val="00B00C45"/>
    <w:rsid w:val="00B01752"/>
    <w:rsid w:val="00B017F6"/>
    <w:rsid w:val="00B01E94"/>
    <w:rsid w:val="00B020C3"/>
    <w:rsid w:val="00B0322E"/>
    <w:rsid w:val="00B035D7"/>
    <w:rsid w:val="00B03C7F"/>
    <w:rsid w:val="00B05407"/>
    <w:rsid w:val="00B05563"/>
    <w:rsid w:val="00B05E20"/>
    <w:rsid w:val="00B06342"/>
    <w:rsid w:val="00B0662E"/>
    <w:rsid w:val="00B06955"/>
    <w:rsid w:val="00B0736D"/>
    <w:rsid w:val="00B073E3"/>
    <w:rsid w:val="00B07659"/>
    <w:rsid w:val="00B109F2"/>
    <w:rsid w:val="00B11455"/>
    <w:rsid w:val="00B123A7"/>
    <w:rsid w:val="00B14F5F"/>
    <w:rsid w:val="00B15DCC"/>
    <w:rsid w:val="00B169C5"/>
    <w:rsid w:val="00B17923"/>
    <w:rsid w:val="00B17D00"/>
    <w:rsid w:val="00B17F20"/>
    <w:rsid w:val="00B20973"/>
    <w:rsid w:val="00B20F78"/>
    <w:rsid w:val="00B253AF"/>
    <w:rsid w:val="00B25637"/>
    <w:rsid w:val="00B26685"/>
    <w:rsid w:val="00B30DCB"/>
    <w:rsid w:val="00B3102F"/>
    <w:rsid w:val="00B32250"/>
    <w:rsid w:val="00B324B0"/>
    <w:rsid w:val="00B32A48"/>
    <w:rsid w:val="00B33684"/>
    <w:rsid w:val="00B34879"/>
    <w:rsid w:val="00B34AE0"/>
    <w:rsid w:val="00B35A36"/>
    <w:rsid w:val="00B37BEB"/>
    <w:rsid w:val="00B412F5"/>
    <w:rsid w:val="00B41379"/>
    <w:rsid w:val="00B41875"/>
    <w:rsid w:val="00B41B13"/>
    <w:rsid w:val="00B42D6D"/>
    <w:rsid w:val="00B42E21"/>
    <w:rsid w:val="00B43871"/>
    <w:rsid w:val="00B45821"/>
    <w:rsid w:val="00B45B89"/>
    <w:rsid w:val="00B46567"/>
    <w:rsid w:val="00B47A58"/>
    <w:rsid w:val="00B47CCE"/>
    <w:rsid w:val="00B502E0"/>
    <w:rsid w:val="00B526B7"/>
    <w:rsid w:val="00B52912"/>
    <w:rsid w:val="00B536E4"/>
    <w:rsid w:val="00B557D7"/>
    <w:rsid w:val="00B56C3F"/>
    <w:rsid w:val="00B577C5"/>
    <w:rsid w:val="00B602FD"/>
    <w:rsid w:val="00B60832"/>
    <w:rsid w:val="00B60EFA"/>
    <w:rsid w:val="00B61034"/>
    <w:rsid w:val="00B618CD"/>
    <w:rsid w:val="00B6226C"/>
    <w:rsid w:val="00B64531"/>
    <w:rsid w:val="00B64C2D"/>
    <w:rsid w:val="00B64E4A"/>
    <w:rsid w:val="00B65CD5"/>
    <w:rsid w:val="00B67FE3"/>
    <w:rsid w:val="00B71999"/>
    <w:rsid w:val="00B72A47"/>
    <w:rsid w:val="00B74A7D"/>
    <w:rsid w:val="00B7507B"/>
    <w:rsid w:val="00B75571"/>
    <w:rsid w:val="00B76359"/>
    <w:rsid w:val="00B76F2A"/>
    <w:rsid w:val="00B77B80"/>
    <w:rsid w:val="00B77B97"/>
    <w:rsid w:val="00B80BBB"/>
    <w:rsid w:val="00B813E3"/>
    <w:rsid w:val="00B81525"/>
    <w:rsid w:val="00B81865"/>
    <w:rsid w:val="00B81D3C"/>
    <w:rsid w:val="00B83D41"/>
    <w:rsid w:val="00B84084"/>
    <w:rsid w:val="00B84251"/>
    <w:rsid w:val="00B85E89"/>
    <w:rsid w:val="00B86F81"/>
    <w:rsid w:val="00B91EB1"/>
    <w:rsid w:val="00B924F7"/>
    <w:rsid w:val="00B92EB2"/>
    <w:rsid w:val="00B93F7E"/>
    <w:rsid w:val="00B94D97"/>
    <w:rsid w:val="00B95081"/>
    <w:rsid w:val="00B977AB"/>
    <w:rsid w:val="00B97A16"/>
    <w:rsid w:val="00BA1D50"/>
    <w:rsid w:val="00BA305F"/>
    <w:rsid w:val="00BA726E"/>
    <w:rsid w:val="00BA74B0"/>
    <w:rsid w:val="00BA7D58"/>
    <w:rsid w:val="00BB00B4"/>
    <w:rsid w:val="00BB07B0"/>
    <w:rsid w:val="00BB30D2"/>
    <w:rsid w:val="00BB3F5E"/>
    <w:rsid w:val="00BB4A67"/>
    <w:rsid w:val="00BB6E9C"/>
    <w:rsid w:val="00BC07FA"/>
    <w:rsid w:val="00BC09B0"/>
    <w:rsid w:val="00BC2010"/>
    <w:rsid w:val="00BC2066"/>
    <w:rsid w:val="00BC21EB"/>
    <w:rsid w:val="00BC2ACD"/>
    <w:rsid w:val="00BC2DBE"/>
    <w:rsid w:val="00BC2FB4"/>
    <w:rsid w:val="00BC32B7"/>
    <w:rsid w:val="00BC4452"/>
    <w:rsid w:val="00BC4886"/>
    <w:rsid w:val="00BC65EF"/>
    <w:rsid w:val="00BC6BDE"/>
    <w:rsid w:val="00BC6D7E"/>
    <w:rsid w:val="00BC7AFC"/>
    <w:rsid w:val="00BD08F3"/>
    <w:rsid w:val="00BD1483"/>
    <w:rsid w:val="00BD34D7"/>
    <w:rsid w:val="00BD393F"/>
    <w:rsid w:val="00BD4CE6"/>
    <w:rsid w:val="00BD550A"/>
    <w:rsid w:val="00BD624C"/>
    <w:rsid w:val="00BE091A"/>
    <w:rsid w:val="00BE1D2D"/>
    <w:rsid w:val="00BE28CC"/>
    <w:rsid w:val="00BE2DA6"/>
    <w:rsid w:val="00BE3A5C"/>
    <w:rsid w:val="00BE52A8"/>
    <w:rsid w:val="00BE56CD"/>
    <w:rsid w:val="00BE5844"/>
    <w:rsid w:val="00BE5E4C"/>
    <w:rsid w:val="00BE679F"/>
    <w:rsid w:val="00BE6B44"/>
    <w:rsid w:val="00BE7156"/>
    <w:rsid w:val="00BE7DCC"/>
    <w:rsid w:val="00BF0BBB"/>
    <w:rsid w:val="00BF0CAF"/>
    <w:rsid w:val="00BF0F2A"/>
    <w:rsid w:val="00BF27AF"/>
    <w:rsid w:val="00BF3B4C"/>
    <w:rsid w:val="00BF597C"/>
    <w:rsid w:val="00BF6206"/>
    <w:rsid w:val="00BF780A"/>
    <w:rsid w:val="00C00A94"/>
    <w:rsid w:val="00C012B7"/>
    <w:rsid w:val="00C021E7"/>
    <w:rsid w:val="00C03259"/>
    <w:rsid w:val="00C0501E"/>
    <w:rsid w:val="00C05F0C"/>
    <w:rsid w:val="00C05F19"/>
    <w:rsid w:val="00C06C12"/>
    <w:rsid w:val="00C10497"/>
    <w:rsid w:val="00C10B03"/>
    <w:rsid w:val="00C116FE"/>
    <w:rsid w:val="00C131AF"/>
    <w:rsid w:val="00C141BD"/>
    <w:rsid w:val="00C14A32"/>
    <w:rsid w:val="00C14A8F"/>
    <w:rsid w:val="00C14B6B"/>
    <w:rsid w:val="00C15629"/>
    <w:rsid w:val="00C176E4"/>
    <w:rsid w:val="00C17B77"/>
    <w:rsid w:val="00C22940"/>
    <w:rsid w:val="00C2308C"/>
    <w:rsid w:val="00C235B6"/>
    <w:rsid w:val="00C25726"/>
    <w:rsid w:val="00C260E6"/>
    <w:rsid w:val="00C27BAC"/>
    <w:rsid w:val="00C3079F"/>
    <w:rsid w:val="00C3109C"/>
    <w:rsid w:val="00C3369A"/>
    <w:rsid w:val="00C33EFE"/>
    <w:rsid w:val="00C355F7"/>
    <w:rsid w:val="00C36FD2"/>
    <w:rsid w:val="00C420D4"/>
    <w:rsid w:val="00C432E3"/>
    <w:rsid w:val="00C4441F"/>
    <w:rsid w:val="00C453A7"/>
    <w:rsid w:val="00C466C4"/>
    <w:rsid w:val="00C46767"/>
    <w:rsid w:val="00C46905"/>
    <w:rsid w:val="00C46A7F"/>
    <w:rsid w:val="00C47A16"/>
    <w:rsid w:val="00C47BEB"/>
    <w:rsid w:val="00C47DDA"/>
    <w:rsid w:val="00C502AB"/>
    <w:rsid w:val="00C51AFD"/>
    <w:rsid w:val="00C52ABC"/>
    <w:rsid w:val="00C52E28"/>
    <w:rsid w:val="00C54581"/>
    <w:rsid w:val="00C54657"/>
    <w:rsid w:val="00C54EBC"/>
    <w:rsid w:val="00C56379"/>
    <w:rsid w:val="00C56576"/>
    <w:rsid w:val="00C575C0"/>
    <w:rsid w:val="00C57728"/>
    <w:rsid w:val="00C609EF"/>
    <w:rsid w:val="00C61974"/>
    <w:rsid w:val="00C61A5C"/>
    <w:rsid w:val="00C6336E"/>
    <w:rsid w:val="00C63E68"/>
    <w:rsid w:val="00C63F57"/>
    <w:rsid w:val="00C645CC"/>
    <w:rsid w:val="00C652DB"/>
    <w:rsid w:val="00C65367"/>
    <w:rsid w:val="00C65533"/>
    <w:rsid w:val="00C65E8B"/>
    <w:rsid w:val="00C66100"/>
    <w:rsid w:val="00C66B88"/>
    <w:rsid w:val="00C67558"/>
    <w:rsid w:val="00C70EC7"/>
    <w:rsid w:val="00C71D87"/>
    <w:rsid w:val="00C744F5"/>
    <w:rsid w:val="00C74C41"/>
    <w:rsid w:val="00C74D2C"/>
    <w:rsid w:val="00C74EEB"/>
    <w:rsid w:val="00C75774"/>
    <w:rsid w:val="00C7577E"/>
    <w:rsid w:val="00C75BE0"/>
    <w:rsid w:val="00C75EC4"/>
    <w:rsid w:val="00C75FF9"/>
    <w:rsid w:val="00C760C8"/>
    <w:rsid w:val="00C76750"/>
    <w:rsid w:val="00C7681D"/>
    <w:rsid w:val="00C76BAB"/>
    <w:rsid w:val="00C77655"/>
    <w:rsid w:val="00C8007B"/>
    <w:rsid w:val="00C80D59"/>
    <w:rsid w:val="00C81881"/>
    <w:rsid w:val="00C83D9B"/>
    <w:rsid w:val="00C85390"/>
    <w:rsid w:val="00C85571"/>
    <w:rsid w:val="00C906D8"/>
    <w:rsid w:val="00C92214"/>
    <w:rsid w:val="00C9468D"/>
    <w:rsid w:val="00C959D4"/>
    <w:rsid w:val="00C961D6"/>
    <w:rsid w:val="00CA1A1E"/>
    <w:rsid w:val="00CA1D5E"/>
    <w:rsid w:val="00CA32F6"/>
    <w:rsid w:val="00CA398B"/>
    <w:rsid w:val="00CA497D"/>
    <w:rsid w:val="00CA4A87"/>
    <w:rsid w:val="00CA5A69"/>
    <w:rsid w:val="00CA5F63"/>
    <w:rsid w:val="00CA6C53"/>
    <w:rsid w:val="00CA70AC"/>
    <w:rsid w:val="00CA7B53"/>
    <w:rsid w:val="00CB0202"/>
    <w:rsid w:val="00CB0827"/>
    <w:rsid w:val="00CB20C3"/>
    <w:rsid w:val="00CB28A3"/>
    <w:rsid w:val="00CB3892"/>
    <w:rsid w:val="00CB660A"/>
    <w:rsid w:val="00CB6C00"/>
    <w:rsid w:val="00CB768D"/>
    <w:rsid w:val="00CB7883"/>
    <w:rsid w:val="00CC137B"/>
    <w:rsid w:val="00CC1570"/>
    <w:rsid w:val="00CC1A46"/>
    <w:rsid w:val="00CC32E2"/>
    <w:rsid w:val="00CC3B30"/>
    <w:rsid w:val="00CC3C93"/>
    <w:rsid w:val="00CC54F4"/>
    <w:rsid w:val="00CD1140"/>
    <w:rsid w:val="00CD11D5"/>
    <w:rsid w:val="00CD1271"/>
    <w:rsid w:val="00CD3BB3"/>
    <w:rsid w:val="00CD6C6B"/>
    <w:rsid w:val="00CD7133"/>
    <w:rsid w:val="00CD78C5"/>
    <w:rsid w:val="00CD7A9C"/>
    <w:rsid w:val="00CE042F"/>
    <w:rsid w:val="00CE0725"/>
    <w:rsid w:val="00CE14C0"/>
    <w:rsid w:val="00CE34B2"/>
    <w:rsid w:val="00CE3FB8"/>
    <w:rsid w:val="00CE3FD4"/>
    <w:rsid w:val="00CE48FD"/>
    <w:rsid w:val="00CE4DC2"/>
    <w:rsid w:val="00CE540C"/>
    <w:rsid w:val="00CE5BFF"/>
    <w:rsid w:val="00CE5FD2"/>
    <w:rsid w:val="00CE62D3"/>
    <w:rsid w:val="00CE7D57"/>
    <w:rsid w:val="00CE7D59"/>
    <w:rsid w:val="00CE7EB5"/>
    <w:rsid w:val="00CF0170"/>
    <w:rsid w:val="00CF0966"/>
    <w:rsid w:val="00CF0C1F"/>
    <w:rsid w:val="00CF0DEE"/>
    <w:rsid w:val="00CF1004"/>
    <w:rsid w:val="00CF2697"/>
    <w:rsid w:val="00CF27F0"/>
    <w:rsid w:val="00CF2E98"/>
    <w:rsid w:val="00CF35D8"/>
    <w:rsid w:val="00CF4520"/>
    <w:rsid w:val="00CF4764"/>
    <w:rsid w:val="00CF49F6"/>
    <w:rsid w:val="00CF4F7F"/>
    <w:rsid w:val="00CF51E7"/>
    <w:rsid w:val="00CF5336"/>
    <w:rsid w:val="00CF5597"/>
    <w:rsid w:val="00CF6E58"/>
    <w:rsid w:val="00CF7001"/>
    <w:rsid w:val="00CF7415"/>
    <w:rsid w:val="00D03856"/>
    <w:rsid w:val="00D0587A"/>
    <w:rsid w:val="00D06F7A"/>
    <w:rsid w:val="00D07234"/>
    <w:rsid w:val="00D07DE7"/>
    <w:rsid w:val="00D1185B"/>
    <w:rsid w:val="00D11E21"/>
    <w:rsid w:val="00D1206A"/>
    <w:rsid w:val="00D12AB2"/>
    <w:rsid w:val="00D138F7"/>
    <w:rsid w:val="00D13CB1"/>
    <w:rsid w:val="00D13DB0"/>
    <w:rsid w:val="00D14817"/>
    <w:rsid w:val="00D14CE1"/>
    <w:rsid w:val="00D15566"/>
    <w:rsid w:val="00D15817"/>
    <w:rsid w:val="00D15A0F"/>
    <w:rsid w:val="00D15DB0"/>
    <w:rsid w:val="00D15F9C"/>
    <w:rsid w:val="00D17749"/>
    <w:rsid w:val="00D20458"/>
    <w:rsid w:val="00D20C5D"/>
    <w:rsid w:val="00D2137E"/>
    <w:rsid w:val="00D2253A"/>
    <w:rsid w:val="00D227ED"/>
    <w:rsid w:val="00D22965"/>
    <w:rsid w:val="00D23258"/>
    <w:rsid w:val="00D23516"/>
    <w:rsid w:val="00D2361B"/>
    <w:rsid w:val="00D23E44"/>
    <w:rsid w:val="00D25751"/>
    <w:rsid w:val="00D25DAA"/>
    <w:rsid w:val="00D264F5"/>
    <w:rsid w:val="00D3020F"/>
    <w:rsid w:val="00D30289"/>
    <w:rsid w:val="00D31561"/>
    <w:rsid w:val="00D32185"/>
    <w:rsid w:val="00D3249F"/>
    <w:rsid w:val="00D33713"/>
    <w:rsid w:val="00D34884"/>
    <w:rsid w:val="00D34B35"/>
    <w:rsid w:val="00D35BF2"/>
    <w:rsid w:val="00D40024"/>
    <w:rsid w:val="00D40132"/>
    <w:rsid w:val="00D4066D"/>
    <w:rsid w:val="00D40A2A"/>
    <w:rsid w:val="00D413BE"/>
    <w:rsid w:val="00D41A86"/>
    <w:rsid w:val="00D43966"/>
    <w:rsid w:val="00D43F41"/>
    <w:rsid w:val="00D4494E"/>
    <w:rsid w:val="00D47EFB"/>
    <w:rsid w:val="00D5016C"/>
    <w:rsid w:val="00D508BC"/>
    <w:rsid w:val="00D509C7"/>
    <w:rsid w:val="00D5461C"/>
    <w:rsid w:val="00D57446"/>
    <w:rsid w:val="00D60ECE"/>
    <w:rsid w:val="00D63FF8"/>
    <w:rsid w:val="00D64A0F"/>
    <w:rsid w:val="00D67886"/>
    <w:rsid w:val="00D70074"/>
    <w:rsid w:val="00D70377"/>
    <w:rsid w:val="00D71550"/>
    <w:rsid w:val="00D71940"/>
    <w:rsid w:val="00D73796"/>
    <w:rsid w:val="00D737A6"/>
    <w:rsid w:val="00D73DD1"/>
    <w:rsid w:val="00D74FBF"/>
    <w:rsid w:val="00D75291"/>
    <w:rsid w:val="00D754D3"/>
    <w:rsid w:val="00D7619E"/>
    <w:rsid w:val="00D7664B"/>
    <w:rsid w:val="00D76C85"/>
    <w:rsid w:val="00D80A5A"/>
    <w:rsid w:val="00D80C90"/>
    <w:rsid w:val="00D816CF"/>
    <w:rsid w:val="00D81EFA"/>
    <w:rsid w:val="00D8275D"/>
    <w:rsid w:val="00D85199"/>
    <w:rsid w:val="00D85B2F"/>
    <w:rsid w:val="00D8734A"/>
    <w:rsid w:val="00D906EC"/>
    <w:rsid w:val="00D90862"/>
    <w:rsid w:val="00D920D8"/>
    <w:rsid w:val="00D9388C"/>
    <w:rsid w:val="00D9477E"/>
    <w:rsid w:val="00D954A0"/>
    <w:rsid w:val="00D96C72"/>
    <w:rsid w:val="00DA01FA"/>
    <w:rsid w:val="00DA2008"/>
    <w:rsid w:val="00DA26FD"/>
    <w:rsid w:val="00DA2736"/>
    <w:rsid w:val="00DA2DF1"/>
    <w:rsid w:val="00DA34A9"/>
    <w:rsid w:val="00DA48C6"/>
    <w:rsid w:val="00DA54AA"/>
    <w:rsid w:val="00DA6451"/>
    <w:rsid w:val="00DA74EE"/>
    <w:rsid w:val="00DA7A1C"/>
    <w:rsid w:val="00DB0B10"/>
    <w:rsid w:val="00DB10C3"/>
    <w:rsid w:val="00DB27F6"/>
    <w:rsid w:val="00DB2DB1"/>
    <w:rsid w:val="00DB65F1"/>
    <w:rsid w:val="00DC0F81"/>
    <w:rsid w:val="00DC150E"/>
    <w:rsid w:val="00DC3127"/>
    <w:rsid w:val="00DC4261"/>
    <w:rsid w:val="00DC46B6"/>
    <w:rsid w:val="00DC4E9A"/>
    <w:rsid w:val="00DC5440"/>
    <w:rsid w:val="00DC6662"/>
    <w:rsid w:val="00DC7E33"/>
    <w:rsid w:val="00DD011E"/>
    <w:rsid w:val="00DD0CF9"/>
    <w:rsid w:val="00DD1783"/>
    <w:rsid w:val="00DD1FC4"/>
    <w:rsid w:val="00DD3716"/>
    <w:rsid w:val="00DD3C94"/>
    <w:rsid w:val="00DD41DA"/>
    <w:rsid w:val="00DD5A87"/>
    <w:rsid w:val="00DD5E88"/>
    <w:rsid w:val="00DD61B2"/>
    <w:rsid w:val="00DD6274"/>
    <w:rsid w:val="00DD6D83"/>
    <w:rsid w:val="00DD6E30"/>
    <w:rsid w:val="00DE0CC1"/>
    <w:rsid w:val="00DE2423"/>
    <w:rsid w:val="00DE2C87"/>
    <w:rsid w:val="00DE2DA7"/>
    <w:rsid w:val="00DE352B"/>
    <w:rsid w:val="00DE4F15"/>
    <w:rsid w:val="00DE5176"/>
    <w:rsid w:val="00DE6D17"/>
    <w:rsid w:val="00DE7923"/>
    <w:rsid w:val="00DF1583"/>
    <w:rsid w:val="00DF222A"/>
    <w:rsid w:val="00DF255C"/>
    <w:rsid w:val="00DF261B"/>
    <w:rsid w:val="00DF3820"/>
    <w:rsid w:val="00DF53F3"/>
    <w:rsid w:val="00DF6589"/>
    <w:rsid w:val="00DF7B72"/>
    <w:rsid w:val="00E016AC"/>
    <w:rsid w:val="00E01D70"/>
    <w:rsid w:val="00E02239"/>
    <w:rsid w:val="00E0341D"/>
    <w:rsid w:val="00E0372E"/>
    <w:rsid w:val="00E046FF"/>
    <w:rsid w:val="00E059F3"/>
    <w:rsid w:val="00E05A60"/>
    <w:rsid w:val="00E0656B"/>
    <w:rsid w:val="00E06591"/>
    <w:rsid w:val="00E076E5"/>
    <w:rsid w:val="00E07DB1"/>
    <w:rsid w:val="00E07F6F"/>
    <w:rsid w:val="00E10A76"/>
    <w:rsid w:val="00E10C32"/>
    <w:rsid w:val="00E13592"/>
    <w:rsid w:val="00E14476"/>
    <w:rsid w:val="00E15B3E"/>
    <w:rsid w:val="00E16803"/>
    <w:rsid w:val="00E16C75"/>
    <w:rsid w:val="00E203F9"/>
    <w:rsid w:val="00E206AC"/>
    <w:rsid w:val="00E2114F"/>
    <w:rsid w:val="00E21243"/>
    <w:rsid w:val="00E21F90"/>
    <w:rsid w:val="00E229C5"/>
    <w:rsid w:val="00E22DCB"/>
    <w:rsid w:val="00E23159"/>
    <w:rsid w:val="00E2386D"/>
    <w:rsid w:val="00E23B4C"/>
    <w:rsid w:val="00E242CA"/>
    <w:rsid w:val="00E2533F"/>
    <w:rsid w:val="00E2570D"/>
    <w:rsid w:val="00E25A8D"/>
    <w:rsid w:val="00E25CB6"/>
    <w:rsid w:val="00E26D77"/>
    <w:rsid w:val="00E270A5"/>
    <w:rsid w:val="00E27398"/>
    <w:rsid w:val="00E2741E"/>
    <w:rsid w:val="00E30052"/>
    <w:rsid w:val="00E30402"/>
    <w:rsid w:val="00E30C5E"/>
    <w:rsid w:val="00E3152D"/>
    <w:rsid w:val="00E31ABA"/>
    <w:rsid w:val="00E32255"/>
    <w:rsid w:val="00E32262"/>
    <w:rsid w:val="00E32397"/>
    <w:rsid w:val="00E329F4"/>
    <w:rsid w:val="00E3470A"/>
    <w:rsid w:val="00E3496D"/>
    <w:rsid w:val="00E35661"/>
    <w:rsid w:val="00E35953"/>
    <w:rsid w:val="00E362A1"/>
    <w:rsid w:val="00E36E51"/>
    <w:rsid w:val="00E43E53"/>
    <w:rsid w:val="00E460E5"/>
    <w:rsid w:val="00E460F2"/>
    <w:rsid w:val="00E46414"/>
    <w:rsid w:val="00E46F7F"/>
    <w:rsid w:val="00E47251"/>
    <w:rsid w:val="00E476B0"/>
    <w:rsid w:val="00E50A39"/>
    <w:rsid w:val="00E5235C"/>
    <w:rsid w:val="00E53333"/>
    <w:rsid w:val="00E536B1"/>
    <w:rsid w:val="00E536DE"/>
    <w:rsid w:val="00E54AF3"/>
    <w:rsid w:val="00E54EBC"/>
    <w:rsid w:val="00E570DF"/>
    <w:rsid w:val="00E57764"/>
    <w:rsid w:val="00E57DFE"/>
    <w:rsid w:val="00E6055C"/>
    <w:rsid w:val="00E607CE"/>
    <w:rsid w:val="00E62092"/>
    <w:rsid w:val="00E623B7"/>
    <w:rsid w:val="00E62C10"/>
    <w:rsid w:val="00E6459A"/>
    <w:rsid w:val="00E64BEF"/>
    <w:rsid w:val="00E67FAD"/>
    <w:rsid w:val="00E70136"/>
    <w:rsid w:val="00E701D6"/>
    <w:rsid w:val="00E71598"/>
    <w:rsid w:val="00E717FD"/>
    <w:rsid w:val="00E72592"/>
    <w:rsid w:val="00E732D0"/>
    <w:rsid w:val="00E73ADD"/>
    <w:rsid w:val="00E74C12"/>
    <w:rsid w:val="00E75765"/>
    <w:rsid w:val="00E757FF"/>
    <w:rsid w:val="00E75802"/>
    <w:rsid w:val="00E75B4A"/>
    <w:rsid w:val="00E75D7D"/>
    <w:rsid w:val="00E76510"/>
    <w:rsid w:val="00E779BF"/>
    <w:rsid w:val="00E806C9"/>
    <w:rsid w:val="00E81157"/>
    <w:rsid w:val="00E81559"/>
    <w:rsid w:val="00E83A23"/>
    <w:rsid w:val="00E8436E"/>
    <w:rsid w:val="00E847DF"/>
    <w:rsid w:val="00E84C2A"/>
    <w:rsid w:val="00E85240"/>
    <w:rsid w:val="00E854CF"/>
    <w:rsid w:val="00E8581A"/>
    <w:rsid w:val="00E8650D"/>
    <w:rsid w:val="00E86927"/>
    <w:rsid w:val="00E87227"/>
    <w:rsid w:val="00E87275"/>
    <w:rsid w:val="00E87813"/>
    <w:rsid w:val="00E90A65"/>
    <w:rsid w:val="00E944D1"/>
    <w:rsid w:val="00E9752E"/>
    <w:rsid w:val="00E97694"/>
    <w:rsid w:val="00EA0556"/>
    <w:rsid w:val="00EA1BE7"/>
    <w:rsid w:val="00EA22C5"/>
    <w:rsid w:val="00EA3678"/>
    <w:rsid w:val="00EA406E"/>
    <w:rsid w:val="00EA41F9"/>
    <w:rsid w:val="00EA4608"/>
    <w:rsid w:val="00EA4796"/>
    <w:rsid w:val="00EA54D4"/>
    <w:rsid w:val="00EA580E"/>
    <w:rsid w:val="00EA678F"/>
    <w:rsid w:val="00EA7DFC"/>
    <w:rsid w:val="00EB02BB"/>
    <w:rsid w:val="00EB10FB"/>
    <w:rsid w:val="00EB15E4"/>
    <w:rsid w:val="00EB53F4"/>
    <w:rsid w:val="00EB6913"/>
    <w:rsid w:val="00EB6B93"/>
    <w:rsid w:val="00EC012C"/>
    <w:rsid w:val="00EC10A0"/>
    <w:rsid w:val="00EC11DE"/>
    <w:rsid w:val="00EC2C52"/>
    <w:rsid w:val="00EC3027"/>
    <w:rsid w:val="00EC317A"/>
    <w:rsid w:val="00EC3AB6"/>
    <w:rsid w:val="00EC3E47"/>
    <w:rsid w:val="00EC4701"/>
    <w:rsid w:val="00EC57C9"/>
    <w:rsid w:val="00EC7C44"/>
    <w:rsid w:val="00EC7C9E"/>
    <w:rsid w:val="00ED203C"/>
    <w:rsid w:val="00ED45D1"/>
    <w:rsid w:val="00ED4A5F"/>
    <w:rsid w:val="00ED6769"/>
    <w:rsid w:val="00EE01FD"/>
    <w:rsid w:val="00EE0926"/>
    <w:rsid w:val="00EE118A"/>
    <w:rsid w:val="00EE33F1"/>
    <w:rsid w:val="00EE3B19"/>
    <w:rsid w:val="00EE46A0"/>
    <w:rsid w:val="00EE49B7"/>
    <w:rsid w:val="00EE50F1"/>
    <w:rsid w:val="00EE5FAA"/>
    <w:rsid w:val="00EE6EFF"/>
    <w:rsid w:val="00EF1522"/>
    <w:rsid w:val="00EF36BC"/>
    <w:rsid w:val="00EF3B10"/>
    <w:rsid w:val="00EF3D26"/>
    <w:rsid w:val="00EF46AC"/>
    <w:rsid w:val="00EF4DF3"/>
    <w:rsid w:val="00EF4DF6"/>
    <w:rsid w:val="00EF68D8"/>
    <w:rsid w:val="00F00EF6"/>
    <w:rsid w:val="00F04840"/>
    <w:rsid w:val="00F04DB2"/>
    <w:rsid w:val="00F04E6A"/>
    <w:rsid w:val="00F0638F"/>
    <w:rsid w:val="00F06581"/>
    <w:rsid w:val="00F06D00"/>
    <w:rsid w:val="00F10751"/>
    <w:rsid w:val="00F13520"/>
    <w:rsid w:val="00F14C68"/>
    <w:rsid w:val="00F1637D"/>
    <w:rsid w:val="00F205D1"/>
    <w:rsid w:val="00F20A24"/>
    <w:rsid w:val="00F20DEF"/>
    <w:rsid w:val="00F21F12"/>
    <w:rsid w:val="00F22BAC"/>
    <w:rsid w:val="00F266E4"/>
    <w:rsid w:val="00F31654"/>
    <w:rsid w:val="00F3209A"/>
    <w:rsid w:val="00F325A8"/>
    <w:rsid w:val="00F32898"/>
    <w:rsid w:val="00F33077"/>
    <w:rsid w:val="00F331D1"/>
    <w:rsid w:val="00F335E1"/>
    <w:rsid w:val="00F336F1"/>
    <w:rsid w:val="00F34592"/>
    <w:rsid w:val="00F345AD"/>
    <w:rsid w:val="00F35169"/>
    <w:rsid w:val="00F358A8"/>
    <w:rsid w:val="00F36015"/>
    <w:rsid w:val="00F36122"/>
    <w:rsid w:val="00F36E10"/>
    <w:rsid w:val="00F40470"/>
    <w:rsid w:val="00F4099C"/>
    <w:rsid w:val="00F44DF0"/>
    <w:rsid w:val="00F45281"/>
    <w:rsid w:val="00F47833"/>
    <w:rsid w:val="00F47E67"/>
    <w:rsid w:val="00F47EA9"/>
    <w:rsid w:val="00F5015E"/>
    <w:rsid w:val="00F50487"/>
    <w:rsid w:val="00F51B1E"/>
    <w:rsid w:val="00F52306"/>
    <w:rsid w:val="00F52639"/>
    <w:rsid w:val="00F52CB7"/>
    <w:rsid w:val="00F53AAF"/>
    <w:rsid w:val="00F54771"/>
    <w:rsid w:val="00F54B24"/>
    <w:rsid w:val="00F551DB"/>
    <w:rsid w:val="00F5563E"/>
    <w:rsid w:val="00F56FB3"/>
    <w:rsid w:val="00F57CD5"/>
    <w:rsid w:val="00F57FBE"/>
    <w:rsid w:val="00F60D23"/>
    <w:rsid w:val="00F61916"/>
    <w:rsid w:val="00F61D90"/>
    <w:rsid w:val="00F62EAC"/>
    <w:rsid w:val="00F64393"/>
    <w:rsid w:val="00F647EB"/>
    <w:rsid w:val="00F676E1"/>
    <w:rsid w:val="00F67917"/>
    <w:rsid w:val="00F67AF6"/>
    <w:rsid w:val="00F7006F"/>
    <w:rsid w:val="00F70184"/>
    <w:rsid w:val="00F702F4"/>
    <w:rsid w:val="00F70744"/>
    <w:rsid w:val="00F7174B"/>
    <w:rsid w:val="00F7224A"/>
    <w:rsid w:val="00F72CC9"/>
    <w:rsid w:val="00F75350"/>
    <w:rsid w:val="00F75709"/>
    <w:rsid w:val="00F759A4"/>
    <w:rsid w:val="00F76370"/>
    <w:rsid w:val="00F7639E"/>
    <w:rsid w:val="00F763B8"/>
    <w:rsid w:val="00F76808"/>
    <w:rsid w:val="00F77B64"/>
    <w:rsid w:val="00F80DCC"/>
    <w:rsid w:val="00F815C1"/>
    <w:rsid w:val="00F81D7F"/>
    <w:rsid w:val="00F828D8"/>
    <w:rsid w:val="00F83380"/>
    <w:rsid w:val="00F83E64"/>
    <w:rsid w:val="00F84B85"/>
    <w:rsid w:val="00F857F9"/>
    <w:rsid w:val="00F867FA"/>
    <w:rsid w:val="00F86E0B"/>
    <w:rsid w:val="00F871DE"/>
    <w:rsid w:val="00F937EE"/>
    <w:rsid w:val="00F93FCD"/>
    <w:rsid w:val="00F94632"/>
    <w:rsid w:val="00F962A1"/>
    <w:rsid w:val="00F96CF8"/>
    <w:rsid w:val="00F978CE"/>
    <w:rsid w:val="00F9795E"/>
    <w:rsid w:val="00F97B26"/>
    <w:rsid w:val="00FA2621"/>
    <w:rsid w:val="00FA422E"/>
    <w:rsid w:val="00FA517C"/>
    <w:rsid w:val="00FA570A"/>
    <w:rsid w:val="00FA5A72"/>
    <w:rsid w:val="00FA5AF9"/>
    <w:rsid w:val="00FA6868"/>
    <w:rsid w:val="00FB012B"/>
    <w:rsid w:val="00FB1384"/>
    <w:rsid w:val="00FB13DD"/>
    <w:rsid w:val="00FB23AB"/>
    <w:rsid w:val="00FB2992"/>
    <w:rsid w:val="00FB3B4A"/>
    <w:rsid w:val="00FB56C1"/>
    <w:rsid w:val="00FC0C7E"/>
    <w:rsid w:val="00FC1AD5"/>
    <w:rsid w:val="00FC3037"/>
    <w:rsid w:val="00FC3624"/>
    <w:rsid w:val="00FC3BCB"/>
    <w:rsid w:val="00FC76B5"/>
    <w:rsid w:val="00FD0332"/>
    <w:rsid w:val="00FD0AD3"/>
    <w:rsid w:val="00FD1C98"/>
    <w:rsid w:val="00FD1D5D"/>
    <w:rsid w:val="00FD1EE7"/>
    <w:rsid w:val="00FD3784"/>
    <w:rsid w:val="00FD3AB7"/>
    <w:rsid w:val="00FD469F"/>
    <w:rsid w:val="00FD56E9"/>
    <w:rsid w:val="00FD6253"/>
    <w:rsid w:val="00FD66A3"/>
    <w:rsid w:val="00FD7778"/>
    <w:rsid w:val="00FD788B"/>
    <w:rsid w:val="00FD78BE"/>
    <w:rsid w:val="00FD7AAE"/>
    <w:rsid w:val="00FD7D26"/>
    <w:rsid w:val="00FE0F21"/>
    <w:rsid w:val="00FE3BAC"/>
    <w:rsid w:val="00FE5B3F"/>
    <w:rsid w:val="00FE5E53"/>
    <w:rsid w:val="00FE5F55"/>
    <w:rsid w:val="00FE78DE"/>
    <w:rsid w:val="00FF0A91"/>
    <w:rsid w:val="00FF0CC9"/>
    <w:rsid w:val="00FF1688"/>
    <w:rsid w:val="00FF39A3"/>
    <w:rsid w:val="00FF3B71"/>
    <w:rsid w:val="00FF3D93"/>
    <w:rsid w:val="00FF495F"/>
    <w:rsid w:val="00FF598D"/>
    <w:rsid w:val="00FF662C"/>
    <w:rsid w:val="00FF7091"/>
    <w:rsid w:val="00FF7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EAE1"/>
  <w15:chartTrackingRefBased/>
  <w15:docId w15:val="{93B67E9D-F98B-4D9E-A746-663065D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CB7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CB7883"/>
    <w:pPr>
      <w:spacing w:before="60" w:after="60" w:line="240" w:lineRule="auto"/>
      <w:jc w:val="center"/>
      <w:outlineLvl w:val="1"/>
    </w:pPr>
    <w:rPr>
      <w:rFonts w:ascii="Times New Roman" w:eastAsia="Times New Roman" w:hAnsi="Times New Roman" w:cs="Times New Roman"/>
      <w:color w:val="0083B6"/>
      <w:sz w:val="29"/>
      <w:szCs w:val="29"/>
      <w:lang w:eastAsia="es-MX"/>
    </w:rPr>
  </w:style>
  <w:style w:type="paragraph" w:styleId="Ttulo3">
    <w:name w:val="heading 3"/>
    <w:basedOn w:val="Normal"/>
    <w:next w:val="Normal"/>
    <w:link w:val="Ttulo3Car"/>
    <w:uiPriority w:val="9"/>
    <w:semiHidden/>
    <w:unhideWhenUsed/>
    <w:qFormat/>
    <w:rsid w:val="00CB7883"/>
    <w:pPr>
      <w:keepNext/>
      <w:keepLines/>
      <w:spacing w:before="40" w:after="0"/>
      <w:outlineLvl w:val="2"/>
    </w:pPr>
    <w:rPr>
      <w:rFonts w:ascii="Cambria" w:eastAsia="Times New Roman" w:hAnsi="Cambria" w:cs="Times New Roman"/>
      <w:bCs/>
      <w:color w:val="4F81BD"/>
    </w:rPr>
  </w:style>
  <w:style w:type="paragraph" w:styleId="Ttulo4">
    <w:name w:val="heading 4"/>
    <w:basedOn w:val="Normal"/>
    <w:next w:val="Normal"/>
    <w:link w:val="Ttulo4Car"/>
    <w:uiPriority w:val="9"/>
    <w:semiHidden/>
    <w:unhideWhenUsed/>
    <w:qFormat/>
    <w:rsid w:val="00CB7883"/>
    <w:pPr>
      <w:keepNext/>
      <w:keepLines/>
      <w:spacing w:before="40" w:after="0"/>
      <w:outlineLvl w:val="3"/>
    </w:pPr>
    <w:rPr>
      <w:rFonts w:ascii="Cambria" w:eastAsia="Times New Roman" w:hAnsi="Cambria" w:cs="Times New Roman"/>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CB7883"/>
    <w:pPr>
      <w:keepNext/>
      <w:keepLines/>
      <w:spacing w:before="480" w:after="0" w:line="276" w:lineRule="auto"/>
      <w:jc w:val="center"/>
      <w:outlineLvl w:val="0"/>
    </w:pPr>
    <w:rPr>
      <w:rFonts w:ascii="Cambria" w:eastAsia="Times New Roman" w:hAnsi="Cambria" w:cs="Times New Roman"/>
      <w:bCs/>
      <w:color w:val="365F91"/>
      <w:sz w:val="28"/>
      <w:szCs w:val="28"/>
    </w:rPr>
  </w:style>
  <w:style w:type="character" w:customStyle="1" w:styleId="Ttulo2Car">
    <w:name w:val="Título 2 Car"/>
    <w:basedOn w:val="Fuentedeprrafopredeter"/>
    <w:link w:val="Ttulo2"/>
    <w:uiPriority w:val="9"/>
    <w:rsid w:val="00CB7883"/>
    <w:rPr>
      <w:rFonts w:ascii="Times New Roman" w:eastAsia="Times New Roman" w:hAnsi="Times New Roman" w:cs="Times New Roman"/>
      <w:color w:val="0083B6"/>
      <w:sz w:val="29"/>
      <w:szCs w:val="29"/>
      <w:lang w:eastAsia="es-MX"/>
    </w:rPr>
  </w:style>
  <w:style w:type="paragraph" w:customStyle="1" w:styleId="Ttulo31">
    <w:name w:val="Título 31"/>
    <w:basedOn w:val="Normal"/>
    <w:next w:val="Normal"/>
    <w:uiPriority w:val="9"/>
    <w:semiHidden/>
    <w:unhideWhenUsed/>
    <w:qFormat/>
    <w:rsid w:val="00CB7883"/>
    <w:pPr>
      <w:keepNext/>
      <w:keepLines/>
      <w:spacing w:before="200" w:after="0" w:line="276" w:lineRule="auto"/>
      <w:jc w:val="center"/>
      <w:outlineLvl w:val="2"/>
    </w:pPr>
    <w:rPr>
      <w:rFonts w:ascii="Cambria" w:eastAsia="Times New Roman" w:hAnsi="Cambria" w:cs="Times New Roman"/>
      <w:bCs/>
      <w:color w:val="4F81BD"/>
    </w:rPr>
  </w:style>
  <w:style w:type="paragraph" w:customStyle="1" w:styleId="Ttulo41">
    <w:name w:val="Título 41"/>
    <w:basedOn w:val="Normal"/>
    <w:next w:val="Normal"/>
    <w:uiPriority w:val="9"/>
    <w:semiHidden/>
    <w:unhideWhenUsed/>
    <w:qFormat/>
    <w:rsid w:val="00CB7883"/>
    <w:pPr>
      <w:keepNext/>
      <w:keepLines/>
      <w:spacing w:before="40" w:after="0" w:line="276" w:lineRule="auto"/>
      <w:jc w:val="center"/>
      <w:outlineLvl w:val="3"/>
    </w:pPr>
    <w:rPr>
      <w:rFonts w:ascii="Cambria" w:eastAsia="Times New Roman" w:hAnsi="Cambria" w:cs="Times New Roman"/>
      <w:i/>
      <w:iCs/>
      <w:color w:val="365F91"/>
    </w:rPr>
  </w:style>
  <w:style w:type="numbering" w:customStyle="1" w:styleId="Sinlista1">
    <w:name w:val="Sin lista1"/>
    <w:next w:val="Sinlista"/>
    <w:uiPriority w:val="99"/>
    <w:semiHidden/>
    <w:unhideWhenUsed/>
    <w:rsid w:val="00CB7883"/>
  </w:style>
  <w:style w:type="character" w:customStyle="1" w:styleId="Ttulo1Car">
    <w:name w:val="Título 1 Car"/>
    <w:basedOn w:val="Fuentedeprrafopredeter"/>
    <w:link w:val="Ttulo11"/>
    <w:uiPriority w:val="9"/>
    <w:rsid w:val="00CB7883"/>
    <w:rPr>
      <w:rFonts w:ascii="Cambria" w:eastAsia="Times New Roman" w:hAnsi="Cambria" w:cs="Times New Roman"/>
      <w:b w:val="0"/>
      <w:bCs/>
      <w:color w:val="365F91"/>
      <w:sz w:val="28"/>
      <w:szCs w:val="28"/>
    </w:rPr>
  </w:style>
  <w:style w:type="character" w:customStyle="1" w:styleId="Ttulo3Car">
    <w:name w:val="Título 3 Car"/>
    <w:basedOn w:val="Fuentedeprrafopredeter"/>
    <w:link w:val="Ttulo3"/>
    <w:uiPriority w:val="9"/>
    <w:semiHidden/>
    <w:rsid w:val="00CB7883"/>
    <w:rPr>
      <w:rFonts w:ascii="Cambria" w:eastAsia="Times New Roman" w:hAnsi="Cambria" w:cs="Times New Roman"/>
      <w:b w:val="0"/>
      <w:bCs/>
      <w:color w:val="4F81BD"/>
    </w:rPr>
  </w:style>
  <w:style w:type="paragraph" w:styleId="Prrafodelista">
    <w:name w:val="List Paragraph"/>
    <w:basedOn w:val="Normal"/>
    <w:link w:val="PrrafodelistaCar"/>
    <w:uiPriority w:val="34"/>
    <w:qFormat/>
    <w:rsid w:val="00CB7883"/>
    <w:pPr>
      <w:spacing w:after="200" w:line="276" w:lineRule="auto"/>
      <w:ind w:left="720"/>
      <w:contextualSpacing/>
      <w:jc w:val="center"/>
    </w:pPr>
  </w:style>
  <w:style w:type="character" w:customStyle="1" w:styleId="PrrafodelistaCar">
    <w:name w:val="Párrafo de lista Car"/>
    <w:link w:val="Prrafodelista"/>
    <w:uiPriority w:val="34"/>
    <w:locked/>
    <w:rsid w:val="00CB7883"/>
  </w:style>
  <w:style w:type="character" w:styleId="Hipervnculo">
    <w:name w:val="Hyperlink"/>
    <w:basedOn w:val="Fuentedeprrafopredeter"/>
    <w:uiPriority w:val="99"/>
    <w:unhideWhenUsed/>
    <w:rsid w:val="00CB7883"/>
    <w:rPr>
      <w:strike w:val="0"/>
      <w:dstrike w:val="0"/>
      <w:color w:val="000000"/>
      <w:u w:val="none"/>
      <w:effect w:val="none"/>
    </w:rPr>
  </w:style>
  <w:style w:type="character" w:styleId="Textoennegrita">
    <w:name w:val="Strong"/>
    <w:basedOn w:val="Fuentedeprrafopredeter"/>
    <w:uiPriority w:val="22"/>
    <w:qFormat/>
    <w:rsid w:val="00CB7883"/>
    <w:rPr>
      <w:b w:val="0"/>
      <w:bCs/>
    </w:rPr>
  </w:style>
  <w:style w:type="paragraph" w:styleId="Textodeglobo">
    <w:name w:val="Balloon Text"/>
    <w:basedOn w:val="Normal"/>
    <w:link w:val="TextodegloboCar"/>
    <w:uiPriority w:val="99"/>
    <w:semiHidden/>
    <w:unhideWhenUsed/>
    <w:rsid w:val="00CB7883"/>
    <w:pPr>
      <w:spacing w:after="0" w:line="240" w:lineRule="auto"/>
      <w:jc w:val="center"/>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883"/>
    <w:rPr>
      <w:rFonts w:ascii="Tahoma" w:hAnsi="Tahoma" w:cs="Tahoma"/>
      <w:sz w:val="16"/>
      <w:szCs w:val="16"/>
    </w:rPr>
  </w:style>
  <w:style w:type="paragraph" w:styleId="NormalWeb">
    <w:name w:val="Normal (Web)"/>
    <w:basedOn w:val="Normal"/>
    <w:link w:val="NormalWebCar"/>
    <w:uiPriority w:val="99"/>
    <w:unhideWhenUsed/>
    <w:rsid w:val="00CB7883"/>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B7883"/>
    <w:rPr>
      <w:i/>
      <w:iCs/>
    </w:rPr>
  </w:style>
  <w:style w:type="paragraph" w:styleId="Puesto">
    <w:name w:val="Title"/>
    <w:basedOn w:val="Normal"/>
    <w:link w:val="PuestoCar"/>
    <w:qFormat/>
    <w:rsid w:val="00CB7883"/>
    <w:pPr>
      <w:spacing w:after="0" w:line="240" w:lineRule="auto"/>
      <w:jc w:val="center"/>
    </w:pPr>
    <w:rPr>
      <w:rFonts w:ascii="Arial" w:eastAsia="Times New Roman" w:hAnsi="Arial" w:cs="Times New Roman"/>
      <w:sz w:val="24"/>
      <w:szCs w:val="20"/>
      <w:lang w:val="es-ES" w:eastAsia="es-ES"/>
    </w:rPr>
  </w:style>
  <w:style w:type="character" w:customStyle="1" w:styleId="PuestoCar">
    <w:name w:val="Puesto Car"/>
    <w:basedOn w:val="Fuentedeprrafopredeter"/>
    <w:link w:val="Puesto"/>
    <w:rsid w:val="00CB7883"/>
    <w:rPr>
      <w:rFonts w:ascii="Arial" w:eastAsia="Times New Roman" w:hAnsi="Arial" w:cs="Times New Roman"/>
      <w:sz w:val="24"/>
      <w:szCs w:val="20"/>
      <w:lang w:val="es-ES" w:eastAsia="es-ES"/>
    </w:rPr>
  </w:style>
  <w:style w:type="paragraph" w:customStyle="1" w:styleId="n0">
    <w:name w:val="n0"/>
    <w:basedOn w:val="Normal"/>
    <w:rsid w:val="00CB7883"/>
    <w:pPr>
      <w:keepLines/>
      <w:spacing w:before="240" w:after="0" w:line="240" w:lineRule="auto"/>
      <w:ind w:left="720" w:hanging="720"/>
      <w:jc w:val="both"/>
    </w:pPr>
    <w:rPr>
      <w:rFonts w:ascii="Univers (W1)" w:eastAsia="Times New Roman" w:hAnsi="Univers (W1)" w:cs="Times New Roman"/>
      <w:color w:val="800080"/>
      <w:sz w:val="24"/>
      <w:szCs w:val="20"/>
      <w:lang w:eastAsia="es-ES"/>
    </w:rPr>
  </w:style>
  <w:style w:type="paragraph" w:customStyle="1" w:styleId="Default">
    <w:name w:val="Default"/>
    <w:rsid w:val="00CB7883"/>
    <w:pPr>
      <w:autoSpaceDE w:val="0"/>
      <w:autoSpaceDN w:val="0"/>
      <w:adjustRightInd w:val="0"/>
      <w:spacing w:after="0" w:line="240" w:lineRule="auto"/>
      <w:jc w:val="center"/>
    </w:pPr>
    <w:rPr>
      <w:rFonts w:ascii="Arial" w:hAnsi="Arial" w:cs="Arial"/>
      <w:color w:val="000000"/>
      <w:sz w:val="24"/>
      <w:szCs w:val="24"/>
    </w:rPr>
  </w:style>
  <w:style w:type="table" w:customStyle="1" w:styleId="Sombreadomedio1-nfasis11">
    <w:name w:val="Sombreado medio 1 - Énfasis 11"/>
    <w:basedOn w:val="Tablanormal"/>
    <w:next w:val="Sombreadomedio1-nfasis1"/>
    <w:uiPriority w:val="63"/>
    <w:rsid w:val="00CB7883"/>
    <w:pPr>
      <w:spacing w:after="0" w:line="240" w:lineRule="auto"/>
      <w:jc w:val="center"/>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claro-nfasis51">
    <w:name w:val="Sombreado claro - Énfasis 51"/>
    <w:basedOn w:val="Tablanormal"/>
    <w:next w:val="Sombreadoclaro-nfasis5"/>
    <w:uiPriority w:val="60"/>
    <w:rsid w:val="00CB7883"/>
    <w:pPr>
      <w:spacing w:after="0" w:line="240" w:lineRule="auto"/>
      <w:jc w:val="center"/>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nfasis11">
    <w:name w:val="Sombreado claro - Énfasis 11"/>
    <w:basedOn w:val="Tablanormal"/>
    <w:next w:val="Sombreadoclaro-nfasis1"/>
    <w:uiPriority w:val="60"/>
    <w:rsid w:val="00CB7883"/>
    <w:pPr>
      <w:spacing w:after="0" w:line="240" w:lineRule="auto"/>
      <w:jc w:val="center"/>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onotapie">
    <w:name w:val="footnote text"/>
    <w:basedOn w:val="Normal"/>
    <w:link w:val="TextonotapieCar"/>
    <w:uiPriority w:val="99"/>
    <w:semiHidden/>
    <w:unhideWhenUsed/>
    <w:rsid w:val="00CB7883"/>
    <w:pPr>
      <w:spacing w:after="0" w:line="240" w:lineRule="auto"/>
      <w:jc w:val="center"/>
    </w:pPr>
    <w:rPr>
      <w:sz w:val="20"/>
      <w:szCs w:val="20"/>
    </w:rPr>
  </w:style>
  <w:style w:type="character" w:customStyle="1" w:styleId="TextonotapieCar">
    <w:name w:val="Texto nota pie Car"/>
    <w:basedOn w:val="Fuentedeprrafopredeter"/>
    <w:link w:val="Textonotapie"/>
    <w:uiPriority w:val="99"/>
    <w:semiHidden/>
    <w:rsid w:val="00CB7883"/>
    <w:rPr>
      <w:sz w:val="20"/>
      <w:szCs w:val="20"/>
    </w:rPr>
  </w:style>
  <w:style w:type="character" w:styleId="Refdenotaalpie">
    <w:name w:val="footnote reference"/>
    <w:basedOn w:val="Fuentedeprrafopredeter"/>
    <w:uiPriority w:val="99"/>
    <w:semiHidden/>
    <w:unhideWhenUsed/>
    <w:rsid w:val="00CB7883"/>
    <w:rPr>
      <w:vertAlign w:val="superscript"/>
    </w:rPr>
  </w:style>
  <w:style w:type="table" w:styleId="Tablaconcuadrcula">
    <w:name w:val="Table Grid"/>
    <w:basedOn w:val="Tablanormal"/>
    <w:uiPriority w:val="39"/>
    <w:rsid w:val="00CB788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rsid w:val="00CB7883"/>
    <w:rPr>
      <w:rFonts w:cs="DIN Next LT Pro"/>
      <w:b w:val="0"/>
      <w:bCs/>
      <w:color w:val="000000"/>
      <w:sz w:val="50"/>
      <w:szCs w:val="50"/>
    </w:rPr>
  </w:style>
  <w:style w:type="character" w:customStyle="1" w:styleId="A4">
    <w:name w:val="A4"/>
    <w:uiPriority w:val="99"/>
    <w:rsid w:val="00CB7883"/>
    <w:rPr>
      <w:rFonts w:cs="DIN Next LT Pro"/>
      <w:color w:val="000000"/>
      <w:sz w:val="20"/>
      <w:szCs w:val="20"/>
    </w:rPr>
  </w:style>
  <w:style w:type="paragraph" w:customStyle="1" w:styleId="CM63">
    <w:name w:val="CM63"/>
    <w:basedOn w:val="Default"/>
    <w:next w:val="Default"/>
    <w:uiPriority w:val="99"/>
    <w:rsid w:val="00CB7883"/>
    <w:pPr>
      <w:widowControl w:val="0"/>
    </w:pPr>
    <w:rPr>
      <w:rFonts w:eastAsia="Times New Roman"/>
      <w:color w:val="auto"/>
      <w:lang w:eastAsia="es-MX"/>
    </w:rPr>
  </w:style>
  <w:style w:type="table" w:customStyle="1" w:styleId="Sombreadoclaro-nfasis61">
    <w:name w:val="Sombreado claro - Énfasis 61"/>
    <w:basedOn w:val="Tablanormal"/>
    <w:next w:val="Sombreadoclaro-nfasis6"/>
    <w:uiPriority w:val="60"/>
    <w:rsid w:val="00CB7883"/>
    <w:pPr>
      <w:spacing w:after="0" w:line="240" w:lineRule="auto"/>
      <w:jc w:val="center"/>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Encabezado">
    <w:name w:val="header"/>
    <w:basedOn w:val="Normal"/>
    <w:link w:val="EncabezadoCar"/>
    <w:unhideWhenUsed/>
    <w:rsid w:val="00CB7883"/>
    <w:pPr>
      <w:tabs>
        <w:tab w:val="center" w:pos="4419"/>
        <w:tab w:val="right" w:pos="8838"/>
      </w:tabs>
      <w:spacing w:after="0" w:line="240" w:lineRule="auto"/>
      <w:jc w:val="center"/>
    </w:pPr>
  </w:style>
  <w:style w:type="character" w:customStyle="1" w:styleId="EncabezadoCar">
    <w:name w:val="Encabezado Car"/>
    <w:basedOn w:val="Fuentedeprrafopredeter"/>
    <w:link w:val="Encabezado"/>
    <w:rsid w:val="00CB7883"/>
  </w:style>
  <w:style w:type="paragraph" w:styleId="Piedepgina">
    <w:name w:val="footer"/>
    <w:basedOn w:val="Normal"/>
    <w:link w:val="PiedepginaCar"/>
    <w:uiPriority w:val="99"/>
    <w:unhideWhenUsed/>
    <w:rsid w:val="00CB7883"/>
    <w:pPr>
      <w:tabs>
        <w:tab w:val="center" w:pos="4419"/>
        <w:tab w:val="right" w:pos="8838"/>
      </w:tabs>
      <w:spacing w:after="0" w:line="240" w:lineRule="auto"/>
      <w:jc w:val="center"/>
    </w:pPr>
  </w:style>
  <w:style w:type="character" w:customStyle="1" w:styleId="PiedepginaCar">
    <w:name w:val="Pie de página Car"/>
    <w:basedOn w:val="Fuentedeprrafopredeter"/>
    <w:link w:val="Piedepgina"/>
    <w:uiPriority w:val="99"/>
    <w:rsid w:val="00CB7883"/>
  </w:style>
  <w:style w:type="paragraph" w:customStyle="1" w:styleId="Textoindependiente1">
    <w:name w:val="Texto independiente1"/>
    <w:basedOn w:val="Normal"/>
    <w:next w:val="Textoindependiente"/>
    <w:link w:val="TextoindependienteCar"/>
    <w:uiPriority w:val="99"/>
    <w:qFormat/>
    <w:rsid w:val="00CB7883"/>
    <w:pPr>
      <w:widowControl w:val="0"/>
      <w:autoSpaceDE w:val="0"/>
      <w:autoSpaceDN w:val="0"/>
      <w:adjustRightInd w:val="0"/>
      <w:spacing w:after="0" w:line="240" w:lineRule="auto"/>
      <w:ind w:left="120"/>
    </w:pPr>
    <w:rPr>
      <w:rFonts w:ascii="DIN Next LT Pro Condensed" w:eastAsia="Times New Roman" w:hAnsi="DIN Next LT Pro Condensed" w:cs="DIN Next LT Pro Condensed"/>
      <w:sz w:val="20"/>
      <w:szCs w:val="20"/>
      <w:lang w:eastAsia="es-MX"/>
    </w:rPr>
  </w:style>
  <w:style w:type="character" w:customStyle="1" w:styleId="TextoindependienteCar">
    <w:name w:val="Texto independiente Car"/>
    <w:basedOn w:val="Fuentedeprrafopredeter"/>
    <w:link w:val="Textoindependiente1"/>
    <w:uiPriority w:val="99"/>
    <w:rsid w:val="00CB7883"/>
    <w:rPr>
      <w:rFonts w:ascii="DIN Next LT Pro Condensed" w:eastAsia="Times New Roman" w:hAnsi="DIN Next LT Pro Condensed" w:cs="DIN Next LT Pro Condensed"/>
      <w:sz w:val="20"/>
      <w:szCs w:val="20"/>
      <w:lang w:eastAsia="es-MX"/>
    </w:rPr>
  </w:style>
  <w:style w:type="paragraph" w:customStyle="1" w:styleId="Texto">
    <w:name w:val="Texto"/>
    <w:basedOn w:val="Normal"/>
    <w:link w:val="TextoCar"/>
    <w:qFormat/>
    <w:rsid w:val="00CB788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CB7883"/>
    <w:rPr>
      <w:rFonts w:ascii="Arial" w:eastAsia="Times New Roman" w:hAnsi="Arial" w:cs="Arial"/>
      <w:sz w:val="18"/>
      <w:szCs w:val="20"/>
      <w:lang w:val="es-ES" w:eastAsia="es-ES"/>
    </w:rPr>
  </w:style>
  <w:style w:type="character" w:styleId="Hipervnculovisitado">
    <w:name w:val="FollowedHyperlink"/>
    <w:basedOn w:val="Fuentedeprrafopredeter"/>
    <w:uiPriority w:val="99"/>
    <w:semiHidden/>
    <w:unhideWhenUsed/>
    <w:rsid w:val="00CB7883"/>
    <w:rPr>
      <w:color w:val="800080"/>
      <w:u w:val="single"/>
    </w:rPr>
  </w:style>
  <w:style w:type="paragraph" w:customStyle="1" w:styleId="xl63">
    <w:name w:val="xl63"/>
    <w:basedOn w:val="Normal"/>
    <w:rsid w:val="00CB7883"/>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CB788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65">
    <w:name w:val="xl65"/>
    <w:basedOn w:val="Normal"/>
    <w:rsid w:val="00CB7883"/>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66">
    <w:name w:val="xl66"/>
    <w:basedOn w:val="Normal"/>
    <w:rsid w:val="00CB7883"/>
    <w:pPr>
      <w:pBdr>
        <w:top w:val="single" w:sz="4" w:space="0" w:color="000000"/>
        <w:left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7">
    <w:name w:val="xl67"/>
    <w:basedOn w:val="Normal"/>
    <w:rsid w:val="00CB7883"/>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68">
    <w:name w:val="xl68"/>
    <w:basedOn w:val="Normal"/>
    <w:rsid w:val="00CB7883"/>
    <w:pPr>
      <w:pBdr>
        <w:top w:val="single" w:sz="4" w:space="0" w:color="000000"/>
        <w:left w:val="single" w:sz="4" w:space="0" w:color="000000"/>
        <w:right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69">
    <w:name w:val="xl69"/>
    <w:basedOn w:val="Normal"/>
    <w:rsid w:val="00CB7883"/>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70">
    <w:name w:val="xl70"/>
    <w:basedOn w:val="Normal"/>
    <w:rsid w:val="00CB7883"/>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71">
    <w:name w:val="xl71"/>
    <w:basedOn w:val="Normal"/>
    <w:rsid w:val="00CB7883"/>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72">
    <w:name w:val="xl72"/>
    <w:basedOn w:val="Normal"/>
    <w:rsid w:val="00CB7883"/>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73">
    <w:name w:val="xl73"/>
    <w:basedOn w:val="Normal"/>
    <w:rsid w:val="00CB7883"/>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MX"/>
    </w:rPr>
  </w:style>
  <w:style w:type="paragraph" w:customStyle="1" w:styleId="xl74">
    <w:name w:val="xl74"/>
    <w:basedOn w:val="Normal"/>
    <w:rsid w:val="00CB7883"/>
    <w:pPr>
      <w:pBdr>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es-MX"/>
    </w:rPr>
  </w:style>
  <w:style w:type="paragraph" w:customStyle="1" w:styleId="xl75">
    <w:name w:val="xl75"/>
    <w:basedOn w:val="Normal"/>
    <w:rsid w:val="00CB7883"/>
    <w:pPr>
      <w:pBdr>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es-MX"/>
    </w:rPr>
  </w:style>
  <w:style w:type="paragraph" w:customStyle="1" w:styleId="xl76">
    <w:name w:val="xl76"/>
    <w:basedOn w:val="Normal"/>
    <w:rsid w:val="00CB7883"/>
    <w:pPr>
      <w:pBdr>
        <w:top w:val="single" w:sz="4" w:space="0" w:color="000000"/>
        <w:left w:val="single" w:sz="4" w:space="0" w:color="000000"/>
        <w:bottom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77">
    <w:name w:val="xl77"/>
    <w:basedOn w:val="Normal"/>
    <w:rsid w:val="00CB7883"/>
    <w:pPr>
      <w:pBdr>
        <w:top w:val="single" w:sz="4" w:space="0" w:color="000000"/>
        <w:bottom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78">
    <w:name w:val="xl78"/>
    <w:basedOn w:val="Normal"/>
    <w:rsid w:val="00CB7883"/>
    <w:pPr>
      <w:pBdr>
        <w:top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79">
    <w:name w:val="xl79"/>
    <w:basedOn w:val="Normal"/>
    <w:rsid w:val="00CB7883"/>
    <w:pPr>
      <w:pBdr>
        <w:left w:val="single" w:sz="4" w:space="0" w:color="000000"/>
        <w:right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character" w:customStyle="1" w:styleId="Ttulo1Car1">
    <w:name w:val="Título 1 Car1"/>
    <w:basedOn w:val="Fuentedeprrafopredeter"/>
    <w:link w:val="Ttulo1"/>
    <w:uiPriority w:val="9"/>
    <w:rsid w:val="00CB7883"/>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B7883"/>
    <w:pPr>
      <w:spacing w:before="480" w:line="276" w:lineRule="auto"/>
      <w:outlineLvl w:val="9"/>
    </w:pPr>
    <w:rPr>
      <w:b/>
      <w:bCs/>
      <w:sz w:val="28"/>
      <w:szCs w:val="28"/>
      <w:lang w:eastAsia="es-MX"/>
    </w:rPr>
  </w:style>
  <w:style w:type="paragraph" w:customStyle="1" w:styleId="TDC21">
    <w:name w:val="TDC 21"/>
    <w:basedOn w:val="Normal"/>
    <w:next w:val="Normal"/>
    <w:autoRedefine/>
    <w:uiPriority w:val="39"/>
    <w:semiHidden/>
    <w:unhideWhenUsed/>
    <w:qFormat/>
    <w:rsid w:val="00CB7883"/>
    <w:pPr>
      <w:spacing w:after="100" w:line="276" w:lineRule="auto"/>
      <w:ind w:left="220"/>
    </w:pPr>
    <w:rPr>
      <w:rFonts w:eastAsia="Times New Roman"/>
      <w:lang w:eastAsia="es-MX"/>
    </w:rPr>
  </w:style>
  <w:style w:type="paragraph" w:customStyle="1" w:styleId="TDC11">
    <w:name w:val="TDC 11"/>
    <w:basedOn w:val="Normal"/>
    <w:next w:val="Normal"/>
    <w:autoRedefine/>
    <w:uiPriority w:val="39"/>
    <w:unhideWhenUsed/>
    <w:qFormat/>
    <w:rsid w:val="00CB7883"/>
    <w:pPr>
      <w:tabs>
        <w:tab w:val="right" w:leader="dot" w:pos="13150"/>
      </w:tabs>
      <w:spacing w:after="0" w:line="360" w:lineRule="auto"/>
    </w:pPr>
    <w:rPr>
      <w:rFonts w:ascii="DIN Next LT Pro" w:eastAsia="Times New Roman" w:hAnsi="DIN Next LT Pro"/>
      <w:b/>
      <w:sz w:val="18"/>
      <w:szCs w:val="18"/>
      <w:lang w:eastAsia="es-MX"/>
    </w:rPr>
  </w:style>
  <w:style w:type="paragraph" w:customStyle="1" w:styleId="TDC31">
    <w:name w:val="TDC 31"/>
    <w:basedOn w:val="Normal"/>
    <w:next w:val="Normal"/>
    <w:autoRedefine/>
    <w:uiPriority w:val="39"/>
    <w:semiHidden/>
    <w:unhideWhenUsed/>
    <w:qFormat/>
    <w:rsid w:val="00CB7883"/>
    <w:pPr>
      <w:spacing w:after="100" w:line="276" w:lineRule="auto"/>
      <w:ind w:left="440"/>
    </w:pPr>
    <w:rPr>
      <w:rFonts w:eastAsia="Times New Roman"/>
      <w:lang w:eastAsia="es-MX"/>
    </w:rPr>
  </w:style>
  <w:style w:type="paragraph" w:customStyle="1" w:styleId="Sinespaciado1">
    <w:name w:val="Sin espaciado1"/>
    <w:next w:val="Sinespaciado"/>
    <w:link w:val="SinespaciadoCar"/>
    <w:uiPriority w:val="1"/>
    <w:qFormat/>
    <w:rsid w:val="00CB7883"/>
    <w:pPr>
      <w:spacing w:after="0" w:line="240" w:lineRule="auto"/>
    </w:pPr>
    <w:rPr>
      <w:rFonts w:eastAsia="Times New Roman"/>
      <w:lang w:eastAsia="es-MX"/>
    </w:rPr>
  </w:style>
  <w:style w:type="character" w:customStyle="1" w:styleId="SinespaciadoCar">
    <w:name w:val="Sin espaciado Car"/>
    <w:basedOn w:val="Fuentedeprrafopredeter"/>
    <w:link w:val="Sinespaciado1"/>
    <w:uiPriority w:val="1"/>
    <w:rsid w:val="00CB7883"/>
    <w:rPr>
      <w:rFonts w:eastAsia="Times New Roman"/>
      <w:lang w:eastAsia="es-MX"/>
    </w:rPr>
  </w:style>
  <w:style w:type="paragraph" w:customStyle="1" w:styleId="xl80">
    <w:name w:val="xl80"/>
    <w:basedOn w:val="Normal"/>
    <w:rsid w:val="00CB7883"/>
    <w:pPr>
      <w:pBdr>
        <w:top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paragraph" w:customStyle="1" w:styleId="xl81">
    <w:name w:val="xl81"/>
    <w:basedOn w:val="Normal"/>
    <w:rsid w:val="00CB7883"/>
    <w:pPr>
      <w:pBdr>
        <w:left w:val="single" w:sz="4" w:space="0" w:color="000000"/>
        <w:right w:val="single" w:sz="4" w:space="0" w:color="000000"/>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es-MX"/>
    </w:rPr>
  </w:style>
  <w:style w:type="numbering" w:customStyle="1" w:styleId="Sinlista11">
    <w:name w:val="Sin lista11"/>
    <w:next w:val="Sinlista"/>
    <w:uiPriority w:val="99"/>
    <w:semiHidden/>
    <w:unhideWhenUsed/>
    <w:rsid w:val="00CB7883"/>
  </w:style>
  <w:style w:type="paragraph" w:styleId="Sangra2detindependiente">
    <w:name w:val="Body Text Indent 2"/>
    <w:basedOn w:val="Normal"/>
    <w:link w:val="Sangra2detindependienteCar"/>
    <w:semiHidden/>
    <w:unhideWhenUsed/>
    <w:rsid w:val="00CB7883"/>
    <w:pPr>
      <w:tabs>
        <w:tab w:val="decimal" w:pos="4820"/>
        <w:tab w:val="decimal" w:pos="6633"/>
      </w:tabs>
      <w:spacing w:after="0" w:line="240" w:lineRule="auto"/>
      <w:ind w:left="284" w:firstLine="76"/>
      <w:jc w:val="both"/>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CB7883"/>
    <w:rPr>
      <w:rFonts w:ascii="Times New Roman" w:eastAsia="Times New Roman" w:hAnsi="Times New Roman" w:cs="Times New Roman"/>
      <w:sz w:val="24"/>
      <w:szCs w:val="24"/>
      <w:lang w:val="es-ES" w:eastAsia="es-ES"/>
    </w:rPr>
  </w:style>
  <w:style w:type="paragraph" w:customStyle="1" w:styleId="Encabezadodemensaje1">
    <w:name w:val="Encabezado de mensaje1"/>
    <w:basedOn w:val="Normal"/>
    <w:next w:val="Encabezadodemensaje"/>
    <w:link w:val="EncabezadodemensajeCar"/>
    <w:uiPriority w:val="99"/>
    <w:unhideWhenUsed/>
    <w:rsid w:val="00CB78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eastAsia="es-MX"/>
    </w:rPr>
  </w:style>
  <w:style w:type="character" w:customStyle="1" w:styleId="EncabezadodemensajeCar">
    <w:name w:val="Encabezado de mensaje Car"/>
    <w:basedOn w:val="Fuentedeprrafopredeter"/>
    <w:link w:val="Encabezadodemensaje1"/>
    <w:uiPriority w:val="99"/>
    <w:rsid w:val="00CB7883"/>
    <w:rPr>
      <w:rFonts w:ascii="Cambria" w:eastAsia="Times New Roman" w:hAnsi="Cambria" w:cs="Times New Roman"/>
      <w:sz w:val="24"/>
      <w:szCs w:val="24"/>
      <w:shd w:val="pct20" w:color="auto" w:fill="auto"/>
      <w:lang w:eastAsia="es-MX"/>
    </w:rPr>
  </w:style>
  <w:style w:type="paragraph" w:customStyle="1" w:styleId="ListaCC">
    <w:name w:val="Lista CC."/>
    <w:basedOn w:val="Normal"/>
    <w:rsid w:val="00CB7883"/>
    <w:pPr>
      <w:spacing w:after="200" w:line="276" w:lineRule="auto"/>
    </w:pPr>
    <w:rPr>
      <w:rFonts w:eastAsia="Times New Roman"/>
      <w:lang w:eastAsia="es-MX"/>
    </w:rPr>
  </w:style>
  <w:style w:type="paragraph" w:customStyle="1" w:styleId="Subttulo1">
    <w:name w:val="Subtítulo1"/>
    <w:basedOn w:val="Normal"/>
    <w:next w:val="Normal"/>
    <w:uiPriority w:val="11"/>
    <w:qFormat/>
    <w:rsid w:val="00CB7883"/>
    <w:pPr>
      <w:numPr>
        <w:ilvl w:val="1"/>
      </w:numPr>
      <w:spacing w:after="200" w:line="276" w:lineRule="auto"/>
    </w:pPr>
    <w:rPr>
      <w:rFonts w:ascii="Cambria" w:eastAsia="Times New Roman" w:hAnsi="Cambria" w:cs="Times New Roman"/>
      <w:i/>
      <w:iCs/>
      <w:color w:val="4F81BD"/>
      <w:spacing w:val="15"/>
      <w:sz w:val="24"/>
      <w:szCs w:val="24"/>
      <w:lang w:eastAsia="es-MX"/>
    </w:rPr>
  </w:style>
  <w:style w:type="character" w:customStyle="1" w:styleId="SubttuloCar">
    <w:name w:val="Subtítulo Car"/>
    <w:basedOn w:val="Fuentedeprrafopredeter"/>
    <w:link w:val="Subttulo"/>
    <w:uiPriority w:val="11"/>
    <w:rsid w:val="00CB7883"/>
    <w:rPr>
      <w:rFonts w:ascii="Cambria" w:eastAsia="Times New Roman" w:hAnsi="Cambria" w:cs="Times New Roman"/>
      <w:i/>
      <w:iCs/>
      <w:color w:val="4F81BD"/>
      <w:spacing w:val="15"/>
      <w:sz w:val="24"/>
      <w:szCs w:val="24"/>
      <w:lang w:eastAsia="es-MX"/>
    </w:rPr>
  </w:style>
  <w:style w:type="table" w:customStyle="1" w:styleId="Cuadrculaclara-nfasis31">
    <w:name w:val="Cuadrícula clara - Énfasis 31"/>
    <w:basedOn w:val="Tablanormal"/>
    <w:next w:val="Cuadrculaclara-nfasis3"/>
    <w:uiPriority w:val="62"/>
    <w:rsid w:val="00CB788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IN Next LT Pro Condensed" w:eastAsia="Times New Roman" w:hAnsi="DIN Next LT Pro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IN Next LT Pro Condensed" w:eastAsia="Times New Roman" w:hAnsi="DIN Next LT Pro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IN Next LT Pro Condensed" w:eastAsia="Times New Roman" w:hAnsi="DIN Next LT Pro Condensed" w:cs="Times New Roman"/>
        <w:b/>
        <w:bCs/>
      </w:rPr>
    </w:tblStylePr>
    <w:tblStylePr w:type="lastCol">
      <w:rPr>
        <w:rFonts w:ascii="DIN Next LT Pro Condensed" w:eastAsia="Times New Roman" w:hAnsi="DIN Next LT Pro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pple-converted-space">
    <w:name w:val="apple-converted-space"/>
    <w:basedOn w:val="Fuentedeprrafopredeter"/>
    <w:rsid w:val="00CB7883"/>
  </w:style>
  <w:style w:type="paragraph" w:customStyle="1" w:styleId="font5">
    <w:name w:val="font5"/>
    <w:basedOn w:val="Normal"/>
    <w:rsid w:val="00CB7883"/>
    <w:pPr>
      <w:spacing w:before="100" w:beforeAutospacing="1" w:after="100" w:afterAutospacing="1" w:line="240" w:lineRule="auto"/>
    </w:pPr>
    <w:rPr>
      <w:rFonts w:ascii="Calibri" w:eastAsia="Times New Roman" w:hAnsi="Calibri" w:cs="Times New Roman"/>
      <w:b/>
      <w:bCs/>
      <w:i/>
      <w:iCs/>
      <w:color w:val="000000"/>
      <w:sz w:val="16"/>
      <w:szCs w:val="16"/>
      <w:lang w:eastAsia="es-MX"/>
    </w:rPr>
  </w:style>
  <w:style w:type="paragraph" w:customStyle="1" w:styleId="xl82">
    <w:name w:val="xl82"/>
    <w:basedOn w:val="Normal"/>
    <w:rsid w:val="00CB7883"/>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83">
    <w:name w:val="xl83"/>
    <w:basedOn w:val="Normal"/>
    <w:rsid w:val="00CB7883"/>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s-MX"/>
    </w:rPr>
  </w:style>
  <w:style w:type="paragraph" w:customStyle="1" w:styleId="xl84">
    <w:name w:val="xl84"/>
    <w:basedOn w:val="Normal"/>
    <w:rsid w:val="00CB7883"/>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s-MX"/>
    </w:rPr>
  </w:style>
  <w:style w:type="paragraph" w:customStyle="1" w:styleId="xl85">
    <w:name w:val="xl85"/>
    <w:basedOn w:val="Normal"/>
    <w:rsid w:val="00CB7883"/>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86">
    <w:name w:val="xl86"/>
    <w:basedOn w:val="Normal"/>
    <w:rsid w:val="00CB7883"/>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eastAsia="es-MX"/>
    </w:rPr>
  </w:style>
  <w:style w:type="paragraph" w:customStyle="1" w:styleId="xl87">
    <w:name w:val="xl87"/>
    <w:basedOn w:val="Normal"/>
    <w:rsid w:val="00CB7883"/>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s-MX"/>
    </w:rPr>
  </w:style>
  <w:style w:type="paragraph" w:customStyle="1" w:styleId="xl88">
    <w:name w:val="xl88"/>
    <w:basedOn w:val="Normal"/>
    <w:rsid w:val="00CB7883"/>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eastAsia="es-MX"/>
    </w:rPr>
  </w:style>
  <w:style w:type="paragraph" w:customStyle="1" w:styleId="xl89">
    <w:name w:val="xl89"/>
    <w:basedOn w:val="Normal"/>
    <w:rsid w:val="00CB7883"/>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90">
    <w:name w:val="xl90"/>
    <w:basedOn w:val="Normal"/>
    <w:rsid w:val="00CB7883"/>
    <w:pPr>
      <w:pBdr>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91">
    <w:name w:val="xl91"/>
    <w:basedOn w:val="Normal"/>
    <w:rsid w:val="00CB7883"/>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92">
    <w:name w:val="xl92"/>
    <w:basedOn w:val="Normal"/>
    <w:rsid w:val="00CB788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es-MX"/>
    </w:rPr>
  </w:style>
  <w:style w:type="paragraph" w:customStyle="1" w:styleId="xl93">
    <w:name w:val="xl93"/>
    <w:basedOn w:val="Normal"/>
    <w:rsid w:val="00CB7883"/>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94">
    <w:name w:val="xl94"/>
    <w:basedOn w:val="Normal"/>
    <w:rsid w:val="00CB7883"/>
    <w:pPr>
      <w:pBdr>
        <w:top w:val="single" w:sz="4" w:space="0" w:color="000000"/>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es-MX"/>
    </w:rPr>
  </w:style>
  <w:style w:type="paragraph" w:customStyle="1" w:styleId="xl95">
    <w:name w:val="xl95"/>
    <w:basedOn w:val="Normal"/>
    <w:rsid w:val="00CB7883"/>
    <w:pPr>
      <w:pBdr>
        <w:top w:val="single" w:sz="4" w:space="0" w:color="000000"/>
        <w:right w:val="single" w:sz="4" w:space="0" w:color="000000"/>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es-MX"/>
    </w:rPr>
  </w:style>
  <w:style w:type="paragraph" w:customStyle="1" w:styleId="xl149">
    <w:name w:val="xl149"/>
    <w:basedOn w:val="Normal"/>
    <w:rsid w:val="00CB7883"/>
    <w:pPr>
      <w:shd w:val="clear" w:color="DCE6F1"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50">
    <w:name w:val="xl150"/>
    <w:basedOn w:val="Normal"/>
    <w:rsid w:val="00CB7883"/>
    <w:pPr>
      <w:spacing w:before="100" w:beforeAutospacing="1" w:after="100" w:afterAutospacing="1" w:line="240" w:lineRule="auto"/>
    </w:pPr>
    <w:rPr>
      <w:rFonts w:ascii="Arial" w:eastAsia="Times New Roman" w:hAnsi="Arial" w:cs="Arial"/>
      <w:sz w:val="24"/>
      <w:szCs w:val="24"/>
      <w:lang w:eastAsia="es-MX"/>
    </w:rPr>
  </w:style>
  <w:style w:type="paragraph" w:customStyle="1" w:styleId="xl151">
    <w:name w:val="xl151"/>
    <w:basedOn w:val="Normal"/>
    <w:rsid w:val="00CB7883"/>
    <w:pPr>
      <w:spacing w:before="100" w:beforeAutospacing="1" w:after="100" w:afterAutospacing="1" w:line="240" w:lineRule="auto"/>
    </w:pPr>
    <w:rPr>
      <w:rFonts w:ascii="Arial" w:eastAsia="Times New Roman" w:hAnsi="Arial" w:cs="Arial"/>
      <w:sz w:val="24"/>
      <w:szCs w:val="24"/>
      <w:lang w:eastAsia="es-MX"/>
    </w:rPr>
  </w:style>
  <w:style w:type="paragraph" w:customStyle="1" w:styleId="xl152">
    <w:name w:val="xl152"/>
    <w:basedOn w:val="Normal"/>
    <w:rsid w:val="00CB7883"/>
    <w:pP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53">
    <w:name w:val="xl153"/>
    <w:basedOn w:val="Normal"/>
    <w:rsid w:val="00CB7883"/>
    <w:pP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54">
    <w:name w:val="xl154"/>
    <w:basedOn w:val="Normal"/>
    <w:rsid w:val="00CB7883"/>
    <w:pPr>
      <w:shd w:val="clear" w:color="FDE9D9" w:fill="FDE9D9"/>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55">
    <w:name w:val="xl155"/>
    <w:basedOn w:val="Normal"/>
    <w:rsid w:val="00CB7883"/>
    <w:pPr>
      <w:shd w:val="clear" w:color="FDE9D9" w:fill="FDE9D9"/>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56">
    <w:name w:val="xl156"/>
    <w:basedOn w:val="Normal"/>
    <w:rsid w:val="00CB7883"/>
    <w:pPr>
      <w:spacing w:before="100" w:beforeAutospacing="1" w:after="100" w:afterAutospacing="1" w:line="240" w:lineRule="auto"/>
      <w:ind w:firstLineChars="100" w:firstLine="100"/>
    </w:pPr>
    <w:rPr>
      <w:rFonts w:ascii="Arial" w:eastAsia="Times New Roman" w:hAnsi="Arial" w:cs="Arial"/>
      <w:b/>
      <w:bCs/>
      <w:sz w:val="24"/>
      <w:szCs w:val="24"/>
      <w:lang w:eastAsia="es-MX"/>
    </w:rPr>
  </w:style>
  <w:style w:type="paragraph" w:customStyle="1" w:styleId="xl157">
    <w:name w:val="xl157"/>
    <w:basedOn w:val="Normal"/>
    <w:rsid w:val="00CB7883"/>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58">
    <w:name w:val="xl158"/>
    <w:basedOn w:val="Normal"/>
    <w:rsid w:val="00CB7883"/>
    <w:pPr>
      <w:spacing w:before="100" w:beforeAutospacing="1" w:after="100" w:afterAutospacing="1" w:line="240" w:lineRule="auto"/>
      <w:ind w:firstLineChars="200" w:firstLine="200"/>
    </w:pPr>
    <w:rPr>
      <w:rFonts w:ascii="Arial" w:eastAsia="Times New Roman" w:hAnsi="Arial" w:cs="Arial"/>
      <w:sz w:val="24"/>
      <w:szCs w:val="24"/>
      <w:lang w:eastAsia="es-MX"/>
    </w:rPr>
  </w:style>
  <w:style w:type="paragraph" w:customStyle="1" w:styleId="xl159">
    <w:name w:val="xl159"/>
    <w:basedOn w:val="Normal"/>
    <w:rsid w:val="00CB7883"/>
    <w:pPr>
      <w:spacing w:before="100" w:beforeAutospacing="1" w:after="100" w:afterAutospacing="1" w:line="240" w:lineRule="auto"/>
      <w:jc w:val="center"/>
    </w:pPr>
    <w:rPr>
      <w:rFonts w:ascii="Arial" w:eastAsia="Times New Roman" w:hAnsi="Arial" w:cs="Arial"/>
      <w:b/>
      <w:bCs/>
      <w:lang w:eastAsia="es-MX"/>
    </w:rPr>
  </w:style>
  <w:style w:type="paragraph" w:customStyle="1" w:styleId="xl160">
    <w:name w:val="xl160"/>
    <w:basedOn w:val="Normal"/>
    <w:rsid w:val="00CB7883"/>
    <w:pPr>
      <w:spacing w:before="100" w:beforeAutospacing="1" w:after="100" w:afterAutospacing="1" w:line="240" w:lineRule="auto"/>
      <w:jc w:val="center"/>
      <w:textAlignment w:val="center"/>
    </w:pPr>
    <w:rPr>
      <w:rFonts w:ascii="Arial" w:eastAsia="Times New Roman" w:hAnsi="Arial" w:cs="Arial"/>
      <w:b/>
      <w:bCs/>
      <w:lang w:eastAsia="es-MX"/>
    </w:rPr>
  </w:style>
  <w:style w:type="paragraph" w:customStyle="1" w:styleId="xl161">
    <w:name w:val="xl161"/>
    <w:basedOn w:val="Normal"/>
    <w:rsid w:val="00CB7883"/>
    <w:pPr>
      <w:spacing w:before="100" w:beforeAutospacing="1" w:after="100" w:afterAutospacing="1" w:line="240" w:lineRule="auto"/>
    </w:pPr>
    <w:rPr>
      <w:rFonts w:ascii="Agency FB" w:eastAsia="Times New Roman" w:hAnsi="Agency FB" w:cs="Times New Roman"/>
      <w:b/>
      <w:bCs/>
      <w:sz w:val="18"/>
      <w:szCs w:val="18"/>
      <w:lang w:eastAsia="es-MX"/>
    </w:rPr>
  </w:style>
  <w:style w:type="paragraph" w:customStyle="1" w:styleId="xl162">
    <w:name w:val="xl162"/>
    <w:basedOn w:val="Normal"/>
    <w:rsid w:val="00CB7883"/>
    <w:pPr>
      <w:spacing w:before="100" w:beforeAutospacing="1" w:after="100" w:afterAutospacing="1" w:line="240" w:lineRule="auto"/>
      <w:ind w:firstLineChars="200" w:firstLine="200"/>
    </w:pPr>
    <w:rPr>
      <w:rFonts w:ascii="Agency FB" w:eastAsia="Times New Roman" w:hAnsi="Agency FB" w:cs="Times New Roman"/>
      <w:sz w:val="18"/>
      <w:szCs w:val="18"/>
      <w:lang w:eastAsia="es-MX"/>
    </w:rPr>
  </w:style>
  <w:style w:type="paragraph" w:customStyle="1" w:styleId="xl163">
    <w:name w:val="xl163"/>
    <w:basedOn w:val="Normal"/>
    <w:rsid w:val="00CB7883"/>
    <w:pPr>
      <w:spacing w:before="100" w:beforeAutospacing="1" w:after="100" w:afterAutospacing="1" w:line="240" w:lineRule="auto"/>
    </w:pPr>
    <w:rPr>
      <w:rFonts w:ascii="Agency FB" w:eastAsia="Times New Roman" w:hAnsi="Agency FB" w:cs="Times New Roman"/>
      <w:sz w:val="18"/>
      <w:szCs w:val="18"/>
      <w:lang w:eastAsia="es-MX"/>
    </w:rPr>
  </w:style>
  <w:style w:type="paragraph" w:customStyle="1" w:styleId="xl170">
    <w:name w:val="xl170"/>
    <w:basedOn w:val="Normal"/>
    <w:rsid w:val="00CB7883"/>
    <w:pPr>
      <w:spacing w:before="100" w:beforeAutospacing="1" w:after="100" w:afterAutospacing="1" w:line="240" w:lineRule="auto"/>
    </w:pPr>
    <w:rPr>
      <w:rFonts w:ascii="Arial" w:eastAsia="Times New Roman" w:hAnsi="Arial" w:cs="Arial"/>
      <w:sz w:val="24"/>
      <w:szCs w:val="24"/>
      <w:lang w:eastAsia="es-MX"/>
    </w:rPr>
  </w:style>
  <w:style w:type="paragraph" w:customStyle="1" w:styleId="xl171">
    <w:name w:val="xl171"/>
    <w:basedOn w:val="Normal"/>
    <w:rsid w:val="00CB7883"/>
    <w:pPr>
      <w:shd w:val="clear" w:color="FDE9D9" w:fill="FDE9D9"/>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172">
    <w:name w:val="xl172"/>
    <w:basedOn w:val="Normal"/>
    <w:rsid w:val="00CB7883"/>
    <w:pPr>
      <w:shd w:val="clear" w:color="FDE9D9" w:fill="FDE9D9"/>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173">
    <w:name w:val="xl173"/>
    <w:basedOn w:val="Normal"/>
    <w:rsid w:val="00CB7883"/>
    <w:pPr>
      <w:spacing w:before="100" w:beforeAutospacing="1" w:after="100" w:afterAutospacing="1" w:line="240" w:lineRule="auto"/>
      <w:ind w:firstLineChars="100" w:firstLine="100"/>
    </w:pPr>
    <w:rPr>
      <w:rFonts w:ascii="Times New Roman" w:eastAsia="Times New Roman" w:hAnsi="Times New Roman" w:cs="Times New Roman"/>
      <w:b/>
      <w:bCs/>
      <w:lang w:eastAsia="es-MX"/>
    </w:rPr>
  </w:style>
  <w:style w:type="paragraph" w:customStyle="1" w:styleId="xl174">
    <w:name w:val="xl174"/>
    <w:basedOn w:val="Normal"/>
    <w:rsid w:val="00CB7883"/>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175">
    <w:name w:val="xl175"/>
    <w:basedOn w:val="Normal"/>
    <w:rsid w:val="00CB7883"/>
    <w:pPr>
      <w:spacing w:before="100" w:beforeAutospacing="1" w:after="100" w:afterAutospacing="1" w:line="240" w:lineRule="auto"/>
      <w:ind w:firstLineChars="200" w:firstLine="200"/>
    </w:pPr>
    <w:rPr>
      <w:rFonts w:ascii="Times New Roman" w:eastAsia="Times New Roman" w:hAnsi="Times New Roman" w:cs="Times New Roman"/>
      <w:lang w:eastAsia="es-MX"/>
    </w:rPr>
  </w:style>
  <w:style w:type="paragraph" w:customStyle="1" w:styleId="xl176">
    <w:name w:val="xl176"/>
    <w:basedOn w:val="Normal"/>
    <w:rsid w:val="00CB7883"/>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177">
    <w:name w:val="xl177"/>
    <w:basedOn w:val="Normal"/>
    <w:rsid w:val="00CB7883"/>
    <w:pPr>
      <w:spacing w:before="100" w:beforeAutospacing="1" w:after="100" w:afterAutospacing="1" w:line="240" w:lineRule="auto"/>
    </w:pPr>
    <w:rPr>
      <w:rFonts w:ascii="Arial" w:eastAsia="Times New Roman" w:hAnsi="Arial" w:cs="Arial"/>
      <w:lang w:eastAsia="es-MX"/>
    </w:rPr>
  </w:style>
  <w:style w:type="paragraph" w:customStyle="1" w:styleId="xl178">
    <w:name w:val="xl178"/>
    <w:basedOn w:val="Normal"/>
    <w:rsid w:val="00CB7883"/>
    <w:pP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79">
    <w:name w:val="xl179"/>
    <w:basedOn w:val="Normal"/>
    <w:rsid w:val="00CB7883"/>
    <w:pP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80">
    <w:name w:val="xl180"/>
    <w:basedOn w:val="Normal"/>
    <w:rsid w:val="00CB7883"/>
    <w:pPr>
      <w:shd w:val="clear" w:color="DCE6F1" w:fill="9D2449"/>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81">
    <w:name w:val="xl181"/>
    <w:basedOn w:val="Normal"/>
    <w:rsid w:val="00CB7883"/>
    <w:pPr>
      <w:shd w:val="clear" w:color="DCE6F1" w:fill="9D2449"/>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82">
    <w:name w:val="xl182"/>
    <w:basedOn w:val="Normal"/>
    <w:rsid w:val="00CB7883"/>
    <w:pPr>
      <w:shd w:val="clear" w:color="DCE6F1" w:fill="9D244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83">
    <w:name w:val="xl183"/>
    <w:basedOn w:val="Normal"/>
    <w:rsid w:val="00CB7883"/>
    <w:pPr>
      <w:shd w:val="clear" w:color="FDE9D9" w:fill="B38E5D"/>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184">
    <w:name w:val="xl184"/>
    <w:basedOn w:val="Normal"/>
    <w:rsid w:val="00CB7883"/>
    <w:pPr>
      <w:shd w:val="clear" w:color="FDE9D9" w:fill="B38E5D"/>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185">
    <w:name w:val="xl185"/>
    <w:basedOn w:val="Normal"/>
    <w:rsid w:val="00CB7883"/>
    <w:pPr>
      <w:shd w:val="clear" w:color="FDE9D9" w:fill="FDE9D9"/>
      <w:spacing w:before="100" w:beforeAutospacing="1" w:after="100" w:afterAutospacing="1" w:line="240" w:lineRule="auto"/>
    </w:pPr>
    <w:rPr>
      <w:rFonts w:ascii="Agency FB" w:eastAsia="Times New Roman" w:hAnsi="Agency FB" w:cs="Times New Roman"/>
      <w:b/>
      <w:bCs/>
      <w:lang w:eastAsia="es-MX"/>
    </w:rPr>
  </w:style>
  <w:style w:type="paragraph" w:customStyle="1" w:styleId="xl186">
    <w:name w:val="xl186"/>
    <w:basedOn w:val="Normal"/>
    <w:rsid w:val="00CB7883"/>
    <w:pPr>
      <w:shd w:val="clear" w:color="FDE9D9" w:fill="FDE9D9"/>
      <w:spacing w:before="100" w:beforeAutospacing="1" w:after="100" w:afterAutospacing="1" w:line="240" w:lineRule="auto"/>
    </w:pPr>
    <w:rPr>
      <w:rFonts w:ascii="Agency FB" w:eastAsia="Times New Roman" w:hAnsi="Agency FB" w:cs="Times New Roman"/>
      <w:b/>
      <w:bCs/>
      <w:lang w:eastAsia="es-MX"/>
    </w:rPr>
  </w:style>
  <w:style w:type="paragraph" w:styleId="Textocomentario">
    <w:name w:val="annotation text"/>
    <w:basedOn w:val="Normal"/>
    <w:link w:val="TextocomentarioCar"/>
    <w:uiPriority w:val="99"/>
    <w:semiHidden/>
    <w:unhideWhenUsed/>
    <w:rsid w:val="00CB7883"/>
    <w:pPr>
      <w:spacing w:after="200" w:line="240" w:lineRule="auto"/>
      <w:jc w:val="center"/>
    </w:pPr>
    <w:rPr>
      <w:sz w:val="20"/>
      <w:szCs w:val="20"/>
    </w:rPr>
  </w:style>
  <w:style w:type="character" w:customStyle="1" w:styleId="TextocomentarioCar">
    <w:name w:val="Texto comentario Car"/>
    <w:basedOn w:val="Fuentedeprrafopredeter"/>
    <w:link w:val="Textocomentario"/>
    <w:uiPriority w:val="99"/>
    <w:semiHidden/>
    <w:rsid w:val="00CB7883"/>
    <w:rPr>
      <w:sz w:val="20"/>
      <w:szCs w:val="20"/>
    </w:rPr>
  </w:style>
  <w:style w:type="character" w:styleId="Refdecomentario">
    <w:name w:val="annotation reference"/>
    <w:basedOn w:val="Fuentedeprrafopredeter"/>
    <w:uiPriority w:val="99"/>
    <w:semiHidden/>
    <w:unhideWhenUsed/>
    <w:rsid w:val="00CB7883"/>
    <w:rPr>
      <w:sz w:val="16"/>
      <w:szCs w:val="16"/>
    </w:rPr>
  </w:style>
  <w:style w:type="paragraph" w:styleId="Asuntodelcomentario">
    <w:name w:val="annotation subject"/>
    <w:basedOn w:val="Textocomentario"/>
    <w:next w:val="Textocomentario"/>
    <w:link w:val="AsuntodelcomentarioCar"/>
    <w:uiPriority w:val="99"/>
    <w:semiHidden/>
    <w:unhideWhenUsed/>
    <w:rsid w:val="00CB7883"/>
    <w:rPr>
      <w:b/>
      <w:bCs/>
    </w:rPr>
  </w:style>
  <w:style w:type="character" w:customStyle="1" w:styleId="AsuntodelcomentarioCar">
    <w:name w:val="Asunto del comentario Car"/>
    <w:basedOn w:val="TextocomentarioCar"/>
    <w:link w:val="Asuntodelcomentario"/>
    <w:uiPriority w:val="99"/>
    <w:semiHidden/>
    <w:rsid w:val="00CB7883"/>
    <w:rPr>
      <w:b/>
      <w:bCs/>
      <w:sz w:val="20"/>
      <w:szCs w:val="20"/>
    </w:rPr>
  </w:style>
  <w:style w:type="table" w:customStyle="1" w:styleId="Tablaconcuadrcula1">
    <w:name w:val="Tabla con cuadrícula1"/>
    <w:basedOn w:val="Tablanormal"/>
    <w:next w:val="Tablaconcuadrcula"/>
    <w:uiPriority w:val="39"/>
    <w:rsid w:val="00CB788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link w:val="ROMANOSCar"/>
    <w:rsid w:val="00CB7883"/>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B7883"/>
    <w:rPr>
      <w:rFonts w:ascii="Arial" w:eastAsia="Times New Roman" w:hAnsi="Arial" w:cs="Arial"/>
      <w:sz w:val="18"/>
      <w:szCs w:val="18"/>
      <w:lang w:val="es-ES" w:eastAsia="es-ES"/>
    </w:rPr>
  </w:style>
  <w:style w:type="character" w:customStyle="1" w:styleId="Ttulo4Car">
    <w:name w:val="Título 4 Car"/>
    <w:basedOn w:val="Fuentedeprrafopredeter"/>
    <w:link w:val="Ttulo4"/>
    <w:uiPriority w:val="9"/>
    <w:semiHidden/>
    <w:rsid w:val="00CB7883"/>
    <w:rPr>
      <w:rFonts w:ascii="Cambria" w:eastAsia="Times New Roman" w:hAnsi="Cambria" w:cs="Times New Roman"/>
      <w:i/>
      <w:iCs/>
      <w:color w:val="365F91"/>
    </w:rPr>
  </w:style>
  <w:style w:type="character" w:customStyle="1" w:styleId="NormalWebCar">
    <w:name w:val="Normal (Web) Car"/>
    <w:link w:val="NormalWeb"/>
    <w:uiPriority w:val="99"/>
    <w:rsid w:val="00CB7883"/>
    <w:rPr>
      <w:rFonts w:ascii="Times New Roman" w:eastAsia="Times New Roman" w:hAnsi="Times New Roman" w:cs="Times New Roman"/>
      <w:sz w:val="24"/>
      <w:szCs w:val="24"/>
      <w:lang w:eastAsia="es-MX"/>
    </w:rPr>
  </w:style>
  <w:style w:type="character" w:customStyle="1" w:styleId="apple-style-span">
    <w:name w:val="apple-style-span"/>
    <w:rsid w:val="00CB7883"/>
  </w:style>
  <w:style w:type="character" w:customStyle="1" w:styleId="Ttulo3Car1">
    <w:name w:val="Título 3 Car1"/>
    <w:basedOn w:val="Fuentedeprrafopredeter"/>
    <w:uiPriority w:val="9"/>
    <w:semiHidden/>
    <w:rsid w:val="00CB7883"/>
    <w:rPr>
      <w:rFonts w:asciiTheme="majorHAnsi" w:eastAsiaTheme="majorEastAsia" w:hAnsiTheme="majorHAnsi" w:cstheme="majorBidi"/>
      <w:color w:val="1F4D78" w:themeColor="accent1" w:themeShade="7F"/>
      <w:sz w:val="24"/>
      <w:szCs w:val="24"/>
    </w:rPr>
  </w:style>
  <w:style w:type="table" w:styleId="Sombreadomedio1-nfasis1">
    <w:name w:val="Medium Shading 1 Accent 1"/>
    <w:basedOn w:val="Tablanormal"/>
    <w:uiPriority w:val="63"/>
    <w:unhideWhenUsed/>
    <w:rsid w:val="00CB788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unhideWhenUsed/>
    <w:rsid w:val="00CB788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1">
    <w:name w:val="Light Shading Accent 1"/>
    <w:basedOn w:val="Tablanormal"/>
    <w:uiPriority w:val="60"/>
    <w:unhideWhenUsed/>
    <w:rsid w:val="00CB788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6">
    <w:name w:val="Light Shading Accent 6"/>
    <w:basedOn w:val="Tablanormal"/>
    <w:uiPriority w:val="60"/>
    <w:unhideWhenUsed/>
    <w:rsid w:val="00CB788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Textoindependiente">
    <w:name w:val="Body Text"/>
    <w:basedOn w:val="Normal"/>
    <w:link w:val="TextoindependienteCar1"/>
    <w:uiPriority w:val="99"/>
    <w:unhideWhenUsed/>
    <w:qFormat/>
    <w:rsid w:val="00CB7883"/>
    <w:pPr>
      <w:spacing w:after="120"/>
    </w:pPr>
  </w:style>
  <w:style w:type="character" w:customStyle="1" w:styleId="TextoindependienteCar1">
    <w:name w:val="Texto independiente Car1"/>
    <w:basedOn w:val="Fuentedeprrafopredeter"/>
    <w:link w:val="Textoindependiente"/>
    <w:uiPriority w:val="99"/>
    <w:rsid w:val="00CB7883"/>
  </w:style>
  <w:style w:type="paragraph" w:styleId="Sinespaciado">
    <w:name w:val="No Spacing"/>
    <w:uiPriority w:val="1"/>
    <w:qFormat/>
    <w:rsid w:val="00CB7883"/>
    <w:pPr>
      <w:spacing w:after="0" w:line="240" w:lineRule="auto"/>
    </w:pPr>
  </w:style>
  <w:style w:type="paragraph" w:styleId="Encabezadodemensaje">
    <w:name w:val="Message Header"/>
    <w:basedOn w:val="Normal"/>
    <w:link w:val="EncabezadodemensajeCar1"/>
    <w:uiPriority w:val="99"/>
    <w:unhideWhenUsed/>
    <w:rsid w:val="00CB78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CB7883"/>
    <w:rPr>
      <w:rFonts w:asciiTheme="majorHAnsi" w:eastAsiaTheme="majorEastAsia" w:hAnsiTheme="majorHAnsi" w:cstheme="majorBidi"/>
      <w:sz w:val="24"/>
      <w:szCs w:val="24"/>
      <w:shd w:val="pct20" w:color="auto" w:fill="auto"/>
    </w:rPr>
  </w:style>
  <w:style w:type="paragraph" w:styleId="Subttulo">
    <w:name w:val="Subtitle"/>
    <w:basedOn w:val="Normal"/>
    <w:next w:val="Normal"/>
    <w:link w:val="SubttuloCar"/>
    <w:uiPriority w:val="11"/>
    <w:qFormat/>
    <w:rsid w:val="00CB7883"/>
    <w:pPr>
      <w:numPr>
        <w:ilvl w:val="1"/>
      </w:numPr>
    </w:pPr>
    <w:rPr>
      <w:rFonts w:ascii="Cambria" w:eastAsia="Times New Roman" w:hAnsi="Cambria" w:cs="Times New Roman"/>
      <w:i/>
      <w:iCs/>
      <w:color w:val="4F81BD"/>
      <w:spacing w:val="15"/>
      <w:sz w:val="24"/>
      <w:szCs w:val="24"/>
      <w:lang w:eastAsia="es-MX"/>
    </w:rPr>
  </w:style>
  <w:style w:type="character" w:customStyle="1" w:styleId="SubttuloCar1">
    <w:name w:val="Subtítulo Car1"/>
    <w:basedOn w:val="Fuentedeprrafopredeter"/>
    <w:uiPriority w:val="11"/>
    <w:rsid w:val="00CB7883"/>
    <w:rPr>
      <w:rFonts w:eastAsiaTheme="minorEastAsia"/>
      <w:color w:val="5A5A5A" w:themeColor="text1" w:themeTint="A5"/>
      <w:spacing w:val="15"/>
    </w:rPr>
  </w:style>
  <w:style w:type="table" w:styleId="Cuadrculaclara-nfasis3">
    <w:name w:val="Light Grid Accent 3"/>
    <w:basedOn w:val="Tablanormal"/>
    <w:uiPriority w:val="62"/>
    <w:unhideWhenUsed/>
    <w:rsid w:val="00CB788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Ttulo4Car1">
    <w:name w:val="Título 4 Car1"/>
    <w:basedOn w:val="Fuentedeprrafopredeter"/>
    <w:uiPriority w:val="9"/>
    <w:semiHidden/>
    <w:rsid w:val="00CB7883"/>
    <w:rPr>
      <w:rFonts w:asciiTheme="majorHAnsi" w:eastAsiaTheme="majorEastAsia" w:hAnsiTheme="majorHAnsi" w:cstheme="majorBidi"/>
      <w:i/>
      <w:iCs/>
      <w:color w:val="2E74B5" w:themeColor="accent1" w:themeShade="BF"/>
    </w:rPr>
  </w:style>
  <w:style w:type="paragraph" w:styleId="TDC2">
    <w:name w:val="toc 2"/>
    <w:basedOn w:val="Normal"/>
    <w:next w:val="Normal"/>
    <w:autoRedefine/>
    <w:uiPriority w:val="39"/>
    <w:semiHidden/>
    <w:unhideWhenUsed/>
    <w:qFormat/>
    <w:rsid w:val="00E27398"/>
    <w:pPr>
      <w:spacing w:after="100" w:line="276" w:lineRule="auto"/>
      <w:ind w:left="220"/>
    </w:pPr>
    <w:rPr>
      <w:rFonts w:eastAsiaTheme="minorEastAsia"/>
      <w:lang w:eastAsia="es-MX"/>
    </w:rPr>
  </w:style>
  <w:style w:type="paragraph" w:styleId="TDC1">
    <w:name w:val="toc 1"/>
    <w:basedOn w:val="Normal"/>
    <w:next w:val="Normal"/>
    <w:autoRedefine/>
    <w:uiPriority w:val="39"/>
    <w:unhideWhenUsed/>
    <w:qFormat/>
    <w:rsid w:val="00E27398"/>
    <w:pPr>
      <w:tabs>
        <w:tab w:val="right" w:leader="dot" w:pos="13150"/>
      </w:tabs>
      <w:spacing w:after="0" w:line="360" w:lineRule="auto"/>
    </w:pPr>
    <w:rPr>
      <w:rFonts w:ascii="DIN Next LT Pro" w:eastAsiaTheme="minorEastAsia" w:hAnsi="DIN Next LT Pro"/>
      <w:b/>
      <w:sz w:val="18"/>
      <w:szCs w:val="18"/>
      <w:lang w:eastAsia="es-MX"/>
    </w:rPr>
  </w:style>
  <w:style w:type="paragraph" w:styleId="TDC3">
    <w:name w:val="toc 3"/>
    <w:basedOn w:val="Normal"/>
    <w:next w:val="Normal"/>
    <w:autoRedefine/>
    <w:uiPriority w:val="39"/>
    <w:semiHidden/>
    <w:unhideWhenUsed/>
    <w:qFormat/>
    <w:rsid w:val="00E27398"/>
    <w:pPr>
      <w:spacing w:after="100" w:line="276" w:lineRule="auto"/>
      <w:ind w:left="440"/>
    </w:pPr>
    <w:rPr>
      <w:rFonts w:eastAsiaTheme="minorEastAsia"/>
      <w:lang w:eastAsia="es-MX"/>
    </w:rPr>
  </w:style>
  <w:style w:type="character" w:customStyle="1" w:styleId="apple-tab-span">
    <w:name w:val="apple-tab-span"/>
    <w:basedOn w:val="Fuentedeprrafopredeter"/>
    <w:rsid w:val="00E27398"/>
  </w:style>
  <w:style w:type="paragraph" w:customStyle="1" w:styleId="TableParagraph">
    <w:name w:val="Table Paragraph"/>
    <w:basedOn w:val="Normal"/>
    <w:uiPriority w:val="1"/>
    <w:qFormat/>
    <w:rsid w:val="00E27398"/>
    <w:pPr>
      <w:autoSpaceDE w:val="0"/>
      <w:autoSpaceDN w:val="0"/>
      <w:adjustRightInd w:val="0"/>
      <w:spacing w:after="0" w:line="240" w:lineRule="auto"/>
    </w:pPr>
    <w:rPr>
      <w:rFonts w:ascii="Times New Roman" w:hAnsi="Times New Roman" w:cs="Times New Roman"/>
      <w:sz w:val="24"/>
      <w:szCs w:val="24"/>
    </w:rPr>
  </w:style>
  <w:style w:type="table" w:customStyle="1" w:styleId="Tablaconcuadrcula2">
    <w:name w:val="Tabla con cuadrícula2"/>
    <w:basedOn w:val="Tablanormal"/>
    <w:next w:val="Tablaconcuadrcula"/>
    <w:uiPriority w:val="39"/>
    <w:rsid w:val="0015385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8609">
      <w:bodyDiv w:val="1"/>
      <w:marLeft w:val="0"/>
      <w:marRight w:val="0"/>
      <w:marTop w:val="0"/>
      <w:marBottom w:val="0"/>
      <w:divBdr>
        <w:top w:val="none" w:sz="0" w:space="0" w:color="auto"/>
        <w:left w:val="none" w:sz="0" w:space="0" w:color="auto"/>
        <w:bottom w:val="none" w:sz="0" w:space="0" w:color="auto"/>
        <w:right w:val="none" w:sz="0" w:space="0" w:color="auto"/>
      </w:divBdr>
    </w:div>
    <w:div w:id="10884049">
      <w:bodyDiv w:val="1"/>
      <w:marLeft w:val="0"/>
      <w:marRight w:val="0"/>
      <w:marTop w:val="0"/>
      <w:marBottom w:val="0"/>
      <w:divBdr>
        <w:top w:val="none" w:sz="0" w:space="0" w:color="auto"/>
        <w:left w:val="none" w:sz="0" w:space="0" w:color="auto"/>
        <w:bottom w:val="none" w:sz="0" w:space="0" w:color="auto"/>
        <w:right w:val="none" w:sz="0" w:space="0" w:color="auto"/>
      </w:divBdr>
    </w:div>
    <w:div w:id="11885856">
      <w:bodyDiv w:val="1"/>
      <w:marLeft w:val="0"/>
      <w:marRight w:val="0"/>
      <w:marTop w:val="0"/>
      <w:marBottom w:val="0"/>
      <w:divBdr>
        <w:top w:val="none" w:sz="0" w:space="0" w:color="auto"/>
        <w:left w:val="none" w:sz="0" w:space="0" w:color="auto"/>
        <w:bottom w:val="none" w:sz="0" w:space="0" w:color="auto"/>
        <w:right w:val="none" w:sz="0" w:space="0" w:color="auto"/>
      </w:divBdr>
    </w:div>
    <w:div w:id="18630472">
      <w:bodyDiv w:val="1"/>
      <w:marLeft w:val="0"/>
      <w:marRight w:val="0"/>
      <w:marTop w:val="0"/>
      <w:marBottom w:val="0"/>
      <w:divBdr>
        <w:top w:val="none" w:sz="0" w:space="0" w:color="auto"/>
        <w:left w:val="none" w:sz="0" w:space="0" w:color="auto"/>
        <w:bottom w:val="none" w:sz="0" w:space="0" w:color="auto"/>
        <w:right w:val="none" w:sz="0" w:space="0" w:color="auto"/>
      </w:divBdr>
    </w:div>
    <w:div w:id="57830461">
      <w:bodyDiv w:val="1"/>
      <w:marLeft w:val="0"/>
      <w:marRight w:val="0"/>
      <w:marTop w:val="0"/>
      <w:marBottom w:val="0"/>
      <w:divBdr>
        <w:top w:val="none" w:sz="0" w:space="0" w:color="auto"/>
        <w:left w:val="none" w:sz="0" w:space="0" w:color="auto"/>
        <w:bottom w:val="none" w:sz="0" w:space="0" w:color="auto"/>
        <w:right w:val="none" w:sz="0" w:space="0" w:color="auto"/>
      </w:divBdr>
    </w:div>
    <w:div w:id="62796077">
      <w:bodyDiv w:val="1"/>
      <w:marLeft w:val="0"/>
      <w:marRight w:val="0"/>
      <w:marTop w:val="0"/>
      <w:marBottom w:val="0"/>
      <w:divBdr>
        <w:top w:val="none" w:sz="0" w:space="0" w:color="auto"/>
        <w:left w:val="none" w:sz="0" w:space="0" w:color="auto"/>
        <w:bottom w:val="none" w:sz="0" w:space="0" w:color="auto"/>
        <w:right w:val="none" w:sz="0" w:space="0" w:color="auto"/>
      </w:divBdr>
    </w:div>
    <w:div w:id="65996333">
      <w:bodyDiv w:val="1"/>
      <w:marLeft w:val="0"/>
      <w:marRight w:val="0"/>
      <w:marTop w:val="0"/>
      <w:marBottom w:val="0"/>
      <w:divBdr>
        <w:top w:val="none" w:sz="0" w:space="0" w:color="auto"/>
        <w:left w:val="none" w:sz="0" w:space="0" w:color="auto"/>
        <w:bottom w:val="none" w:sz="0" w:space="0" w:color="auto"/>
        <w:right w:val="none" w:sz="0" w:space="0" w:color="auto"/>
      </w:divBdr>
    </w:div>
    <w:div w:id="67725874">
      <w:bodyDiv w:val="1"/>
      <w:marLeft w:val="0"/>
      <w:marRight w:val="0"/>
      <w:marTop w:val="0"/>
      <w:marBottom w:val="0"/>
      <w:divBdr>
        <w:top w:val="none" w:sz="0" w:space="0" w:color="auto"/>
        <w:left w:val="none" w:sz="0" w:space="0" w:color="auto"/>
        <w:bottom w:val="none" w:sz="0" w:space="0" w:color="auto"/>
        <w:right w:val="none" w:sz="0" w:space="0" w:color="auto"/>
      </w:divBdr>
    </w:div>
    <w:div w:id="69280835">
      <w:bodyDiv w:val="1"/>
      <w:marLeft w:val="0"/>
      <w:marRight w:val="0"/>
      <w:marTop w:val="0"/>
      <w:marBottom w:val="0"/>
      <w:divBdr>
        <w:top w:val="none" w:sz="0" w:space="0" w:color="auto"/>
        <w:left w:val="none" w:sz="0" w:space="0" w:color="auto"/>
        <w:bottom w:val="none" w:sz="0" w:space="0" w:color="auto"/>
        <w:right w:val="none" w:sz="0" w:space="0" w:color="auto"/>
      </w:divBdr>
    </w:div>
    <w:div w:id="82532001">
      <w:bodyDiv w:val="1"/>
      <w:marLeft w:val="0"/>
      <w:marRight w:val="0"/>
      <w:marTop w:val="0"/>
      <w:marBottom w:val="0"/>
      <w:divBdr>
        <w:top w:val="none" w:sz="0" w:space="0" w:color="auto"/>
        <w:left w:val="none" w:sz="0" w:space="0" w:color="auto"/>
        <w:bottom w:val="none" w:sz="0" w:space="0" w:color="auto"/>
        <w:right w:val="none" w:sz="0" w:space="0" w:color="auto"/>
      </w:divBdr>
    </w:div>
    <w:div w:id="82922457">
      <w:bodyDiv w:val="1"/>
      <w:marLeft w:val="0"/>
      <w:marRight w:val="0"/>
      <w:marTop w:val="0"/>
      <w:marBottom w:val="0"/>
      <w:divBdr>
        <w:top w:val="none" w:sz="0" w:space="0" w:color="auto"/>
        <w:left w:val="none" w:sz="0" w:space="0" w:color="auto"/>
        <w:bottom w:val="none" w:sz="0" w:space="0" w:color="auto"/>
        <w:right w:val="none" w:sz="0" w:space="0" w:color="auto"/>
      </w:divBdr>
    </w:div>
    <w:div w:id="90590713">
      <w:bodyDiv w:val="1"/>
      <w:marLeft w:val="0"/>
      <w:marRight w:val="0"/>
      <w:marTop w:val="0"/>
      <w:marBottom w:val="0"/>
      <w:divBdr>
        <w:top w:val="none" w:sz="0" w:space="0" w:color="auto"/>
        <w:left w:val="none" w:sz="0" w:space="0" w:color="auto"/>
        <w:bottom w:val="none" w:sz="0" w:space="0" w:color="auto"/>
        <w:right w:val="none" w:sz="0" w:space="0" w:color="auto"/>
      </w:divBdr>
    </w:div>
    <w:div w:id="91048328">
      <w:bodyDiv w:val="1"/>
      <w:marLeft w:val="0"/>
      <w:marRight w:val="0"/>
      <w:marTop w:val="0"/>
      <w:marBottom w:val="0"/>
      <w:divBdr>
        <w:top w:val="none" w:sz="0" w:space="0" w:color="auto"/>
        <w:left w:val="none" w:sz="0" w:space="0" w:color="auto"/>
        <w:bottom w:val="none" w:sz="0" w:space="0" w:color="auto"/>
        <w:right w:val="none" w:sz="0" w:space="0" w:color="auto"/>
      </w:divBdr>
    </w:div>
    <w:div w:id="109395379">
      <w:bodyDiv w:val="1"/>
      <w:marLeft w:val="0"/>
      <w:marRight w:val="0"/>
      <w:marTop w:val="0"/>
      <w:marBottom w:val="0"/>
      <w:divBdr>
        <w:top w:val="none" w:sz="0" w:space="0" w:color="auto"/>
        <w:left w:val="none" w:sz="0" w:space="0" w:color="auto"/>
        <w:bottom w:val="none" w:sz="0" w:space="0" w:color="auto"/>
        <w:right w:val="none" w:sz="0" w:space="0" w:color="auto"/>
      </w:divBdr>
    </w:div>
    <w:div w:id="112601725">
      <w:bodyDiv w:val="1"/>
      <w:marLeft w:val="0"/>
      <w:marRight w:val="0"/>
      <w:marTop w:val="0"/>
      <w:marBottom w:val="0"/>
      <w:divBdr>
        <w:top w:val="none" w:sz="0" w:space="0" w:color="auto"/>
        <w:left w:val="none" w:sz="0" w:space="0" w:color="auto"/>
        <w:bottom w:val="none" w:sz="0" w:space="0" w:color="auto"/>
        <w:right w:val="none" w:sz="0" w:space="0" w:color="auto"/>
      </w:divBdr>
    </w:div>
    <w:div w:id="135266841">
      <w:bodyDiv w:val="1"/>
      <w:marLeft w:val="0"/>
      <w:marRight w:val="0"/>
      <w:marTop w:val="0"/>
      <w:marBottom w:val="0"/>
      <w:divBdr>
        <w:top w:val="none" w:sz="0" w:space="0" w:color="auto"/>
        <w:left w:val="none" w:sz="0" w:space="0" w:color="auto"/>
        <w:bottom w:val="none" w:sz="0" w:space="0" w:color="auto"/>
        <w:right w:val="none" w:sz="0" w:space="0" w:color="auto"/>
      </w:divBdr>
    </w:div>
    <w:div w:id="145561756">
      <w:bodyDiv w:val="1"/>
      <w:marLeft w:val="0"/>
      <w:marRight w:val="0"/>
      <w:marTop w:val="0"/>
      <w:marBottom w:val="0"/>
      <w:divBdr>
        <w:top w:val="none" w:sz="0" w:space="0" w:color="auto"/>
        <w:left w:val="none" w:sz="0" w:space="0" w:color="auto"/>
        <w:bottom w:val="none" w:sz="0" w:space="0" w:color="auto"/>
        <w:right w:val="none" w:sz="0" w:space="0" w:color="auto"/>
      </w:divBdr>
    </w:div>
    <w:div w:id="171604106">
      <w:bodyDiv w:val="1"/>
      <w:marLeft w:val="0"/>
      <w:marRight w:val="0"/>
      <w:marTop w:val="0"/>
      <w:marBottom w:val="0"/>
      <w:divBdr>
        <w:top w:val="none" w:sz="0" w:space="0" w:color="auto"/>
        <w:left w:val="none" w:sz="0" w:space="0" w:color="auto"/>
        <w:bottom w:val="none" w:sz="0" w:space="0" w:color="auto"/>
        <w:right w:val="none" w:sz="0" w:space="0" w:color="auto"/>
      </w:divBdr>
    </w:div>
    <w:div w:id="172574221">
      <w:bodyDiv w:val="1"/>
      <w:marLeft w:val="0"/>
      <w:marRight w:val="0"/>
      <w:marTop w:val="0"/>
      <w:marBottom w:val="0"/>
      <w:divBdr>
        <w:top w:val="none" w:sz="0" w:space="0" w:color="auto"/>
        <w:left w:val="none" w:sz="0" w:space="0" w:color="auto"/>
        <w:bottom w:val="none" w:sz="0" w:space="0" w:color="auto"/>
        <w:right w:val="none" w:sz="0" w:space="0" w:color="auto"/>
      </w:divBdr>
    </w:div>
    <w:div w:id="174806445">
      <w:bodyDiv w:val="1"/>
      <w:marLeft w:val="0"/>
      <w:marRight w:val="0"/>
      <w:marTop w:val="0"/>
      <w:marBottom w:val="0"/>
      <w:divBdr>
        <w:top w:val="none" w:sz="0" w:space="0" w:color="auto"/>
        <w:left w:val="none" w:sz="0" w:space="0" w:color="auto"/>
        <w:bottom w:val="none" w:sz="0" w:space="0" w:color="auto"/>
        <w:right w:val="none" w:sz="0" w:space="0" w:color="auto"/>
      </w:divBdr>
    </w:div>
    <w:div w:id="178007983">
      <w:bodyDiv w:val="1"/>
      <w:marLeft w:val="0"/>
      <w:marRight w:val="0"/>
      <w:marTop w:val="0"/>
      <w:marBottom w:val="0"/>
      <w:divBdr>
        <w:top w:val="none" w:sz="0" w:space="0" w:color="auto"/>
        <w:left w:val="none" w:sz="0" w:space="0" w:color="auto"/>
        <w:bottom w:val="none" w:sz="0" w:space="0" w:color="auto"/>
        <w:right w:val="none" w:sz="0" w:space="0" w:color="auto"/>
      </w:divBdr>
    </w:div>
    <w:div w:id="188565458">
      <w:bodyDiv w:val="1"/>
      <w:marLeft w:val="0"/>
      <w:marRight w:val="0"/>
      <w:marTop w:val="0"/>
      <w:marBottom w:val="0"/>
      <w:divBdr>
        <w:top w:val="none" w:sz="0" w:space="0" w:color="auto"/>
        <w:left w:val="none" w:sz="0" w:space="0" w:color="auto"/>
        <w:bottom w:val="none" w:sz="0" w:space="0" w:color="auto"/>
        <w:right w:val="none" w:sz="0" w:space="0" w:color="auto"/>
      </w:divBdr>
    </w:div>
    <w:div w:id="189799406">
      <w:bodyDiv w:val="1"/>
      <w:marLeft w:val="0"/>
      <w:marRight w:val="0"/>
      <w:marTop w:val="0"/>
      <w:marBottom w:val="0"/>
      <w:divBdr>
        <w:top w:val="none" w:sz="0" w:space="0" w:color="auto"/>
        <w:left w:val="none" w:sz="0" w:space="0" w:color="auto"/>
        <w:bottom w:val="none" w:sz="0" w:space="0" w:color="auto"/>
        <w:right w:val="none" w:sz="0" w:space="0" w:color="auto"/>
      </w:divBdr>
    </w:div>
    <w:div w:id="195656881">
      <w:bodyDiv w:val="1"/>
      <w:marLeft w:val="0"/>
      <w:marRight w:val="0"/>
      <w:marTop w:val="0"/>
      <w:marBottom w:val="0"/>
      <w:divBdr>
        <w:top w:val="none" w:sz="0" w:space="0" w:color="auto"/>
        <w:left w:val="none" w:sz="0" w:space="0" w:color="auto"/>
        <w:bottom w:val="none" w:sz="0" w:space="0" w:color="auto"/>
        <w:right w:val="none" w:sz="0" w:space="0" w:color="auto"/>
      </w:divBdr>
    </w:div>
    <w:div w:id="196628973">
      <w:bodyDiv w:val="1"/>
      <w:marLeft w:val="0"/>
      <w:marRight w:val="0"/>
      <w:marTop w:val="0"/>
      <w:marBottom w:val="0"/>
      <w:divBdr>
        <w:top w:val="none" w:sz="0" w:space="0" w:color="auto"/>
        <w:left w:val="none" w:sz="0" w:space="0" w:color="auto"/>
        <w:bottom w:val="none" w:sz="0" w:space="0" w:color="auto"/>
        <w:right w:val="none" w:sz="0" w:space="0" w:color="auto"/>
      </w:divBdr>
    </w:div>
    <w:div w:id="207110262">
      <w:bodyDiv w:val="1"/>
      <w:marLeft w:val="0"/>
      <w:marRight w:val="0"/>
      <w:marTop w:val="0"/>
      <w:marBottom w:val="0"/>
      <w:divBdr>
        <w:top w:val="none" w:sz="0" w:space="0" w:color="auto"/>
        <w:left w:val="none" w:sz="0" w:space="0" w:color="auto"/>
        <w:bottom w:val="none" w:sz="0" w:space="0" w:color="auto"/>
        <w:right w:val="none" w:sz="0" w:space="0" w:color="auto"/>
      </w:divBdr>
    </w:div>
    <w:div w:id="254556767">
      <w:bodyDiv w:val="1"/>
      <w:marLeft w:val="0"/>
      <w:marRight w:val="0"/>
      <w:marTop w:val="0"/>
      <w:marBottom w:val="0"/>
      <w:divBdr>
        <w:top w:val="none" w:sz="0" w:space="0" w:color="auto"/>
        <w:left w:val="none" w:sz="0" w:space="0" w:color="auto"/>
        <w:bottom w:val="none" w:sz="0" w:space="0" w:color="auto"/>
        <w:right w:val="none" w:sz="0" w:space="0" w:color="auto"/>
      </w:divBdr>
    </w:div>
    <w:div w:id="261181935">
      <w:bodyDiv w:val="1"/>
      <w:marLeft w:val="0"/>
      <w:marRight w:val="0"/>
      <w:marTop w:val="0"/>
      <w:marBottom w:val="0"/>
      <w:divBdr>
        <w:top w:val="none" w:sz="0" w:space="0" w:color="auto"/>
        <w:left w:val="none" w:sz="0" w:space="0" w:color="auto"/>
        <w:bottom w:val="none" w:sz="0" w:space="0" w:color="auto"/>
        <w:right w:val="none" w:sz="0" w:space="0" w:color="auto"/>
      </w:divBdr>
    </w:div>
    <w:div w:id="264848702">
      <w:bodyDiv w:val="1"/>
      <w:marLeft w:val="0"/>
      <w:marRight w:val="0"/>
      <w:marTop w:val="0"/>
      <w:marBottom w:val="0"/>
      <w:divBdr>
        <w:top w:val="none" w:sz="0" w:space="0" w:color="auto"/>
        <w:left w:val="none" w:sz="0" w:space="0" w:color="auto"/>
        <w:bottom w:val="none" w:sz="0" w:space="0" w:color="auto"/>
        <w:right w:val="none" w:sz="0" w:space="0" w:color="auto"/>
      </w:divBdr>
    </w:div>
    <w:div w:id="279267234">
      <w:bodyDiv w:val="1"/>
      <w:marLeft w:val="0"/>
      <w:marRight w:val="0"/>
      <w:marTop w:val="0"/>
      <w:marBottom w:val="0"/>
      <w:divBdr>
        <w:top w:val="none" w:sz="0" w:space="0" w:color="auto"/>
        <w:left w:val="none" w:sz="0" w:space="0" w:color="auto"/>
        <w:bottom w:val="none" w:sz="0" w:space="0" w:color="auto"/>
        <w:right w:val="none" w:sz="0" w:space="0" w:color="auto"/>
      </w:divBdr>
    </w:div>
    <w:div w:id="292716016">
      <w:bodyDiv w:val="1"/>
      <w:marLeft w:val="0"/>
      <w:marRight w:val="0"/>
      <w:marTop w:val="0"/>
      <w:marBottom w:val="0"/>
      <w:divBdr>
        <w:top w:val="none" w:sz="0" w:space="0" w:color="auto"/>
        <w:left w:val="none" w:sz="0" w:space="0" w:color="auto"/>
        <w:bottom w:val="none" w:sz="0" w:space="0" w:color="auto"/>
        <w:right w:val="none" w:sz="0" w:space="0" w:color="auto"/>
      </w:divBdr>
    </w:div>
    <w:div w:id="293803212">
      <w:bodyDiv w:val="1"/>
      <w:marLeft w:val="0"/>
      <w:marRight w:val="0"/>
      <w:marTop w:val="0"/>
      <w:marBottom w:val="0"/>
      <w:divBdr>
        <w:top w:val="none" w:sz="0" w:space="0" w:color="auto"/>
        <w:left w:val="none" w:sz="0" w:space="0" w:color="auto"/>
        <w:bottom w:val="none" w:sz="0" w:space="0" w:color="auto"/>
        <w:right w:val="none" w:sz="0" w:space="0" w:color="auto"/>
      </w:divBdr>
    </w:div>
    <w:div w:id="297539346">
      <w:bodyDiv w:val="1"/>
      <w:marLeft w:val="0"/>
      <w:marRight w:val="0"/>
      <w:marTop w:val="0"/>
      <w:marBottom w:val="0"/>
      <w:divBdr>
        <w:top w:val="none" w:sz="0" w:space="0" w:color="auto"/>
        <w:left w:val="none" w:sz="0" w:space="0" w:color="auto"/>
        <w:bottom w:val="none" w:sz="0" w:space="0" w:color="auto"/>
        <w:right w:val="none" w:sz="0" w:space="0" w:color="auto"/>
      </w:divBdr>
    </w:div>
    <w:div w:id="297609870">
      <w:bodyDiv w:val="1"/>
      <w:marLeft w:val="0"/>
      <w:marRight w:val="0"/>
      <w:marTop w:val="0"/>
      <w:marBottom w:val="0"/>
      <w:divBdr>
        <w:top w:val="none" w:sz="0" w:space="0" w:color="auto"/>
        <w:left w:val="none" w:sz="0" w:space="0" w:color="auto"/>
        <w:bottom w:val="none" w:sz="0" w:space="0" w:color="auto"/>
        <w:right w:val="none" w:sz="0" w:space="0" w:color="auto"/>
      </w:divBdr>
    </w:div>
    <w:div w:id="310643259">
      <w:bodyDiv w:val="1"/>
      <w:marLeft w:val="0"/>
      <w:marRight w:val="0"/>
      <w:marTop w:val="0"/>
      <w:marBottom w:val="0"/>
      <w:divBdr>
        <w:top w:val="none" w:sz="0" w:space="0" w:color="auto"/>
        <w:left w:val="none" w:sz="0" w:space="0" w:color="auto"/>
        <w:bottom w:val="none" w:sz="0" w:space="0" w:color="auto"/>
        <w:right w:val="none" w:sz="0" w:space="0" w:color="auto"/>
      </w:divBdr>
    </w:div>
    <w:div w:id="323899269">
      <w:bodyDiv w:val="1"/>
      <w:marLeft w:val="0"/>
      <w:marRight w:val="0"/>
      <w:marTop w:val="0"/>
      <w:marBottom w:val="0"/>
      <w:divBdr>
        <w:top w:val="none" w:sz="0" w:space="0" w:color="auto"/>
        <w:left w:val="none" w:sz="0" w:space="0" w:color="auto"/>
        <w:bottom w:val="none" w:sz="0" w:space="0" w:color="auto"/>
        <w:right w:val="none" w:sz="0" w:space="0" w:color="auto"/>
      </w:divBdr>
    </w:div>
    <w:div w:id="343409464">
      <w:bodyDiv w:val="1"/>
      <w:marLeft w:val="0"/>
      <w:marRight w:val="0"/>
      <w:marTop w:val="0"/>
      <w:marBottom w:val="0"/>
      <w:divBdr>
        <w:top w:val="none" w:sz="0" w:space="0" w:color="auto"/>
        <w:left w:val="none" w:sz="0" w:space="0" w:color="auto"/>
        <w:bottom w:val="none" w:sz="0" w:space="0" w:color="auto"/>
        <w:right w:val="none" w:sz="0" w:space="0" w:color="auto"/>
      </w:divBdr>
    </w:div>
    <w:div w:id="343896822">
      <w:bodyDiv w:val="1"/>
      <w:marLeft w:val="0"/>
      <w:marRight w:val="0"/>
      <w:marTop w:val="0"/>
      <w:marBottom w:val="0"/>
      <w:divBdr>
        <w:top w:val="none" w:sz="0" w:space="0" w:color="auto"/>
        <w:left w:val="none" w:sz="0" w:space="0" w:color="auto"/>
        <w:bottom w:val="none" w:sz="0" w:space="0" w:color="auto"/>
        <w:right w:val="none" w:sz="0" w:space="0" w:color="auto"/>
      </w:divBdr>
    </w:div>
    <w:div w:id="344751863">
      <w:bodyDiv w:val="1"/>
      <w:marLeft w:val="0"/>
      <w:marRight w:val="0"/>
      <w:marTop w:val="0"/>
      <w:marBottom w:val="0"/>
      <w:divBdr>
        <w:top w:val="none" w:sz="0" w:space="0" w:color="auto"/>
        <w:left w:val="none" w:sz="0" w:space="0" w:color="auto"/>
        <w:bottom w:val="none" w:sz="0" w:space="0" w:color="auto"/>
        <w:right w:val="none" w:sz="0" w:space="0" w:color="auto"/>
      </w:divBdr>
    </w:div>
    <w:div w:id="347676505">
      <w:bodyDiv w:val="1"/>
      <w:marLeft w:val="0"/>
      <w:marRight w:val="0"/>
      <w:marTop w:val="0"/>
      <w:marBottom w:val="0"/>
      <w:divBdr>
        <w:top w:val="none" w:sz="0" w:space="0" w:color="auto"/>
        <w:left w:val="none" w:sz="0" w:space="0" w:color="auto"/>
        <w:bottom w:val="none" w:sz="0" w:space="0" w:color="auto"/>
        <w:right w:val="none" w:sz="0" w:space="0" w:color="auto"/>
      </w:divBdr>
    </w:div>
    <w:div w:id="350650360">
      <w:bodyDiv w:val="1"/>
      <w:marLeft w:val="0"/>
      <w:marRight w:val="0"/>
      <w:marTop w:val="0"/>
      <w:marBottom w:val="0"/>
      <w:divBdr>
        <w:top w:val="none" w:sz="0" w:space="0" w:color="auto"/>
        <w:left w:val="none" w:sz="0" w:space="0" w:color="auto"/>
        <w:bottom w:val="none" w:sz="0" w:space="0" w:color="auto"/>
        <w:right w:val="none" w:sz="0" w:space="0" w:color="auto"/>
      </w:divBdr>
    </w:div>
    <w:div w:id="354305096">
      <w:bodyDiv w:val="1"/>
      <w:marLeft w:val="0"/>
      <w:marRight w:val="0"/>
      <w:marTop w:val="0"/>
      <w:marBottom w:val="0"/>
      <w:divBdr>
        <w:top w:val="none" w:sz="0" w:space="0" w:color="auto"/>
        <w:left w:val="none" w:sz="0" w:space="0" w:color="auto"/>
        <w:bottom w:val="none" w:sz="0" w:space="0" w:color="auto"/>
        <w:right w:val="none" w:sz="0" w:space="0" w:color="auto"/>
      </w:divBdr>
    </w:div>
    <w:div w:id="375197629">
      <w:bodyDiv w:val="1"/>
      <w:marLeft w:val="0"/>
      <w:marRight w:val="0"/>
      <w:marTop w:val="0"/>
      <w:marBottom w:val="0"/>
      <w:divBdr>
        <w:top w:val="none" w:sz="0" w:space="0" w:color="auto"/>
        <w:left w:val="none" w:sz="0" w:space="0" w:color="auto"/>
        <w:bottom w:val="none" w:sz="0" w:space="0" w:color="auto"/>
        <w:right w:val="none" w:sz="0" w:space="0" w:color="auto"/>
      </w:divBdr>
    </w:div>
    <w:div w:id="393432271">
      <w:bodyDiv w:val="1"/>
      <w:marLeft w:val="0"/>
      <w:marRight w:val="0"/>
      <w:marTop w:val="0"/>
      <w:marBottom w:val="0"/>
      <w:divBdr>
        <w:top w:val="none" w:sz="0" w:space="0" w:color="auto"/>
        <w:left w:val="none" w:sz="0" w:space="0" w:color="auto"/>
        <w:bottom w:val="none" w:sz="0" w:space="0" w:color="auto"/>
        <w:right w:val="none" w:sz="0" w:space="0" w:color="auto"/>
      </w:divBdr>
    </w:div>
    <w:div w:id="416294451">
      <w:bodyDiv w:val="1"/>
      <w:marLeft w:val="0"/>
      <w:marRight w:val="0"/>
      <w:marTop w:val="0"/>
      <w:marBottom w:val="0"/>
      <w:divBdr>
        <w:top w:val="none" w:sz="0" w:space="0" w:color="auto"/>
        <w:left w:val="none" w:sz="0" w:space="0" w:color="auto"/>
        <w:bottom w:val="none" w:sz="0" w:space="0" w:color="auto"/>
        <w:right w:val="none" w:sz="0" w:space="0" w:color="auto"/>
      </w:divBdr>
    </w:div>
    <w:div w:id="426275771">
      <w:bodyDiv w:val="1"/>
      <w:marLeft w:val="0"/>
      <w:marRight w:val="0"/>
      <w:marTop w:val="0"/>
      <w:marBottom w:val="0"/>
      <w:divBdr>
        <w:top w:val="none" w:sz="0" w:space="0" w:color="auto"/>
        <w:left w:val="none" w:sz="0" w:space="0" w:color="auto"/>
        <w:bottom w:val="none" w:sz="0" w:space="0" w:color="auto"/>
        <w:right w:val="none" w:sz="0" w:space="0" w:color="auto"/>
      </w:divBdr>
    </w:div>
    <w:div w:id="432433734">
      <w:bodyDiv w:val="1"/>
      <w:marLeft w:val="0"/>
      <w:marRight w:val="0"/>
      <w:marTop w:val="0"/>
      <w:marBottom w:val="0"/>
      <w:divBdr>
        <w:top w:val="none" w:sz="0" w:space="0" w:color="auto"/>
        <w:left w:val="none" w:sz="0" w:space="0" w:color="auto"/>
        <w:bottom w:val="none" w:sz="0" w:space="0" w:color="auto"/>
        <w:right w:val="none" w:sz="0" w:space="0" w:color="auto"/>
      </w:divBdr>
    </w:div>
    <w:div w:id="437797964">
      <w:bodyDiv w:val="1"/>
      <w:marLeft w:val="0"/>
      <w:marRight w:val="0"/>
      <w:marTop w:val="0"/>
      <w:marBottom w:val="0"/>
      <w:divBdr>
        <w:top w:val="none" w:sz="0" w:space="0" w:color="auto"/>
        <w:left w:val="none" w:sz="0" w:space="0" w:color="auto"/>
        <w:bottom w:val="none" w:sz="0" w:space="0" w:color="auto"/>
        <w:right w:val="none" w:sz="0" w:space="0" w:color="auto"/>
      </w:divBdr>
    </w:div>
    <w:div w:id="438187763">
      <w:bodyDiv w:val="1"/>
      <w:marLeft w:val="0"/>
      <w:marRight w:val="0"/>
      <w:marTop w:val="0"/>
      <w:marBottom w:val="0"/>
      <w:divBdr>
        <w:top w:val="none" w:sz="0" w:space="0" w:color="auto"/>
        <w:left w:val="none" w:sz="0" w:space="0" w:color="auto"/>
        <w:bottom w:val="none" w:sz="0" w:space="0" w:color="auto"/>
        <w:right w:val="none" w:sz="0" w:space="0" w:color="auto"/>
      </w:divBdr>
    </w:div>
    <w:div w:id="459223786">
      <w:bodyDiv w:val="1"/>
      <w:marLeft w:val="0"/>
      <w:marRight w:val="0"/>
      <w:marTop w:val="0"/>
      <w:marBottom w:val="0"/>
      <w:divBdr>
        <w:top w:val="none" w:sz="0" w:space="0" w:color="auto"/>
        <w:left w:val="none" w:sz="0" w:space="0" w:color="auto"/>
        <w:bottom w:val="none" w:sz="0" w:space="0" w:color="auto"/>
        <w:right w:val="none" w:sz="0" w:space="0" w:color="auto"/>
      </w:divBdr>
    </w:div>
    <w:div w:id="462846561">
      <w:bodyDiv w:val="1"/>
      <w:marLeft w:val="0"/>
      <w:marRight w:val="0"/>
      <w:marTop w:val="0"/>
      <w:marBottom w:val="0"/>
      <w:divBdr>
        <w:top w:val="none" w:sz="0" w:space="0" w:color="auto"/>
        <w:left w:val="none" w:sz="0" w:space="0" w:color="auto"/>
        <w:bottom w:val="none" w:sz="0" w:space="0" w:color="auto"/>
        <w:right w:val="none" w:sz="0" w:space="0" w:color="auto"/>
      </w:divBdr>
    </w:div>
    <w:div w:id="465389060">
      <w:bodyDiv w:val="1"/>
      <w:marLeft w:val="0"/>
      <w:marRight w:val="0"/>
      <w:marTop w:val="0"/>
      <w:marBottom w:val="0"/>
      <w:divBdr>
        <w:top w:val="none" w:sz="0" w:space="0" w:color="auto"/>
        <w:left w:val="none" w:sz="0" w:space="0" w:color="auto"/>
        <w:bottom w:val="none" w:sz="0" w:space="0" w:color="auto"/>
        <w:right w:val="none" w:sz="0" w:space="0" w:color="auto"/>
      </w:divBdr>
    </w:div>
    <w:div w:id="470902861">
      <w:bodyDiv w:val="1"/>
      <w:marLeft w:val="0"/>
      <w:marRight w:val="0"/>
      <w:marTop w:val="0"/>
      <w:marBottom w:val="0"/>
      <w:divBdr>
        <w:top w:val="none" w:sz="0" w:space="0" w:color="auto"/>
        <w:left w:val="none" w:sz="0" w:space="0" w:color="auto"/>
        <w:bottom w:val="none" w:sz="0" w:space="0" w:color="auto"/>
        <w:right w:val="none" w:sz="0" w:space="0" w:color="auto"/>
      </w:divBdr>
    </w:div>
    <w:div w:id="489558701">
      <w:bodyDiv w:val="1"/>
      <w:marLeft w:val="0"/>
      <w:marRight w:val="0"/>
      <w:marTop w:val="0"/>
      <w:marBottom w:val="0"/>
      <w:divBdr>
        <w:top w:val="none" w:sz="0" w:space="0" w:color="auto"/>
        <w:left w:val="none" w:sz="0" w:space="0" w:color="auto"/>
        <w:bottom w:val="none" w:sz="0" w:space="0" w:color="auto"/>
        <w:right w:val="none" w:sz="0" w:space="0" w:color="auto"/>
      </w:divBdr>
    </w:div>
    <w:div w:id="521287233">
      <w:bodyDiv w:val="1"/>
      <w:marLeft w:val="0"/>
      <w:marRight w:val="0"/>
      <w:marTop w:val="0"/>
      <w:marBottom w:val="0"/>
      <w:divBdr>
        <w:top w:val="none" w:sz="0" w:space="0" w:color="auto"/>
        <w:left w:val="none" w:sz="0" w:space="0" w:color="auto"/>
        <w:bottom w:val="none" w:sz="0" w:space="0" w:color="auto"/>
        <w:right w:val="none" w:sz="0" w:space="0" w:color="auto"/>
      </w:divBdr>
    </w:div>
    <w:div w:id="528907856">
      <w:bodyDiv w:val="1"/>
      <w:marLeft w:val="0"/>
      <w:marRight w:val="0"/>
      <w:marTop w:val="0"/>
      <w:marBottom w:val="0"/>
      <w:divBdr>
        <w:top w:val="none" w:sz="0" w:space="0" w:color="auto"/>
        <w:left w:val="none" w:sz="0" w:space="0" w:color="auto"/>
        <w:bottom w:val="none" w:sz="0" w:space="0" w:color="auto"/>
        <w:right w:val="none" w:sz="0" w:space="0" w:color="auto"/>
      </w:divBdr>
    </w:div>
    <w:div w:id="530461043">
      <w:bodyDiv w:val="1"/>
      <w:marLeft w:val="0"/>
      <w:marRight w:val="0"/>
      <w:marTop w:val="0"/>
      <w:marBottom w:val="0"/>
      <w:divBdr>
        <w:top w:val="none" w:sz="0" w:space="0" w:color="auto"/>
        <w:left w:val="none" w:sz="0" w:space="0" w:color="auto"/>
        <w:bottom w:val="none" w:sz="0" w:space="0" w:color="auto"/>
        <w:right w:val="none" w:sz="0" w:space="0" w:color="auto"/>
      </w:divBdr>
    </w:div>
    <w:div w:id="530655884">
      <w:bodyDiv w:val="1"/>
      <w:marLeft w:val="0"/>
      <w:marRight w:val="0"/>
      <w:marTop w:val="0"/>
      <w:marBottom w:val="0"/>
      <w:divBdr>
        <w:top w:val="none" w:sz="0" w:space="0" w:color="auto"/>
        <w:left w:val="none" w:sz="0" w:space="0" w:color="auto"/>
        <w:bottom w:val="none" w:sz="0" w:space="0" w:color="auto"/>
        <w:right w:val="none" w:sz="0" w:space="0" w:color="auto"/>
      </w:divBdr>
    </w:div>
    <w:div w:id="534737246">
      <w:bodyDiv w:val="1"/>
      <w:marLeft w:val="0"/>
      <w:marRight w:val="0"/>
      <w:marTop w:val="0"/>
      <w:marBottom w:val="0"/>
      <w:divBdr>
        <w:top w:val="none" w:sz="0" w:space="0" w:color="auto"/>
        <w:left w:val="none" w:sz="0" w:space="0" w:color="auto"/>
        <w:bottom w:val="none" w:sz="0" w:space="0" w:color="auto"/>
        <w:right w:val="none" w:sz="0" w:space="0" w:color="auto"/>
      </w:divBdr>
    </w:div>
    <w:div w:id="546382914">
      <w:bodyDiv w:val="1"/>
      <w:marLeft w:val="0"/>
      <w:marRight w:val="0"/>
      <w:marTop w:val="0"/>
      <w:marBottom w:val="0"/>
      <w:divBdr>
        <w:top w:val="none" w:sz="0" w:space="0" w:color="auto"/>
        <w:left w:val="none" w:sz="0" w:space="0" w:color="auto"/>
        <w:bottom w:val="none" w:sz="0" w:space="0" w:color="auto"/>
        <w:right w:val="none" w:sz="0" w:space="0" w:color="auto"/>
      </w:divBdr>
    </w:div>
    <w:div w:id="546721751">
      <w:bodyDiv w:val="1"/>
      <w:marLeft w:val="0"/>
      <w:marRight w:val="0"/>
      <w:marTop w:val="0"/>
      <w:marBottom w:val="0"/>
      <w:divBdr>
        <w:top w:val="none" w:sz="0" w:space="0" w:color="auto"/>
        <w:left w:val="none" w:sz="0" w:space="0" w:color="auto"/>
        <w:bottom w:val="none" w:sz="0" w:space="0" w:color="auto"/>
        <w:right w:val="none" w:sz="0" w:space="0" w:color="auto"/>
      </w:divBdr>
    </w:div>
    <w:div w:id="558126579">
      <w:bodyDiv w:val="1"/>
      <w:marLeft w:val="0"/>
      <w:marRight w:val="0"/>
      <w:marTop w:val="0"/>
      <w:marBottom w:val="0"/>
      <w:divBdr>
        <w:top w:val="none" w:sz="0" w:space="0" w:color="auto"/>
        <w:left w:val="none" w:sz="0" w:space="0" w:color="auto"/>
        <w:bottom w:val="none" w:sz="0" w:space="0" w:color="auto"/>
        <w:right w:val="none" w:sz="0" w:space="0" w:color="auto"/>
      </w:divBdr>
    </w:div>
    <w:div w:id="583494498">
      <w:bodyDiv w:val="1"/>
      <w:marLeft w:val="0"/>
      <w:marRight w:val="0"/>
      <w:marTop w:val="0"/>
      <w:marBottom w:val="0"/>
      <w:divBdr>
        <w:top w:val="none" w:sz="0" w:space="0" w:color="auto"/>
        <w:left w:val="none" w:sz="0" w:space="0" w:color="auto"/>
        <w:bottom w:val="none" w:sz="0" w:space="0" w:color="auto"/>
        <w:right w:val="none" w:sz="0" w:space="0" w:color="auto"/>
      </w:divBdr>
    </w:div>
    <w:div w:id="586422741">
      <w:bodyDiv w:val="1"/>
      <w:marLeft w:val="0"/>
      <w:marRight w:val="0"/>
      <w:marTop w:val="0"/>
      <w:marBottom w:val="0"/>
      <w:divBdr>
        <w:top w:val="none" w:sz="0" w:space="0" w:color="auto"/>
        <w:left w:val="none" w:sz="0" w:space="0" w:color="auto"/>
        <w:bottom w:val="none" w:sz="0" w:space="0" w:color="auto"/>
        <w:right w:val="none" w:sz="0" w:space="0" w:color="auto"/>
      </w:divBdr>
    </w:div>
    <w:div w:id="593828025">
      <w:bodyDiv w:val="1"/>
      <w:marLeft w:val="0"/>
      <w:marRight w:val="0"/>
      <w:marTop w:val="0"/>
      <w:marBottom w:val="0"/>
      <w:divBdr>
        <w:top w:val="none" w:sz="0" w:space="0" w:color="auto"/>
        <w:left w:val="none" w:sz="0" w:space="0" w:color="auto"/>
        <w:bottom w:val="none" w:sz="0" w:space="0" w:color="auto"/>
        <w:right w:val="none" w:sz="0" w:space="0" w:color="auto"/>
      </w:divBdr>
    </w:div>
    <w:div w:id="605580568">
      <w:bodyDiv w:val="1"/>
      <w:marLeft w:val="0"/>
      <w:marRight w:val="0"/>
      <w:marTop w:val="0"/>
      <w:marBottom w:val="0"/>
      <w:divBdr>
        <w:top w:val="none" w:sz="0" w:space="0" w:color="auto"/>
        <w:left w:val="none" w:sz="0" w:space="0" w:color="auto"/>
        <w:bottom w:val="none" w:sz="0" w:space="0" w:color="auto"/>
        <w:right w:val="none" w:sz="0" w:space="0" w:color="auto"/>
      </w:divBdr>
    </w:div>
    <w:div w:id="617565942">
      <w:bodyDiv w:val="1"/>
      <w:marLeft w:val="0"/>
      <w:marRight w:val="0"/>
      <w:marTop w:val="0"/>
      <w:marBottom w:val="0"/>
      <w:divBdr>
        <w:top w:val="none" w:sz="0" w:space="0" w:color="auto"/>
        <w:left w:val="none" w:sz="0" w:space="0" w:color="auto"/>
        <w:bottom w:val="none" w:sz="0" w:space="0" w:color="auto"/>
        <w:right w:val="none" w:sz="0" w:space="0" w:color="auto"/>
      </w:divBdr>
    </w:div>
    <w:div w:id="619073996">
      <w:bodyDiv w:val="1"/>
      <w:marLeft w:val="0"/>
      <w:marRight w:val="0"/>
      <w:marTop w:val="0"/>
      <w:marBottom w:val="0"/>
      <w:divBdr>
        <w:top w:val="none" w:sz="0" w:space="0" w:color="auto"/>
        <w:left w:val="none" w:sz="0" w:space="0" w:color="auto"/>
        <w:bottom w:val="none" w:sz="0" w:space="0" w:color="auto"/>
        <w:right w:val="none" w:sz="0" w:space="0" w:color="auto"/>
      </w:divBdr>
    </w:div>
    <w:div w:id="634338418">
      <w:bodyDiv w:val="1"/>
      <w:marLeft w:val="0"/>
      <w:marRight w:val="0"/>
      <w:marTop w:val="0"/>
      <w:marBottom w:val="0"/>
      <w:divBdr>
        <w:top w:val="none" w:sz="0" w:space="0" w:color="auto"/>
        <w:left w:val="none" w:sz="0" w:space="0" w:color="auto"/>
        <w:bottom w:val="none" w:sz="0" w:space="0" w:color="auto"/>
        <w:right w:val="none" w:sz="0" w:space="0" w:color="auto"/>
      </w:divBdr>
    </w:div>
    <w:div w:id="642077231">
      <w:bodyDiv w:val="1"/>
      <w:marLeft w:val="0"/>
      <w:marRight w:val="0"/>
      <w:marTop w:val="0"/>
      <w:marBottom w:val="0"/>
      <w:divBdr>
        <w:top w:val="none" w:sz="0" w:space="0" w:color="auto"/>
        <w:left w:val="none" w:sz="0" w:space="0" w:color="auto"/>
        <w:bottom w:val="none" w:sz="0" w:space="0" w:color="auto"/>
        <w:right w:val="none" w:sz="0" w:space="0" w:color="auto"/>
      </w:divBdr>
    </w:div>
    <w:div w:id="648435921">
      <w:bodyDiv w:val="1"/>
      <w:marLeft w:val="0"/>
      <w:marRight w:val="0"/>
      <w:marTop w:val="0"/>
      <w:marBottom w:val="0"/>
      <w:divBdr>
        <w:top w:val="none" w:sz="0" w:space="0" w:color="auto"/>
        <w:left w:val="none" w:sz="0" w:space="0" w:color="auto"/>
        <w:bottom w:val="none" w:sz="0" w:space="0" w:color="auto"/>
        <w:right w:val="none" w:sz="0" w:space="0" w:color="auto"/>
      </w:divBdr>
    </w:div>
    <w:div w:id="651786697">
      <w:bodyDiv w:val="1"/>
      <w:marLeft w:val="0"/>
      <w:marRight w:val="0"/>
      <w:marTop w:val="0"/>
      <w:marBottom w:val="0"/>
      <w:divBdr>
        <w:top w:val="none" w:sz="0" w:space="0" w:color="auto"/>
        <w:left w:val="none" w:sz="0" w:space="0" w:color="auto"/>
        <w:bottom w:val="none" w:sz="0" w:space="0" w:color="auto"/>
        <w:right w:val="none" w:sz="0" w:space="0" w:color="auto"/>
      </w:divBdr>
    </w:div>
    <w:div w:id="662977859">
      <w:bodyDiv w:val="1"/>
      <w:marLeft w:val="0"/>
      <w:marRight w:val="0"/>
      <w:marTop w:val="0"/>
      <w:marBottom w:val="0"/>
      <w:divBdr>
        <w:top w:val="none" w:sz="0" w:space="0" w:color="auto"/>
        <w:left w:val="none" w:sz="0" w:space="0" w:color="auto"/>
        <w:bottom w:val="none" w:sz="0" w:space="0" w:color="auto"/>
        <w:right w:val="none" w:sz="0" w:space="0" w:color="auto"/>
      </w:divBdr>
    </w:div>
    <w:div w:id="664934646">
      <w:bodyDiv w:val="1"/>
      <w:marLeft w:val="0"/>
      <w:marRight w:val="0"/>
      <w:marTop w:val="0"/>
      <w:marBottom w:val="0"/>
      <w:divBdr>
        <w:top w:val="none" w:sz="0" w:space="0" w:color="auto"/>
        <w:left w:val="none" w:sz="0" w:space="0" w:color="auto"/>
        <w:bottom w:val="none" w:sz="0" w:space="0" w:color="auto"/>
        <w:right w:val="none" w:sz="0" w:space="0" w:color="auto"/>
      </w:divBdr>
    </w:div>
    <w:div w:id="666790973">
      <w:bodyDiv w:val="1"/>
      <w:marLeft w:val="0"/>
      <w:marRight w:val="0"/>
      <w:marTop w:val="0"/>
      <w:marBottom w:val="0"/>
      <w:divBdr>
        <w:top w:val="none" w:sz="0" w:space="0" w:color="auto"/>
        <w:left w:val="none" w:sz="0" w:space="0" w:color="auto"/>
        <w:bottom w:val="none" w:sz="0" w:space="0" w:color="auto"/>
        <w:right w:val="none" w:sz="0" w:space="0" w:color="auto"/>
      </w:divBdr>
    </w:div>
    <w:div w:id="673337424">
      <w:bodyDiv w:val="1"/>
      <w:marLeft w:val="0"/>
      <w:marRight w:val="0"/>
      <w:marTop w:val="0"/>
      <w:marBottom w:val="0"/>
      <w:divBdr>
        <w:top w:val="none" w:sz="0" w:space="0" w:color="auto"/>
        <w:left w:val="none" w:sz="0" w:space="0" w:color="auto"/>
        <w:bottom w:val="none" w:sz="0" w:space="0" w:color="auto"/>
        <w:right w:val="none" w:sz="0" w:space="0" w:color="auto"/>
      </w:divBdr>
    </w:div>
    <w:div w:id="681929736">
      <w:bodyDiv w:val="1"/>
      <w:marLeft w:val="0"/>
      <w:marRight w:val="0"/>
      <w:marTop w:val="0"/>
      <w:marBottom w:val="0"/>
      <w:divBdr>
        <w:top w:val="none" w:sz="0" w:space="0" w:color="auto"/>
        <w:left w:val="none" w:sz="0" w:space="0" w:color="auto"/>
        <w:bottom w:val="none" w:sz="0" w:space="0" w:color="auto"/>
        <w:right w:val="none" w:sz="0" w:space="0" w:color="auto"/>
      </w:divBdr>
    </w:div>
    <w:div w:id="695546742">
      <w:bodyDiv w:val="1"/>
      <w:marLeft w:val="0"/>
      <w:marRight w:val="0"/>
      <w:marTop w:val="0"/>
      <w:marBottom w:val="0"/>
      <w:divBdr>
        <w:top w:val="none" w:sz="0" w:space="0" w:color="auto"/>
        <w:left w:val="none" w:sz="0" w:space="0" w:color="auto"/>
        <w:bottom w:val="none" w:sz="0" w:space="0" w:color="auto"/>
        <w:right w:val="none" w:sz="0" w:space="0" w:color="auto"/>
      </w:divBdr>
    </w:div>
    <w:div w:id="700324046">
      <w:bodyDiv w:val="1"/>
      <w:marLeft w:val="0"/>
      <w:marRight w:val="0"/>
      <w:marTop w:val="0"/>
      <w:marBottom w:val="0"/>
      <w:divBdr>
        <w:top w:val="none" w:sz="0" w:space="0" w:color="auto"/>
        <w:left w:val="none" w:sz="0" w:space="0" w:color="auto"/>
        <w:bottom w:val="none" w:sz="0" w:space="0" w:color="auto"/>
        <w:right w:val="none" w:sz="0" w:space="0" w:color="auto"/>
      </w:divBdr>
    </w:div>
    <w:div w:id="702485999">
      <w:bodyDiv w:val="1"/>
      <w:marLeft w:val="0"/>
      <w:marRight w:val="0"/>
      <w:marTop w:val="0"/>
      <w:marBottom w:val="0"/>
      <w:divBdr>
        <w:top w:val="none" w:sz="0" w:space="0" w:color="auto"/>
        <w:left w:val="none" w:sz="0" w:space="0" w:color="auto"/>
        <w:bottom w:val="none" w:sz="0" w:space="0" w:color="auto"/>
        <w:right w:val="none" w:sz="0" w:space="0" w:color="auto"/>
      </w:divBdr>
    </w:div>
    <w:div w:id="712313453">
      <w:bodyDiv w:val="1"/>
      <w:marLeft w:val="0"/>
      <w:marRight w:val="0"/>
      <w:marTop w:val="0"/>
      <w:marBottom w:val="0"/>
      <w:divBdr>
        <w:top w:val="none" w:sz="0" w:space="0" w:color="auto"/>
        <w:left w:val="none" w:sz="0" w:space="0" w:color="auto"/>
        <w:bottom w:val="none" w:sz="0" w:space="0" w:color="auto"/>
        <w:right w:val="none" w:sz="0" w:space="0" w:color="auto"/>
      </w:divBdr>
    </w:div>
    <w:div w:id="714280566">
      <w:bodyDiv w:val="1"/>
      <w:marLeft w:val="0"/>
      <w:marRight w:val="0"/>
      <w:marTop w:val="0"/>
      <w:marBottom w:val="0"/>
      <w:divBdr>
        <w:top w:val="none" w:sz="0" w:space="0" w:color="auto"/>
        <w:left w:val="none" w:sz="0" w:space="0" w:color="auto"/>
        <w:bottom w:val="none" w:sz="0" w:space="0" w:color="auto"/>
        <w:right w:val="none" w:sz="0" w:space="0" w:color="auto"/>
      </w:divBdr>
    </w:div>
    <w:div w:id="726341761">
      <w:bodyDiv w:val="1"/>
      <w:marLeft w:val="0"/>
      <w:marRight w:val="0"/>
      <w:marTop w:val="0"/>
      <w:marBottom w:val="0"/>
      <w:divBdr>
        <w:top w:val="none" w:sz="0" w:space="0" w:color="auto"/>
        <w:left w:val="none" w:sz="0" w:space="0" w:color="auto"/>
        <w:bottom w:val="none" w:sz="0" w:space="0" w:color="auto"/>
        <w:right w:val="none" w:sz="0" w:space="0" w:color="auto"/>
      </w:divBdr>
    </w:div>
    <w:div w:id="729422240">
      <w:bodyDiv w:val="1"/>
      <w:marLeft w:val="0"/>
      <w:marRight w:val="0"/>
      <w:marTop w:val="0"/>
      <w:marBottom w:val="0"/>
      <w:divBdr>
        <w:top w:val="none" w:sz="0" w:space="0" w:color="auto"/>
        <w:left w:val="none" w:sz="0" w:space="0" w:color="auto"/>
        <w:bottom w:val="none" w:sz="0" w:space="0" w:color="auto"/>
        <w:right w:val="none" w:sz="0" w:space="0" w:color="auto"/>
      </w:divBdr>
    </w:div>
    <w:div w:id="730082399">
      <w:bodyDiv w:val="1"/>
      <w:marLeft w:val="0"/>
      <w:marRight w:val="0"/>
      <w:marTop w:val="0"/>
      <w:marBottom w:val="0"/>
      <w:divBdr>
        <w:top w:val="none" w:sz="0" w:space="0" w:color="auto"/>
        <w:left w:val="none" w:sz="0" w:space="0" w:color="auto"/>
        <w:bottom w:val="none" w:sz="0" w:space="0" w:color="auto"/>
        <w:right w:val="none" w:sz="0" w:space="0" w:color="auto"/>
      </w:divBdr>
    </w:div>
    <w:div w:id="747966416">
      <w:bodyDiv w:val="1"/>
      <w:marLeft w:val="0"/>
      <w:marRight w:val="0"/>
      <w:marTop w:val="0"/>
      <w:marBottom w:val="0"/>
      <w:divBdr>
        <w:top w:val="none" w:sz="0" w:space="0" w:color="auto"/>
        <w:left w:val="none" w:sz="0" w:space="0" w:color="auto"/>
        <w:bottom w:val="none" w:sz="0" w:space="0" w:color="auto"/>
        <w:right w:val="none" w:sz="0" w:space="0" w:color="auto"/>
      </w:divBdr>
    </w:div>
    <w:div w:id="748575190">
      <w:bodyDiv w:val="1"/>
      <w:marLeft w:val="0"/>
      <w:marRight w:val="0"/>
      <w:marTop w:val="0"/>
      <w:marBottom w:val="0"/>
      <w:divBdr>
        <w:top w:val="none" w:sz="0" w:space="0" w:color="auto"/>
        <w:left w:val="none" w:sz="0" w:space="0" w:color="auto"/>
        <w:bottom w:val="none" w:sz="0" w:space="0" w:color="auto"/>
        <w:right w:val="none" w:sz="0" w:space="0" w:color="auto"/>
      </w:divBdr>
    </w:div>
    <w:div w:id="760177070">
      <w:bodyDiv w:val="1"/>
      <w:marLeft w:val="0"/>
      <w:marRight w:val="0"/>
      <w:marTop w:val="0"/>
      <w:marBottom w:val="0"/>
      <w:divBdr>
        <w:top w:val="none" w:sz="0" w:space="0" w:color="auto"/>
        <w:left w:val="none" w:sz="0" w:space="0" w:color="auto"/>
        <w:bottom w:val="none" w:sz="0" w:space="0" w:color="auto"/>
        <w:right w:val="none" w:sz="0" w:space="0" w:color="auto"/>
      </w:divBdr>
    </w:div>
    <w:div w:id="774255202">
      <w:bodyDiv w:val="1"/>
      <w:marLeft w:val="0"/>
      <w:marRight w:val="0"/>
      <w:marTop w:val="0"/>
      <w:marBottom w:val="0"/>
      <w:divBdr>
        <w:top w:val="none" w:sz="0" w:space="0" w:color="auto"/>
        <w:left w:val="none" w:sz="0" w:space="0" w:color="auto"/>
        <w:bottom w:val="none" w:sz="0" w:space="0" w:color="auto"/>
        <w:right w:val="none" w:sz="0" w:space="0" w:color="auto"/>
      </w:divBdr>
    </w:div>
    <w:div w:id="781848220">
      <w:bodyDiv w:val="1"/>
      <w:marLeft w:val="0"/>
      <w:marRight w:val="0"/>
      <w:marTop w:val="0"/>
      <w:marBottom w:val="0"/>
      <w:divBdr>
        <w:top w:val="none" w:sz="0" w:space="0" w:color="auto"/>
        <w:left w:val="none" w:sz="0" w:space="0" w:color="auto"/>
        <w:bottom w:val="none" w:sz="0" w:space="0" w:color="auto"/>
        <w:right w:val="none" w:sz="0" w:space="0" w:color="auto"/>
      </w:divBdr>
    </w:div>
    <w:div w:id="784428177">
      <w:bodyDiv w:val="1"/>
      <w:marLeft w:val="0"/>
      <w:marRight w:val="0"/>
      <w:marTop w:val="0"/>
      <w:marBottom w:val="0"/>
      <w:divBdr>
        <w:top w:val="none" w:sz="0" w:space="0" w:color="auto"/>
        <w:left w:val="none" w:sz="0" w:space="0" w:color="auto"/>
        <w:bottom w:val="none" w:sz="0" w:space="0" w:color="auto"/>
        <w:right w:val="none" w:sz="0" w:space="0" w:color="auto"/>
      </w:divBdr>
    </w:div>
    <w:div w:id="789055814">
      <w:bodyDiv w:val="1"/>
      <w:marLeft w:val="0"/>
      <w:marRight w:val="0"/>
      <w:marTop w:val="0"/>
      <w:marBottom w:val="0"/>
      <w:divBdr>
        <w:top w:val="none" w:sz="0" w:space="0" w:color="auto"/>
        <w:left w:val="none" w:sz="0" w:space="0" w:color="auto"/>
        <w:bottom w:val="none" w:sz="0" w:space="0" w:color="auto"/>
        <w:right w:val="none" w:sz="0" w:space="0" w:color="auto"/>
      </w:divBdr>
    </w:div>
    <w:div w:id="792210732">
      <w:bodyDiv w:val="1"/>
      <w:marLeft w:val="0"/>
      <w:marRight w:val="0"/>
      <w:marTop w:val="0"/>
      <w:marBottom w:val="0"/>
      <w:divBdr>
        <w:top w:val="none" w:sz="0" w:space="0" w:color="auto"/>
        <w:left w:val="none" w:sz="0" w:space="0" w:color="auto"/>
        <w:bottom w:val="none" w:sz="0" w:space="0" w:color="auto"/>
        <w:right w:val="none" w:sz="0" w:space="0" w:color="auto"/>
      </w:divBdr>
    </w:div>
    <w:div w:id="799617178">
      <w:bodyDiv w:val="1"/>
      <w:marLeft w:val="0"/>
      <w:marRight w:val="0"/>
      <w:marTop w:val="0"/>
      <w:marBottom w:val="0"/>
      <w:divBdr>
        <w:top w:val="none" w:sz="0" w:space="0" w:color="auto"/>
        <w:left w:val="none" w:sz="0" w:space="0" w:color="auto"/>
        <w:bottom w:val="none" w:sz="0" w:space="0" w:color="auto"/>
        <w:right w:val="none" w:sz="0" w:space="0" w:color="auto"/>
      </w:divBdr>
    </w:div>
    <w:div w:id="801270614">
      <w:bodyDiv w:val="1"/>
      <w:marLeft w:val="0"/>
      <w:marRight w:val="0"/>
      <w:marTop w:val="0"/>
      <w:marBottom w:val="0"/>
      <w:divBdr>
        <w:top w:val="none" w:sz="0" w:space="0" w:color="auto"/>
        <w:left w:val="none" w:sz="0" w:space="0" w:color="auto"/>
        <w:bottom w:val="none" w:sz="0" w:space="0" w:color="auto"/>
        <w:right w:val="none" w:sz="0" w:space="0" w:color="auto"/>
      </w:divBdr>
    </w:div>
    <w:div w:id="814225950">
      <w:bodyDiv w:val="1"/>
      <w:marLeft w:val="0"/>
      <w:marRight w:val="0"/>
      <w:marTop w:val="0"/>
      <w:marBottom w:val="0"/>
      <w:divBdr>
        <w:top w:val="none" w:sz="0" w:space="0" w:color="auto"/>
        <w:left w:val="none" w:sz="0" w:space="0" w:color="auto"/>
        <w:bottom w:val="none" w:sz="0" w:space="0" w:color="auto"/>
        <w:right w:val="none" w:sz="0" w:space="0" w:color="auto"/>
      </w:divBdr>
    </w:div>
    <w:div w:id="816721764">
      <w:bodyDiv w:val="1"/>
      <w:marLeft w:val="0"/>
      <w:marRight w:val="0"/>
      <w:marTop w:val="0"/>
      <w:marBottom w:val="0"/>
      <w:divBdr>
        <w:top w:val="none" w:sz="0" w:space="0" w:color="auto"/>
        <w:left w:val="none" w:sz="0" w:space="0" w:color="auto"/>
        <w:bottom w:val="none" w:sz="0" w:space="0" w:color="auto"/>
        <w:right w:val="none" w:sz="0" w:space="0" w:color="auto"/>
      </w:divBdr>
    </w:div>
    <w:div w:id="835532554">
      <w:bodyDiv w:val="1"/>
      <w:marLeft w:val="0"/>
      <w:marRight w:val="0"/>
      <w:marTop w:val="0"/>
      <w:marBottom w:val="0"/>
      <w:divBdr>
        <w:top w:val="none" w:sz="0" w:space="0" w:color="auto"/>
        <w:left w:val="none" w:sz="0" w:space="0" w:color="auto"/>
        <w:bottom w:val="none" w:sz="0" w:space="0" w:color="auto"/>
        <w:right w:val="none" w:sz="0" w:space="0" w:color="auto"/>
      </w:divBdr>
    </w:div>
    <w:div w:id="844054567">
      <w:bodyDiv w:val="1"/>
      <w:marLeft w:val="0"/>
      <w:marRight w:val="0"/>
      <w:marTop w:val="0"/>
      <w:marBottom w:val="0"/>
      <w:divBdr>
        <w:top w:val="none" w:sz="0" w:space="0" w:color="auto"/>
        <w:left w:val="none" w:sz="0" w:space="0" w:color="auto"/>
        <w:bottom w:val="none" w:sz="0" w:space="0" w:color="auto"/>
        <w:right w:val="none" w:sz="0" w:space="0" w:color="auto"/>
      </w:divBdr>
    </w:div>
    <w:div w:id="858616208">
      <w:bodyDiv w:val="1"/>
      <w:marLeft w:val="0"/>
      <w:marRight w:val="0"/>
      <w:marTop w:val="0"/>
      <w:marBottom w:val="0"/>
      <w:divBdr>
        <w:top w:val="none" w:sz="0" w:space="0" w:color="auto"/>
        <w:left w:val="none" w:sz="0" w:space="0" w:color="auto"/>
        <w:bottom w:val="none" w:sz="0" w:space="0" w:color="auto"/>
        <w:right w:val="none" w:sz="0" w:space="0" w:color="auto"/>
      </w:divBdr>
    </w:div>
    <w:div w:id="876893351">
      <w:bodyDiv w:val="1"/>
      <w:marLeft w:val="0"/>
      <w:marRight w:val="0"/>
      <w:marTop w:val="0"/>
      <w:marBottom w:val="0"/>
      <w:divBdr>
        <w:top w:val="none" w:sz="0" w:space="0" w:color="auto"/>
        <w:left w:val="none" w:sz="0" w:space="0" w:color="auto"/>
        <w:bottom w:val="none" w:sz="0" w:space="0" w:color="auto"/>
        <w:right w:val="none" w:sz="0" w:space="0" w:color="auto"/>
      </w:divBdr>
    </w:div>
    <w:div w:id="878667591">
      <w:bodyDiv w:val="1"/>
      <w:marLeft w:val="0"/>
      <w:marRight w:val="0"/>
      <w:marTop w:val="0"/>
      <w:marBottom w:val="0"/>
      <w:divBdr>
        <w:top w:val="none" w:sz="0" w:space="0" w:color="auto"/>
        <w:left w:val="none" w:sz="0" w:space="0" w:color="auto"/>
        <w:bottom w:val="none" w:sz="0" w:space="0" w:color="auto"/>
        <w:right w:val="none" w:sz="0" w:space="0" w:color="auto"/>
      </w:divBdr>
    </w:div>
    <w:div w:id="887841134">
      <w:bodyDiv w:val="1"/>
      <w:marLeft w:val="0"/>
      <w:marRight w:val="0"/>
      <w:marTop w:val="0"/>
      <w:marBottom w:val="0"/>
      <w:divBdr>
        <w:top w:val="none" w:sz="0" w:space="0" w:color="auto"/>
        <w:left w:val="none" w:sz="0" w:space="0" w:color="auto"/>
        <w:bottom w:val="none" w:sz="0" w:space="0" w:color="auto"/>
        <w:right w:val="none" w:sz="0" w:space="0" w:color="auto"/>
      </w:divBdr>
    </w:div>
    <w:div w:id="889651519">
      <w:bodyDiv w:val="1"/>
      <w:marLeft w:val="0"/>
      <w:marRight w:val="0"/>
      <w:marTop w:val="0"/>
      <w:marBottom w:val="0"/>
      <w:divBdr>
        <w:top w:val="none" w:sz="0" w:space="0" w:color="auto"/>
        <w:left w:val="none" w:sz="0" w:space="0" w:color="auto"/>
        <w:bottom w:val="none" w:sz="0" w:space="0" w:color="auto"/>
        <w:right w:val="none" w:sz="0" w:space="0" w:color="auto"/>
      </w:divBdr>
    </w:div>
    <w:div w:id="889848470">
      <w:bodyDiv w:val="1"/>
      <w:marLeft w:val="0"/>
      <w:marRight w:val="0"/>
      <w:marTop w:val="0"/>
      <w:marBottom w:val="0"/>
      <w:divBdr>
        <w:top w:val="none" w:sz="0" w:space="0" w:color="auto"/>
        <w:left w:val="none" w:sz="0" w:space="0" w:color="auto"/>
        <w:bottom w:val="none" w:sz="0" w:space="0" w:color="auto"/>
        <w:right w:val="none" w:sz="0" w:space="0" w:color="auto"/>
      </w:divBdr>
    </w:div>
    <w:div w:id="908073691">
      <w:bodyDiv w:val="1"/>
      <w:marLeft w:val="0"/>
      <w:marRight w:val="0"/>
      <w:marTop w:val="0"/>
      <w:marBottom w:val="0"/>
      <w:divBdr>
        <w:top w:val="none" w:sz="0" w:space="0" w:color="auto"/>
        <w:left w:val="none" w:sz="0" w:space="0" w:color="auto"/>
        <w:bottom w:val="none" w:sz="0" w:space="0" w:color="auto"/>
        <w:right w:val="none" w:sz="0" w:space="0" w:color="auto"/>
      </w:divBdr>
    </w:div>
    <w:div w:id="927736494">
      <w:bodyDiv w:val="1"/>
      <w:marLeft w:val="0"/>
      <w:marRight w:val="0"/>
      <w:marTop w:val="0"/>
      <w:marBottom w:val="0"/>
      <w:divBdr>
        <w:top w:val="none" w:sz="0" w:space="0" w:color="auto"/>
        <w:left w:val="none" w:sz="0" w:space="0" w:color="auto"/>
        <w:bottom w:val="none" w:sz="0" w:space="0" w:color="auto"/>
        <w:right w:val="none" w:sz="0" w:space="0" w:color="auto"/>
      </w:divBdr>
    </w:div>
    <w:div w:id="958806245">
      <w:bodyDiv w:val="1"/>
      <w:marLeft w:val="0"/>
      <w:marRight w:val="0"/>
      <w:marTop w:val="0"/>
      <w:marBottom w:val="0"/>
      <w:divBdr>
        <w:top w:val="none" w:sz="0" w:space="0" w:color="auto"/>
        <w:left w:val="none" w:sz="0" w:space="0" w:color="auto"/>
        <w:bottom w:val="none" w:sz="0" w:space="0" w:color="auto"/>
        <w:right w:val="none" w:sz="0" w:space="0" w:color="auto"/>
      </w:divBdr>
    </w:div>
    <w:div w:id="967971648">
      <w:bodyDiv w:val="1"/>
      <w:marLeft w:val="0"/>
      <w:marRight w:val="0"/>
      <w:marTop w:val="0"/>
      <w:marBottom w:val="0"/>
      <w:divBdr>
        <w:top w:val="none" w:sz="0" w:space="0" w:color="auto"/>
        <w:left w:val="none" w:sz="0" w:space="0" w:color="auto"/>
        <w:bottom w:val="none" w:sz="0" w:space="0" w:color="auto"/>
        <w:right w:val="none" w:sz="0" w:space="0" w:color="auto"/>
      </w:divBdr>
    </w:div>
    <w:div w:id="981080844">
      <w:bodyDiv w:val="1"/>
      <w:marLeft w:val="0"/>
      <w:marRight w:val="0"/>
      <w:marTop w:val="0"/>
      <w:marBottom w:val="0"/>
      <w:divBdr>
        <w:top w:val="none" w:sz="0" w:space="0" w:color="auto"/>
        <w:left w:val="none" w:sz="0" w:space="0" w:color="auto"/>
        <w:bottom w:val="none" w:sz="0" w:space="0" w:color="auto"/>
        <w:right w:val="none" w:sz="0" w:space="0" w:color="auto"/>
      </w:divBdr>
    </w:div>
    <w:div w:id="985822933">
      <w:bodyDiv w:val="1"/>
      <w:marLeft w:val="0"/>
      <w:marRight w:val="0"/>
      <w:marTop w:val="0"/>
      <w:marBottom w:val="0"/>
      <w:divBdr>
        <w:top w:val="none" w:sz="0" w:space="0" w:color="auto"/>
        <w:left w:val="none" w:sz="0" w:space="0" w:color="auto"/>
        <w:bottom w:val="none" w:sz="0" w:space="0" w:color="auto"/>
        <w:right w:val="none" w:sz="0" w:space="0" w:color="auto"/>
      </w:divBdr>
    </w:div>
    <w:div w:id="990863035">
      <w:bodyDiv w:val="1"/>
      <w:marLeft w:val="0"/>
      <w:marRight w:val="0"/>
      <w:marTop w:val="0"/>
      <w:marBottom w:val="0"/>
      <w:divBdr>
        <w:top w:val="none" w:sz="0" w:space="0" w:color="auto"/>
        <w:left w:val="none" w:sz="0" w:space="0" w:color="auto"/>
        <w:bottom w:val="none" w:sz="0" w:space="0" w:color="auto"/>
        <w:right w:val="none" w:sz="0" w:space="0" w:color="auto"/>
      </w:divBdr>
    </w:div>
    <w:div w:id="1029381954">
      <w:bodyDiv w:val="1"/>
      <w:marLeft w:val="0"/>
      <w:marRight w:val="0"/>
      <w:marTop w:val="0"/>
      <w:marBottom w:val="0"/>
      <w:divBdr>
        <w:top w:val="none" w:sz="0" w:space="0" w:color="auto"/>
        <w:left w:val="none" w:sz="0" w:space="0" w:color="auto"/>
        <w:bottom w:val="none" w:sz="0" w:space="0" w:color="auto"/>
        <w:right w:val="none" w:sz="0" w:space="0" w:color="auto"/>
      </w:divBdr>
    </w:div>
    <w:div w:id="1056783056">
      <w:bodyDiv w:val="1"/>
      <w:marLeft w:val="0"/>
      <w:marRight w:val="0"/>
      <w:marTop w:val="0"/>
      <w:marBottom w:val="0"/>
      <w:divBdr>
        <w:top w:val="none" w:sz="0" w:space="0" w:color="auto"/>
        <w:left w:val="none" w:sz="0" w:space="0" w:color="auto"/>
        <w:bottom w:val="none" w:sz="0" w:space="0" w:color="auto"/>
        <w:right w:val="none" w:sz="0" w:space="0" w:color="auto"/>
      </w:divBdr>
    </w:div>
    <w:div w:id="1076629553">
      <w:bodyDiv w:val="1"/>
      <w:marLeft w:val="0"/>
      <w:marRight w:val="0"/>
      <w:marTop w:val="0"/>
      <w:marBottom w:val="0"/>
      <w:divBdr>
        <w:top w:val="none" w:sz="0" w:space="0" w:color="auto"/>
        <w:left w:val="none" w:sz="0" w:space="0" w:color="auto"/>
        <w:bottom w:val="none" w:sz="0" w:space="0" w:color="auto"/>
        <w:right w:val="none" w:sz="0" w:space="0" w:color="auto"/>
      </w:divBdr>
    </w:div>
    <w:div w:id="1095513081">
      <w:bodyDiv w:val="1"/>
      <w:marLeft w:val="0"/>
      <w:marRight w:val="0"/>
      <w:marTop w:val="0"/>
      <w:marBottom w:val="0"/>
      <w:divBdr>
        <w:top w:val="none" w:sz="0" w:space="0" w:color="auto"/>
        <w:left w:val="none" w:sz="0" w:space="0" w:color="auto"/>
        <w:bottom w:val="none" w:sz="0" w:space="0" w:color="auto"/>
        <w:right w:val="none" w:sz="0" w:space="0" w:color="auto"/>
      </w:divBdr>
    </w:div>
    <w:div w:id="1101101310">
      <w:bodyDiv w:val="1"/>
      <w:marLeft w:val="0"/>
      <w:marRight w:val="0"/>
      <w:marTop w:val="0"/>
      <w:marBottom w:val="0"/>
      <w:divBdr>
        <w:top w:val="none" w:sz="0" w:space="0" w:color="auto"/>
        <w:left w:val="none" w:sz="0" w:space="0" w:color="auto"/>
        <w:bottom w:val="none" w:sz="0" w:space="0" w:color="auto"/>
        <w:right w:val="none" w:sz="0" w:space="0" w:color="auto"/>
      </w:divBdr>
    </w:div>
    <w:div w:id="1113598610">
      <w:bodyDiv w:val="1"/>
      <w:marLeft w:val="0"/>
      <w:marRight w:val="0"/>
      <w:marTop w:val="0"/>
      <w:marBottom w:val="0"/>
      <w:divBdr>
        <w:top w:val="none" w:sz="0" w:space="0" w:color="auto"/>
        <w:left w:val="none" w:sz="0" w:space="0" w:color="auto"/>
        <w:bottom w:val="none" w:sz="0" w:space="0" w:color="auto"/>
        <w:right w:val="none" w:sz="0" w:space="0" w:color="auto"/>
      </w:divBdr>
    </w:div>
    <w:div w:id="1132215171">
      <w:bodyDiv w:val="1"/>
      <w:marLeft w:val="0"/>
      <w:marRight w:val="0"/>
      <w:marTop w:val="0"/>
      <w:marBottom w:val="0"/>
      <w:divBdr>
        <w:top w:val="none" w:sz="0" w:space="0" w:color="auto"/>
        <w:left w:val="none" w:sz="0" w:space="0" w:color="auto"/>
        <w:bottom w:val="none" w:sz="0" w:space="0" w:color="auto"/>
        <w:right w:val="none" w:sz="0" w:space="0" w:color="auto"/>
      </w:divBdr>
    </w:div>
    <w:div w:id="1135490469">
      <w:bodyDiv w:val="1"/>
      <w:marLeft w:val="0"/>
      <w:marRight w:val="0"/>
      <w:marTop w:val="0"/>
      <w:marBottom w:val="0"/>
      <w:divBdr>
        <w:top w:val="none" w:sz="0" w:space="0" w:color="auto"/>
        <w:left w:val="none" w:sz="0" w:space="0" w:color="auto"/>
        <w:bottom w:val="none" w:sz="0" w:space="0" w:color="auto"/>
        <w:right w:val="none" w:sz="0" w:space="0" w:color="auto"/>
      </w:divBdr>
    </w:div>
    <w:div w:id="1150290912">
      <w:bodyDiv w:val="1"/>
      <w:marLeft w:val="0"/>
      <w:marRight w:val="0"/>
      <w:marTop w:val="0"/>
      <w:marBottom w:val="0"/>
      <w:divBdr>
        <w:top w:val="none" w:sz="0" w:space="0" w:color="auto"/>
        <w:left w:val="none" w:sz="0" w:space="0" w:color="auto"/>
        <w:bottom w:val="none" w:sz="0" w:space="0" w:color="auto"/>
        <w:right w:val="none" w:sz="0" w:space="0" w:color="auto"/>
      </w:divBdr>
    </w:div>
    <w:div w:id="1156190771">
      <w:bodyDiv w:val="1"/>
      <w:marLeft w:val="0"/>
      <w:marRight w:val="0"/>
      <w:marTop w:val="0"/>
      <w:marBottom w:val="0"/>
      <w:divBdr>
        <w:top w:val="none" w:sz="0" w:space="0" w:color="auto"/>
        <w:left w:val="none" w:sz="0" w:space="0" w:color="auto"/>
        <w:bottom w:val="none" w:sz="0" w:space="0" w:color="auto"/>
        <w:right w:val="none" w:sz="0" w:space="0" w:color="auto"/>
      </w:divBdr>
    </w:div>
    <w:div w:id="1160120655">
      <w:bodyDiv w:val="1"/>
      <w:marLeft w:val="0"/>
      <w:marRight w:val="0"/>
      <w:marTop w:val="0"/>
      <w:marBottom w:val="0"/>
      <w:divBdr>
        <w:top w:val="none" w:sz="0" w:space="0" w:color="auto"/>
        <w:left w:val="none" w:sz="0" w:space="0" w:color="auto"/>
        <w:bottom w:val="none" w:sz="0" w:space="0" w:color="auto"/>
        <w:right w:val="none" w:sz="0" w:space="0" w:color="auto"/>
      </w:divBdr>
    </w:div>
    <w:div w:id="1166747813">
      <w:bodyDiv w:val="1"/>
      <w:marLeft w:val="0"/>
      <w:marRight w:val="0"/>
      <w:marTop w:val="0"/>
      <w:marBottom w:val="0"/>
      <w:divBdr>
        <w:top w:val="none" w:sz="0" w:space="0" w:color="auto"/>
        <w:left w:val="none" w:sz="0" w:space="0" w:color="auto"/>
        <w:bottom w:val="none" w:sz="0" w:space="0" w:color="auto"/>
        <w:right w:val="none" w:sz="0" w:space="0" w:color="auto"/>
      </w:divBdr>
    </w:div>
    <w:div w:id="1175681553">
      <w:bodyDiv w:val="1"/>
      <w:marLeft w:val="0"/>
      <w:marRight w:val="0"/>
      <w:marTop w:val="0"/>
      <w:marBottom w:val="0"/>
      <w:divBdr>
        <w:top w:val="none" w:sz="0" w:space="0" w:color="auto"/>
        <w:left w:val="none" w:sz="0" w:space="0" w:color="auto"/>
        <w:bottom w:val="none" w:sz="0" w:space="0" w:color="auto"/>
        <w:right w:val="none" w:sz="0" w:space="0" w:color="auto"/>
      </w:divBdr>
    </w:div>
    <w:div w:id="1201674263">
      <w:bodyDiv w:val="1"/>
      <w:marLeft w:val="0"/>
      <w:marRight w:val="0"/>
      <w:marTop w:val="0"/>
      <w:marBottom w:val="0"/>
      <w:divBdr>
        <w:top w:val="none" w:sz="0" w:space="0" w:color="auto"/>
        <w:left w:val="none" w:sz="0" w:space="0" w:color="auto"/>
        <w:bottom w:val="none" w:sz="0" w:space="0" w:color="auto"/>
        <w:right w:val="none" w:sz="0" w:space="0" w:color="auto"/>
      </w:divBdr>
    </w:div>
    <w:div w:id="1203707389">
      <w:bodyDiv w:val="1"/>
      <w:marLeft w:val="0"/>
      <w:marRight w:val="0"/>
      <w:marTop w:val="0"/>
      <w:marBottom w:val="0"/>
      <w:divBdr>
        <w:top w:val="none" w:sz="0" w:space="0" w:color="auto"/>
        <w:left w:val="none" w:sz="0" w:space="0" w:color="auto"/>
        <w:bottom w:val="none" w:sz="0" w:space="0" w:color="auto"/>
        <w:right w:val="none" w:sz="0" w:space="0" w:color="auto"/>
      </w:divBdr>
    </w:div>
    <w:div w:id="1207261098">
      <w:bodyDiv w:val="1"/>
      <w:marLeft w:val="0"/>
      <w:marRight w:val="0"/>
      <w:marTop w:val="0"/>
      <w:marBottom w:val="0"/>
      <w:divBdr>
        <w:top w:val="none" w:sz="0" w:space="0" w:color="auto"/>
        <w:left w:val="none" w:sz="0" w:space="0" w:color="auto"/>
        <w:bottom w:val="none" w:sz="0" w:space="0" w:color="auto"/>
        <w:right w:val="none" w:sz="0" w:space="0" w:color="auto"/>
      </w:divBdr>
    </w:div>
    <w:div w:id="1224022583">
      <w:bodyDiv w:val="1"/>
      <w:marLeft w:val="0"/>
      <w:marRight w:val="0"/>
      <w:marTop w:val="0"/>
      <w:marBottom w:val="0"/>
      <w:divBdr>
        <w:top w:val="none" w:sz="0" w:space="0" w:color="auto"/>
        <w:left w:val="none" w:sz="0" w:space="0" w:color="auto"/>
        <w:bottom w:val="none" w:sz="0" w:space="0" w:color="auto"/>
        <w:right w:val="none" w:sz="0" w:space="0" w:color="auto"/>
      </w:divBdr>
    </w:div>
    <w:div w:id="1225989762">
      <w:bodyDiv w:val="1"/>
      <w:marLeft w:val="0"/>
      <w:marRight w:val="0"/>
      <w:marTop w:val="0"/>
      <w:marBottom w:val="0"/>
      <w:divBdr>
        <w:top w:val="none" w:sz="0" w:space="0" w:color="auto"/>
        <w:left w:val="none" w:sz="0" w:space="0" w:color="auto"/>
        <w:bottom w:val="none" w:sz="0" w:space="0" w:color="auto"/>
        <w:right w:val="none" w:sz="0" w:space="0" w:color="auto"/>
      </w:divBdr>
    </w:div>
    <w:div w:id="1227301811">
      <w:bodyDiv w:val="1"/>
      <w:marLeft w:val="0"/>
      <w:marRight w:val="0"/>
      <w:marTop w:val="0"/>
      <w:marBottom w:val="0"/>
      <w:divBdr>
        <w:top w:val="none" w:sz="0" w:space="0" w:color="auto"/>
        <w:left w:val="none" w:sz="0" w:space="0" w:color="auto"/>
        <w:bottom w:val="none" w:sz="0" w:space="0" w:color="auto"/>
        <w:right w:val="none" w:sz="0" w:space="0" w:color="auto"/>
      </w:divBdr>
    </w:div>
    <w:div w:id="1227491263">
      <w:bodyDiv w:val="1"/>
      <w:marLeft w:val="0"/>
      <w:marRight w:val="0"/>
      <w:marTop w:val="0"/>
      <w:marBottom w:val="0"/>
      <w:divBdr>
        <w:top w:val="none" w:sz="0" w:space="0" w:color="auto"/>
        <w:left w:val="none" w:sz="0" w:space="0" w:color="auto"/>
        <w:bottom w:val="none" w:sz="0" w:space="0" w:color="auto"/>
        <w:right w:val="none" w:sz="0" w:space="0" w:color="auto"/>
      </w:divBdr>
    </w:div>
    <w:div w:id="1235967265">
      <w:bodyDiv w:val="1"/>
      <w:marLeft w:val="0"/>
      <w:marRight w:val="0"/>
      <w:marTop w:val="0"/>
      <w:marBottom w:val="0"/>
      <w:divBdr>
        <w:top w:val="none" w:sz="0" w:space="0" w:color="auto"/>
        <w:left w:val="none" w:sz="0" w:space="0" w:color="auto"/>
        <w:bottom w:val="none" w:sz="0" w:space="0" w:color="auto"/>
        <w:right w:val="none" w:sz="0" w:space="0" w:color="auto"/>
      </w:divBdr>
    </w:div>
    <w:div w:id="1236821332">
      <w:bodyDiv w:val="1"/>
      <w:marLeft w:val="0"/>
      <w:marRight w:val="0"/>
      <w:marTop w:val="0"/>
      <w:marBottom w:val="0"/>
      <w:divBdr>
        <w:top w:val="none" w:sz="0" w:space="0" w:color="auto"/>
        <w:left w:val="none" w:sz="0" w:space="0" w:color="auto"/>
        <w:bottom w:val="none" w:sz="0" w:space="0" w:color="auto"/>
        <w:right w:val="none" w:sz="0" w:space="0" w:color="auto"/>
      </w:divBdr>
    </w:div>
    <w:div w:id="1255212536">
      <w:bodyDiv w:val="1"/>
      <w:marLeft w:val="0"/>
      <w:marRight w:val="0"/>
      <w:marTop w:val="0"/>
      <w:marBottom w:val="0"/>
      <w:divBdr>
        <w:top w:val="none" w:sz="0" w:space="0" w:color="auto"/>
        <w:left w:val="none" w:sz="0" w:space="0" w:color="auto"/>
        <w:bottom w:val="none" w:sz="0" w:space="0" w:color="auto"/>
        <w:right w:val="none" w:sz="0" w:space="0" w:color="auto"/>
      </w:divBdr>
    </w:div>
    <w:div w:id="1262910249">
      <w:bodyDiv w:val="1"/>
      <w:marLeft w:val="0"/>
      <w:marRight w:val="0"/>
      <w:marTop w:val="0"/>
      <w:marBottom w:val="0"/>
      <w:divBdr>
        <w:top w:val="none" w:sz="0" w:space="0" w:color="auto"/>
        <w:left w:val="none" w:sz="0" w:space="0" w:color="auto"/>
        <w:bottom w:val="none" w:sz="0" w:space="0" w:color="auto"/>
        <w:right w:val="none" w:sz="0" w:space="0" w:color="auto"/>
      </w:divBdr>
    </w:div>
    <w:div w:id="1282296876">
      <w:bodyDiv w:val="1"/>
      <w:marLeft w:val="0"/>
      <w:marRight w:val="0"/>
      <w:marTop w:val="0"/>
      <w:marBottom w:val="0"/>
      <w:divBdr>
        <w:top w:val="none" w:sz="0" w:space="0" w:color="auto"/>
        <w:left w:val="none" w:sz="0" w:space="0" w:color="auto"/>
        <w:bottom w:val="none" w:sz="0" w:space="0" w:color="auto"/>
        <w:right w:val="none" w:sz="0" w:space="0" w:color="auto"/>
      </w:divBdr>
    </w:div>
    <w:div w:id="1283076644">
      <w:bodyDiv w:val="1"/>
      <w:marLeft w:val="0"/>
      <w:marRight w:val="0"/>
      <w:marTop w:val="0"/>
      <w:marBottom w:val="0"/>
      <w:divBdr>
        <w:top w:val="none" w:sz="0" w:space="0" w:color="auto"/>
        <w:left w:val="none" w:sz="0" w:space="0" w:color="auto"/>
        <w:bottom w:val="none" w:sz="0" w:space="0" w:color="auto"/>
        <w:right w:val="none" w:sz="0" w:space="0" w:color="auto"/>
      </w:divBdr>
    </w:div>
    <w:div w:id="1314094778">
      <w:bodyDiv w:val="1"/>
      <w:marLeft w:val="0"/>
      <w:marRight w:val="0"/>
      <w:marTop w:val="0"/>
      <w:marBottom w:val="0"/>
      <w:divBdr>
        <w:top w:val="none" w:sz="0" w:space="0" w:color="auto"/>
        <w:left w:val="none" w:sz="0" w:space="0" w:color="auto"/>
        <w:bottom w:val="none" w:sz="0" w:space="0" w:color="auto"/>
        <w:right w:val="none" w:sz="0" w:space="0" w:color="auto"/>
      </w:divBdr>
    </w:div>
    <w:div w:id="1315183336">
      <w:bodyDiv w:val="1"/>
      <w:marLeft w:val="0"/>
      <w:marRight w:val="0"/>
      <w:marTop w:val="0"/>
      <w:marBottom w:val="0"/>
      <w:divBdr>
        <w:top w:val="none" w:sz="0" w:space="0" w:color="auto"/>
        <w:left w:val="none" w:sz="0" w:space="0" w:color="auto"/>
        <w:bottom w:val="none" w:sz="0" w:space="0" w:color="auto"/>
        <w:right w:val="none" w:sz="0" w:space="0" w:color="auto"/>
      </w:divBdr>
    </w:div>
    <w:div w:id="1316370312">
      <w:bodyDiv w:val="1"/>
      <w:marLeft w:val="0"/>
      <w:marRight w:val="0"/>
      <w:marTop w:val="0"/>
      <w:marBottom w:val="0"/>
      <w:divBdr>
        <w:top w:val="none" w:sz="0" w:space="0" w:color="auto"/>
        <w:left w:val="none" w:sz="0" w:space="0" w:color="auto"/>
        <w:bottom w:val="none" w:sz="0" w:space="0" w:color="auto"/>
        <w:right w:val="none" w:sz="0" w:space="0" w:color="auto"/>
      </w:divBdr>
    </w:div>
    <w:div w:id="1322540612">
      <w:bodyDiv w:val="1"/>
      <w:marLeft w:val="0"/>
      <w:marRight w:val="0"/>
      <w:marTop w:val="0"/>
      <w:marBottom w:val="0"/>
      <w:divBdr>
        <w:top w:val="none" w:sz="0" w:space="0" w:color="auto"/>
        <w:left w:val="none" w:sz="0" w:space="0" w:color="auto"/>
        <w:bottom w:val="none" w:sz="0" w:space="0" w:color="auto"/>
        <w:right w:val="none" w:sz="0" w:space="0" w:color="auto"/>
      </w:divBdr>
    </w:div>
    <w:div w:id="1330405409">
      <w:bodyDiv w:val="1"/>
      <w:marLeft w:val="0"/>
      <w:marRight w:val="0"/>
      <w:marTop w:val="0"/>
      <w:marBottom w:val="0"/>
      <w:divBdr>
        <w:top w:val="none" w:sz="0" w:space="0" w:color="auto"/>
        <w:left w:val="none" w:sz="0" w:space="0" w:color="auto"/>
        <w:bottom w:val="none" w:sz="0" w:space="0" w:color="auto"/>
        <w:right w:val="none" w:sz="0" w:space="0" w:color="auto"/>
      </w:divBdr>
    </w:div>
    <w:div w:id="1338924388">
      <w:bodyDiv w:val="1"/>
      <w:marLeft w:val="0"/>
      <w:marRight w:val="0"/>
      <w:marTop w:val="0"/>
      <w:marBottom w:val="0"/>
      <w:divBdr>
        <w:top w:val="none" w:sz="0" w:space="0" w:color="auto"/>
        <w:left w:val="none" w:sz="0" w:space="0" w:color="auto"/>
        <w:bottom w:val="none" w:sz="0" w:space="0" w:color="auto"/>
        <w:right w:val="none" w:sz="0" w:space="0" w:color="auto"/>
      </w:divBdr>
    </w:div>
    <w:div w:id="1354307066">
      <w:bodyDiv w:val="1"/>
      <w:marLeft w:val="0"/>
      <w:marRight w:val="0"/>
      <w:marTop w:val="0"/>
      <w:marBottom w:val="0"/>
      <w:divBdr>
        <w:top w:val="none" w:sz="0" w:space="0" w:color="auto"/>
        <w:left w:val="none" w:sz="0" w:space="0" w:color="auto"/>
        <w:bottom w:val="none" w:sz="0" w:space="0" w:color="auto"/>
        <w:right w:val="none" w:sz="0" w:space="0" w:color="auto"/>
      </w:divBdr>
    </w:div>
    <w:div w:id="1370185702">
      <w:bodyDiv w:val="1"/>
      <w:marLeft w:val="0"/>
      <w:marRight w:val="0"/>
      <w:marTop w:val="0"/>
      <w:marBottom w:val="0"/>
      <w:divBdr>
        <w:top w:val="none" w:sz="0" w:space="0" w:color="auto"/>
        <w:left w:val="none" w:sz="0" w:space="0" w:color="auto"/>
        <w:bottom w:val="none" w:sz="0" w:space="0" w:color="auto"/>
        <w:right w:val="none" w:sz="0" w:space="0" w:color="auto"/>
      </w:divBdr>
    </w:div>
    <w:div w:id="1384138871">
      <w:bodyDiv w:val="1"/>
      <w:marLeft w:val="0"/>
      <w:marRight w:val="0"/>
      <w:marTop w:val="0"/>
      <w:marBottom w:val="0"/>
      <w:divBdr>
        <w:top w:val="none" w:sz="0" w:space="0" w:color="auto"/>
        <w:left w:val="none" w:sz="0" w:space="0" w:color="auto"/>
        <w:bottom w:val="none" w:sz="0" w:space="0" w:color="auto"/>
        <w:right w:val="none" w:sz="0" w:space="0" w:color="auto"/>
      </w:divBdr>
    </w:div>
    <w:div w:id="1384211602">
      <w:bodyDiv w:val="1"/>
      <w:marLeft w:val="0"/>
      <w:marRight w:val="0"/>
      <w:marTop w:val="0"/>
      <w:marBottom w:val="0"/>
      <w:divBdr>
        <w:top w:val="none" w:sz="0" w:space="0" w:color="auto"/>
        <w:left w:val="none" w:sz="0" w:space="0" w:color="auto"/>
        <w:bottom w:val="none" w:sz="0" w:space="0" w:color="auto"/>
        <w:right w:val="none" w:sz="0" w:space="0" w:color="auto"/>
      </w:divBdr>
    </w:div>
    <w:div w:id="1386299669">
      <w:bodyDiv w:val="1"/>
      <w:marLeft w:val="0"/>
      <w:marRight w:val="0"/>
      <w:marTop w:val="0"/>
      <w:marBottom w:val="0"/>
      <w:divBdr>
        <w:top w:val="none" w:sz="0" w:space="0" w:color="auto"/>
        <w:left w:val="none" w:sz="0" w:space="0" w:color="auto"/>
        <w:bottom w:val="none" w:sz="0" w:space="0" w:color="auto"/>
        <w:right w:val="none" w:sz="0" w:space="0" w:color="auto"/>
      </w:divBdr>
    </w:div>
    <w:div w:id="1388187349">
      <w:bodyDiv w:val="1"/>
      <w:marLeft w:val="0"/>
      <w:marRight w:val="0"/>
      <w:marTop w:val="0"/>
      <w:marBottom w:val="0"/>
      <w:divBdr>
        <w:top w:val="none" w:sz="0" w:space="0" w:color="auto"/>
        <w:left w:val="none" w:sz="0" w:space="0" w:color="auto"/>
        <w:bottom w:val="none" w:sz="0" w:space="0" w:color="auto"/>
        <w:right w:val="none" w:sz="0" w:space="0" w:color="auto"/>
      </w:divBdr>
    </w:div>
    <w:div w:id="1409157006">
      <w:bodyDiv w:val="1"/>
      <w:marLeft w:val="0"/>
      <w:marRight w:val="0"/>
      <w:marTop w:val="0"/>
      <w:marBottom w:val="0"/>
      <w:divBdr>
        <w:top w:val="none" w:sz="0" w:space="0" w:color="auto"/>
        <w:left w:val="none" w:sz="0" w:space="0" w:color="auto"/>
        <w:bottom w:val="none" w:sz="0" w:space="0" w:color="auto"/>
        <w:right w:val="none" w:sz="0" w:space="0" w:color="auto"/>
      </w:divBdr>
    </w:div>
    <w:div w:id="1413969055">
      <w:bodyDiv w:val="1"/>
      <w:marLeft w:val="0"/>
      <w:marRight w:val="0"/>
      <w:marTop w:val="0"/>
      <w:marBottom w:val="0"/>
      <w:divBdr>
        <w:top w:val="none" w:sz="0" w:space="0" w:color="auto"/>
        <w:left w:val="none" w:sz="0" w:space="0" w:color="auto"/>
        <w:bottom w:val="none" w:sz="0" w:space="0" w:color="auto"/>
        <w:right w:val="none" w:sz="0" w:space="0" w:color="auto"/>
      </w:divBdr>
    </w:div>
    <w:div w:id="1424456747">
      <w:bodyDiv w:val="1"/>
      <w:marLeft w:val="0"/>
      <w:marRight w:val="0"/>
      <w:marTop w:val="0"/>
      <w:marBottom w:val="0"/>
      <w:divBdr>
        <w:top w:val="none" w:sz="0" w:space="0" w:color="auto"/>
        <w:left w:val="none" w:sz="0" w:space="0" w:color="auto"/>
        <w:bottom w:val="none" w:sz="0" w:space="0" w:color="auto"/>
        <w:right w:val="none" w:sz="0" w:space="0" w:color="auto"/>
      </w:divBdr>
    </w:div>
    <w:div w:id="1427262874">
      <w:bodyDiv w:val="1"/>
      <w:marLeft w:val="0"/>
      <w:marRight w:val="0"/>
      <w:marTop w:val="0"/>
      <w:marBottom w:val="0"/>
      <w:divBdr>
        <w:top w:val="none" w:sz="0" w:space="0" w:color="auto"/>
        <w:left w:val="none" w:sz="0" w:space="0" w:color="auto"/>
        <w:bottom w:val="none" w:sz="0" w:space="0" w:color="auto"/>
        <w:right w:val="none" w:sz="0" w:space="0" w:color="auto"/>
      </w:divBdr>
    </w:div>
    <w:div w:id="1449356820">
      <w:bodyDiv w:val="1"/>
      <w:marLeft w:val="0"/>
      <w:marRight w:val="0"/>
      <w:marTop w:val="0"/>
      <w:marBottom w:val="0"/>
      <w:divBdr>
        <w:top w:val="none" w:sz="0" w:space="0" w:color="auto"/>
        <w:left w:val="none" w:sz="0" w:space="0" w:color="auto"/>
        <w:bottom w:val="none" w:sz="0" w:space="0" w:color="auto"/>
        <w:right w:val="none" w:sz="0" w:space="0" w:color="auto"/>
      </w:divBdr>
    </w:div>
    <w:div w:id="1450079465">
      <w:bodyDiv w:val="1"/>
      <w:marLeft w:val="0"/>
      <w:marRight w:val="0"/>
      <w:marTop w:val="0"/>
      <w:marBottom w:val="0"/>
      <w:divBdr>
        <w:top w:val="none" w:sz="0" w:space="0" w:color="auto"/>
        <w:left w:val="none" w:sz="0" w:space="0" w:color="auto"/>
        <w:bottom w:val="none" w:sz="0" w:space="0" w:color="auto"/>
        <w:right w:val="none" w:sz="0" w:space="0" w:color="auto"/>
      </w:divBdr>
    </w:div>
    <w:div w:id="1451360441">
      <w:bodyDiv w:val="1"/>
      <w:marLeft w:val="0"/>
      <w:marRight w:val="0"/>
      <w:marTop w:val="0"/>
      <w:marBottom w:val="0"/>
      <w:divBdr>
        <w:top w:val="none" w:sz="0" w:space="0" w:color="auto"/>
        <w:left w:val="none" w:sz="0" w:space="0" w:color="auto"/>
        <w:bottom w:val="none" w:sz="0" w:space="0" w:color="auto"/>
        <w:right w:val="none" w:sz="0" w:space="0" w:color="auto"/>
      </w:divBdr>
    </w:div>
    <w:div w:id="1454205266">
      <w:bodyDiv w:val="1"/>
      <w:marLeft w:val="0"/>
      <w:marRight w:val="0"/>
      <w:marTop w:val="0"/>
      <w:marBottom w:val="0"/>
      <w:divBdr>
        <w:top w:val="none" w:sz="0" w:space="0" w:color="auto"/>
        <w:left w:val="none" w:sz="0" w:space="0" w:color="auto"/>
        <w:bottom w:val="none" w:sz="0" w:space="0" w:color="auto"/>
        <w:right w:val="none" w:sz="0" w:space="0" w:color="auto"/>
      </w:divBdr>
    </w:div>
    <w:div w:id="1469126128">
      <w:bodyDiv w:val="1"/>
      <w:marLeft w:val="0"/>
      <w:marRight w:val="0"/>
      <w:marTop w:val="0"/>
      <w:marBottom w:val="0"/>
      <w:divBdr>
        <w:top w:val="none" w:sz="0" w:space="0" w:color="auto"/>
        <w:left w:val="none" w:sz="0" w:space="0" w:color="auto"/>
        <w:bottom w:val="none" w:sz="0" w:space="0" w:color="auto"/>
        <w:right w:val="none" w:sz="0" w:space="0" w:color="auto"/>
      </w:divBdr>
    </w:div>
    <w:div w:id="1470514430">
      <w:bodyDiv w:val="1"/>
      <w:marLeft w:val="0"/>
      <w:marRight w:val="0"/>
      <w:marTop w:val="0"/>
      <w:marBottom w:val="0"/>
      <w:divBdr>
        <w:top w:val="none" w:sz="0" w:space="0" w:color="auto"/>
        <w:left w:val="none" w:sz="0" w:space="0" w:color="auto"/>
        <w:bottom w:val="none" w:sz="0" w:space="0" w:color="auto"/>
        <w:right w:val="none" w:sz="0" w:space="0" w:color="auto"/>
      </w:divBdr>
    </w:div>
    <w:div w:id="1477331789">
      <w:bodyDiv w:val="1"/>
      <w:marLeft w:val="0"/>
      <w:marRight w:val="0"/>
      <w:marTop w:val="0"/>
      <w:marBottom w:val="0"/>
      <w:divBdr>
        <w:top w:val="none" w:sz="0" w:space="0" w:color="auto"/>
        <w:left w:val="none" w:sz="0" w:space="0" w:color="auto"/>
        <w:bottom w:val="none" w:sz="0" w:space="0" w:color="auto"/>
        <w:right w:val="none" w:sz="0" w:space="0" w:color="auto"/>
      </w:divBdr>
    </w:div>
    <w:div w:id="1477989735">
      <w:bodyDiv w:val="1"/>
      <w:marLeft w:val="0"/>
      <w:marRight w:val="0"/>
      <w:marTop w:val="0"/>
      <w:marBottom w:val="0"/>
      <w:divBdr>
        <w:top w:val="none" w:sz="0" w:space="0" w:color="auto"/>
        <w:left w:val="none" w:sz="0" w:space="0" w:color="auto"/>
        <w:bottom w:val="none" w:sz="0" w:space="0" w:color="auto"/>
        <w:right w:val="none" w:sz="0" w:space="0" w:color="auto"/>
      </w:divBdr>
    </w:div>
    <w:div w:id="1502427725">
      <w:bodyDiv w:val="1"/>
      <w:marLeft w:val="0"/>
      <w:marRight w:val="0"/>
      <w:marTop w:val="0"/>
      <w:marBottom w:val="0"/>
      <w:divBdr>
        <w:top w:val="none" w:sz="0" w:space="0" w:color="auto"/>
        <w:left w:val="none" w:sz="0" w:space="0" w:color="auto"/>
        <w:bottom w:val="none" w:sz="0" w:space="0" w:color="auto"/>
        <w:right w:val="none" w:sz="0" w:space="0" w:color="auto"/>
      </w:divBdr>
    </w:div>
    <w:div w:id="1559364615">
      <w:bodyDiv w:val="1"/>
      <w:marLeft w:val="0"/>
      <w:marRight w:val="0"/>
      <w:marTop w:val="0"/>
      <w:marBottom w:val="0"/>
      <w:divBdr>
        <w:top w:val="none" w:sz="0" w:space="0" w:color="auto"/>
        <w:left w:val="none" w:sz="0" w:space="0" w:color="auto"/>
        <w:bottom w:val="none" w:sz="0" w:space="0" w:color="auto"/>
        <w:right w:val="none" w:sz="0" w:space="0" w:color="auto"/>
      </w:divBdr>
    </w:div>
    <w:div w:id="1563251022">
      <w:bodyDiv w:val="1"/>
      <w:marLeft w:val="0"/>
      <w:marRight w:val="0"/>
      <w:marTop w:val="0"/>
      <w:marBottom w:val="0"/>
      <w:divBdr>
        <w:top w:val="none" w:sz="0" w:space="0" w:color="auto"/>
        <w:left w:val="none" w:sz="0" w:space="0" w:color="auto"/>
        <w:bottom w:val="none" w:sz="0" w:space="0" w:color="auto"/>
        <w:right w:val="none" w:sz="0" w:space="0" w:color="auto"/>
      </w:divBdr>
    </w:div>
    <w:div w:id="1567375539">
      <w:bodyDiv w:val="1"/>
      <w:marLeft w:val="0"/>
      <w:marRight w:val="0"/>
      <w:marTop w:val="0"/>
      <w:marBottom w:val="0"/>
      <w:divBdr>
        <w:top w:val="none" w:sz="0" w:space="0" w:color="auto"/>
        <w:left w:val="none" w:sz="0" w:space="0" w:color="auto"/>
        <w:bottom w:val="none" w:sz="0" w:space="0" w:color="auto"/>
        <w:right w:val="none" w:sz="0" w:space="0" w:color="auto"/>
      </w:divBdr>
    </w:div>
    <w:div w:id="1567498248">
      <w:bodyDiv w:val="1"/>
      <w:marLeft w:val="0"/>
      <w:marRight w:val="0"/>
      <w:marTop w:val="0"/>
      <w:marBottom w:val="0"/>
      <w:divBdr>
        <w:top w:val="none" w:sz="0" w:space="0" w:color="auto"/>
        <w:left w:val="none" w:sz="0" w:space="0" w:color="auto"/>
        <w:bottom w:val="none" w:sz="0" w:space="0" w:color="auto"/>
        <w:right w:val="none" w:sz="0" w:space="0" w:color="auto"/>
      </w:divBdr>
    </w:div>
    <w:div w:id="1588491943">
      <w:bodyDiv w:val="1"/>
      <w:marLeft w:val="0"/>
      <w:marRight w:val="0"/>
      <w:marTop w:val="0"/>
      <w:marBottom w:val="0"/>
      <w:divBdr>
        <w:top w:val="none" w:sz="0" w:space="0" w:color="auto"/>
        <w:left w:val="none" w:sz="0" w:space="0" w:color="auto"/>
        <w:bottom w:val="none" w:sz="0" w:space="0" w:color="auto"/>
        <w:right w:val="none" w:sz="0" w:space="0" w:color="auto"/>
      </w:divBdr>
    </w:div>
    <w:div w:id="1590457819">
      <w:bodyDiv w:val="1"/>
      <w:marLeft w:val="0"/>
      <w:marRight w:val="0"/>
      <w:marTop w:val="0"/>
      <w:marBottom w:val="0"/>
      <w:divBdr>
        <w:top w:val="none" w:sz="0" w:space="0" w:color="auto"/>
        <w:left w:val="none" w:sz="0" w:space="0" w:color="auto"/>
        <w:bottom w:val="none" w:sz="0" w:space="0" w:color="auto"/>
        <w:right w:val="none" w:sz="0" w:space="0" w:color="auto"/>
      </w:divBdr>
    </w:div>
    <w:div w:id="1595819943">
      <w:bodyDiv w:val="1"/>
      <w:marLeft w:val="0"/>
      <w:marRight w:val="0"/>
      <w:marTop w:val="0"/>
      <w:marBottom w:val="0"/>
      <w:divBdr>
        <w:top w:val="none" w:sz="0" w:space="0" w:color="auto"/>
        <w:left w:val="none" w:sz="0" w:space="0" w:color="auto"/>
        <w:bottom w:val="none" w:sz="0" w:space="0" w:color="auto"/>
        <w:right w:val="none" w:sz="0" w:space="0" w:color="auto"/>
      </w:divBdr>
    </w:div>
    <w:div w:id="1615282017">
      <w:bodyDiv w:val="1"/>
      <w:marLeft w:val="0"/>
      <w:marRight w:val="0"/>
      <w:marTop w:val="0"/>
      <w:marBottom w:val="0"/>
      <w:divBdr>
        <w:top w:val="none" w:sz="0" w:space="0" w:color="auto"/>
        <w:left w:val="none" w:sz="0" w:space="0" w:color="auto"/>
        <w:bottom w:val="none" w:sz="0" w:space="0" w:color="auto"/>
        <w:right w:val="none" w:sz="0" w:space="0" w:color="auto"/>
      </w:divBdr>
    </w:div>
    <w:div w:id="1616792386">
      <w:bodyDiv w:val="1"/>
      <w:marLeft w:val="0"/>
      <w:marRight w:val="0"/>
      <w:marTop w:val="0"/>
      <w:marBottom w:val="0"/>
      <w:divBdr>
        <w:top w:val="none" w:sz="0" w:space="0" w:color="auto"/>
        <w:left w:val="none" w:sz="0" w:space="0" w:color="auto"/>
        <w:bottom w:val="none" w:sz="0" w:space="0" w:color="auto"/>
        <w:right w:val="none" w:sz="0" w:space="0" w:color="auto"/>
      </w:divBdr>
    </w:div>
    <w:div w:id="1634557326">
      <w:bodyDiv w:val="1"/>
      <w:marLeft w:val="0"/>
      <w:marRight w:val="0"/>
      <w:marTop w:val="0"/>
      <w:marBottom w:val="0"/>
      <w:divBdr>
        <w:top w:val="none" w:sz="0" w:space="0" w:color="auto"/>
        <w:left w:val="none" w:sz="0" w:space="0" w:color="auto"/>
        <w:bottom w:val="none" w:sz="0" w:space="0" w:color="auto"/>
        <w:right w:val="none" w:sz="0" w:space="0" w:color="auto"/>
      </w:divBdr>
    </w:div>
    <w:div w:id="1647541923">
      <w:bodyDiv w:val="1"/>
      <w:marLeft w:val="0"/>
      <w:marRight w:val="0"/>
      <w:marTop w:val="0"/>
      <w:marBottom w:val="0"/>
      <w:divBdr>
        <w:top w:val="none" w:sz="0" w:space="0" w:color="auto"/>
        <w:left w:val="none" w:sz="0" w:space="0" w:color="auto"/>
        <w:bottom w:val="none" w:sz="0" w:space="0" w:color="auto"/>
        <w:right w:val="none" w:sz="0" w:space="0" w:color="auto"/>
      </w:divBdr>
    </w:div>
    <w:div w:id="1648121279">
      <w:bodyDiv w:val="1"/>
      <w:marLeft w:val="0"/>
      <w:marRight w:val="0"/>
      <w:marTop w:val="0"/>
      <w:marBottom w:val="0"/>
      <w:divBdr>
        <w:top w:val="none" w:sz="0" w:space="0" w:color="auto"/>
        <w:left w:val="none" w:sz="0" w:space="0" w:color="auto"/>
        <w:bottom w:val="none" w:sz="0" w:space="0" w:color="auto"/>
        <w:right w:val="none" w:sz="0" w:space="0" w:color="auto"/>
      </w:divBdr>
    </w:div>
    <w:div w:id="1648590302">
      <w:bodyDiv w:val="1"/>
      <w:marLeft w:val="0"/>
      <w:marRight w:val="0"/>
      <w:marTop w:val="0"/>
      <w:marBottom w:val="0"/>
      <w:divBdr>
        <w:top w:val="none" w:sz="0" w:space="0" w:color="auto"/>
        <w:left w:val="none" w:sz="0" w:space="0" w:color="auto"/>
        <w:bottom w:val="none" w:sz="0" w:space="0" w:color="auto"/>
        <w:right w:val="none" w:sz="0" w:space="0" w:color="auto"/>
      </w:divBdr>
    </w:div>
    <w:div w:id="1672483004">
      <w:bodyDiv w:val="1"/>
      <w:marLeft w:val="0"/>
      <w:marRight w:val="0"/>
      <w:marTop w:val="0"/>
      <w:marBottom w:val="0"/>
      <w:divBdr>
        <w:top w:val="none" w:sz="0" w:space="0" w:color="auto"/>
        <w:left w:val="none" w:sz="0" w:space="0" w:color="auto"/>
        <w:bottom w:val="none" w:sz="0" w:space="0" w:color="auto"/>
        <w:right w:val="none" w:sz="0" w:space="0" w:color="auto"/>
      </w:divBdr>
    </w:div>
    <w:div w:id="1673803046">
      <w:bodyDiv w:val="1"/>
      <w:marLeft w:val="0"/>
      <w:marRight w:val="0"/>
      <w:marTop w:val="0"/>
      <w:marBottom w:val="0"/>
      <w:divBdr>
        <w:top w:val="none" w:sz="0" w:space="0" w:color="auto"/>
        <w:left w:val="none" w:sz="0" w:space="0" w:color="auto"/>
        <w:bottom w:val="none" w:sz="0" w:space="0" w:color="auto"/>
        <w:right w:val="none" w:sz="0" w:space="0" w:color="auto"/>
      </w:divBdr>
    </w:div>
    <w:div w:id="1689942197">
      <w:bodyDiv w:val="1"/>
      <w:marLeft w:val="0"/>
      <w:marRight w:val="0"/>
      <w:marTop w:val="0"/>
      <w:marBottom w:val="0"/>
      <w:divBdr>
        <w:top w:val="none" w:sz="0" w:space="0" w:color="auto"/>
        <w:left w:val="none" w:sz="0" w:space="0" w:color="auto"/>
        <w:bottom w:val="none" w:sz="0" w:space="0" w:color="auto"/>
        <w:right w:val="none" w:sz="0" w:space="0" w:color="auto"/>
      </w:divBdr>
    </w:div>
    <w:div w:id="1708404801">
      <w:bodyDiv w:val="1"/>
      <w:marLeft w:val="0"/>
      <w:marRight w:val="0"/>
      <w:marTop w:val="0"/>
      <w:marBottom w:val="0"/>
      <w:divBdr>
        <w:top w:val="none" w:sz="0" w:space="0" w:color="auto"/>
        <w:left w:val="none" w:sz="0" w:space="0" w:color="auto"/>
        <w:bottom w:val="none" w:sz="0" w:space="0" w:color="auto"/>
        <w:right w:val="none" w:sz="0" w:space="0" w:color="auto"/>
      </w:divBdr>
    </w:div>
    <w:div w:id="1712029027">
      <w:bodyDiv w:val="1"/>
      <w:marLeft w:val="0"/>
      <w:marRight w:val="0"/>
      <w:marTop w:val="0"/>
      <w:marBottom w:val="0"/>
      <w:divBdr>
        <w:top w:val="none" w:sz="0" w:space="0" w:color="auto"/>
        <w:left w:val="none" w:sz="0" w:space="0" w:color="auto"/>
        <w:bottom w:val="none" w:sz="0" w:space="0" w:color="auto"/>
        <w:right w:val="none" w:sz="0" w:space="0" w:color="auto"/>
      </w:divBdr>
    </w:div>
    <w:div w:id="1738437178">
      <w:bodyDiv w:val="1"/>
      <w:marLeft w:val="0"/>
      <w:marRight w:val="0"/>
      <w:marTop w:val="0"/>
      <w:marBottom w:val="0"/>
      <w:divBdr>
        <w:top w:val="none" w:sz="0" w:space="0" w:color="auto"/>
        <w:left w:val="none" w:sz="0" w:space="0" w:color="auto"/>
        <w:bottom w:val="none" w:sz="0" w:space="0" w:color="auto"/>
        <w:right w:val="none" w:sz="0" w:space="0" w:color="auto"/>
      </w:divBdr>
    </w:div>
    <w:div w:id="1741830810">
      <w:bodyDiv w:val="1"/>
      <w:marLeft w:val="0"/>
      <w:marRight w:val="0"/>
      <w:marTop w:val="0"/>
      <w:marBottom w:val="0"/>
      <w:divBdr>
        <w:top w:val="none" w:sz="0" w:space="0" w:color="auto"/>
        <w:left w:val="none" w:sz="0" w:space="0" w:color="auto"/>
        <w:bottom w:val="none" w:sz="0" w:space="0" w:color="auto"/>
        <w:right w:val="none" w:sz="0" w:space="0" w:color="auto"/>
      </w:divBdr>
    </w:div>
    <w:div w:id="1751541143">
      <w:bodyDiv w:val="1"/>
      <w:marLeft w:val="0"/>
      <w:marRight w:val="0"/>
      <w:marTop w:val="0"/>
      <w:marBottom w:val="0"/>
      <w:divBdr>
        <w:top w:val="none" w:sz="0" w:space="0" w:color="auto"/>
        <w:left w:val="none" w:sz="0" w:space="0" w:color="auto"/>
        <w:bottom w:val="none" w:sz="0" w:space="0" w:color="auto"/>
        <w:right w:val="none" w:sz="0" w:space="0" w:color="auto"/>
      </w:divBdr>
    </w:div>
    <w:div w:id="1752309462">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
    <w:div w:id="1796019619">
      <w:bodyDiv w:val="1"/>
      <w:marLeft w:val="0"/>
      <w:marRight w:val="0"/>
      <w:marTop w:val="0"/>
      <w:marBottom w:val="0"/>
      <w:divBdr>
        <w:top w:val="none" w:sz="0" w:space="0" w:color="auto"/>
        <w:left w:val="none" w:sz="0" w:space="0" w:color="auto"/>
        <w:bottom w:val="none" w:sz="0" w:space="0" w:color="auto"/>
        <w:right w:val="none" w:sz="0" w:space="0" w:color="auto"/>
      </w:divBdr>
    </w:div>
    <w:div w:id="1809200875">
      <w:bodyDiv w:val="1"/>
      <w:marLeft w:val="0"/>
      <w:marRight w:val="0"/>
      <w:marTop w:val="0"/>
      <w:marBottom w:val="0"/>
      <w:divBdr>
        <w:top w:val="none" w:sz="0" w:space="0" w:color="auto"/>
        <w:left w:val="none" w:sz="0" w:space="0" w:color="auto"/>
        <w:bottom w:val="none" w:sz="0" w:space="0" w:color="auto"/>
        <w:right w:val="none" w:sz="0" w:space="0" w:color="auto"/>
      </w:divBdr>
    </w:div>
    <w:div w:id="1813789841">
      <w:bodyDiv w:val="1"/>
      <w:marLeft w:val="0"/>
      <w:marRight w:val="0"/>
      <w:marTop w:val="0"/>
      <w:marBottom w:val="0"/>
      <w:divBdr>
        <w:top w:val="none" w:sz="0" w:space="0" w:color="auto"/>
        <w:left w:val="none" w:sz="0" w:space="0" w:color="auto"/>
        <w:bottom w:val="none" w:sz="0" w:space="0" w:color="auto"/>
        <w:right w:val="none" w:sz="0" w:space="0" w:color="auto"/>
      </w:divBdr>
    </w:div>
    <w:div w:id="1839077459">
      <w:bodyDiv w:val="1"/>
      <w:marLeft w:val="0"/>
      <w:marRight w:val="0"/>
      <w:marTop w:val="0"/>
      <w:marBottom w:val="0"/>
      <w:divBdr>
        <w:top w:val="none" w:sz="0" w:space="0" w:color="auto"/>
        <w:left w:val="none" w:sz="0" w:space="0" w:color="auto"/>
        <w:bottom w:val="none" w:sz="0" w:space="0" w:color="auto"/>
        <w:right w:val="none" w:sz="0" w:space="0" w:color="auto"/>
      </w:divBdr>
    </w:div>
    <w:div w:id="1839424597">
      <w:bodyDiv w:val="1"/>
      <w:marLeft w:val="0"/>
      <w:marRight w:val="0"/>
      <w:marTop w:val="0"/>
      <w:marBottom w:val="0"/>
      <w:divBdr>
        <w:top w:val="none" w:sz="0" w:space="0" w:color="auto"/>
        <w:left w:val="none" w:sz="0" w:space="0" w:color="auto"/>
        <w:bottom w:val="none" w:sz="0" w:space="0" w:color="auto"/>
        <w:right w:val="none" w:sz="0" w:space="0" w:color="auto"/>
      </w:divBdr>
    </w:div>
    <w:div w:id="1840073453">
      <w:bodyDiv w:val="1"/>
      <w:marLeft w:val="0"/>
      <w:marRight w:val="0"/>
      <w:marTop w:val="0"/>
      <w:marBottom w:val="0"/>
      <w:divBdr>
        <w:top w:val="none" w:sz="0" w:space="0" w:color="auto"/>
        <w:left w:val="none" w:sz="0" w:space="0" w:color="auto"/>
        <w:bottom w:val="none" w:sz="0" w:space="0" w:color="auto"/>
        <w:right w:val="none" w:sz="0" w:space="0" w:color="auto"/>
      </w:divBdr>
    </w:div>
    <w:div w:id="1841312110">
      <w:bodyDiv w:val="1"/>
      <w:marLeft w:val="0"/>
      <w:marRight w:val="0"/>
      <w:marTop w:val="0"/>
      <w:marBottom w:val="0"/>
      <w:divBdr>
        <w:top w:val="none" w:sz="0" w:space="0" w:color="auto"/>
        <w:left w:val="none" w:sz="0" w:space="0" w:color="auto"/>
        <w:bottom w:val="none" w:sz="0" w:space="0" w:color="auto"/>
        <w:right w:val="none" w:sz="0" w:space="0" w:color="auto"/>
      </w:divBdr>
    </w:div>
    <w:div w:id="1847406513">
      <w:bodyDiv w:val="1"/>
      <w:marLeft w:val="0"/>
      <w:marRight w:val="0"/>
      <w:marTop w:val="0"/>
      <w:marBottom w:val="0"/>
      <w:divBdr>
        <w:top w:val="none" w:sz="0" w:space="0" w:color="auto"/>
        <w:left w:val="none" w:sz="0" w:space="0" w:color="auto"/>
        <w:bottom w:val="none" w:sz="0" w:space="0" w:color="auto"/>
        <w:right w:val="none" w:sz="0" w:space="0" w:color="auto"/>
      </w:divBdr>
    </w:div>
    <w:div w:id="1853377830">
      <w:bodyDiv w:val="1"/>
      <w:marLeft w:val="0"/>
      <w:marRight w:val="0"/>
      <w:marTop w:val="0"/>
      <w:marBottom w:val="0"/>
      <w:divBdr>
        <w:top w:val="none" w:sz="0" w:space="0" w:color="auto"/>
        <w:left w:val="none" w:sz="0" w:space="0" w:color="auto"/>
        <w:bottom w:val="none" w:sz="0" w:space="0" w:color="auto"/>
        <w:right w:val="none" w:sz="0" w:space="0" w:color="auto"/>
      </w:divBdr>
    </w:div>
    <w:div w:id="1869903474">
      <w:bodyDiv w:val="1"/>
      <w:marLeft w:val="0"/>
      <w:marRight w:val="0"/>
      <w:marTop w:val="0"/>
      <w:marBottom w:val="0"/>
      <w:divBdr>
        <w:top w:val="none" w:sz="0" w:space="0" w:color="auto"/>
        <w:left w:val="none" w:sz="0" w:space="0" w:color="auto"/>
        <w:bottom w:val="none" w:sz="0" w:space="0" w:color="auto"/>
        <w:right w:val="none" w:sz="0" w:space="0" w:color="auto"/>
      </w:divBdr>
    </w:div>
    <w:div w:id="1880432873">
      <w:bodyDiv w:val="1"/>
      <w:marLeft w:val="0"/>
      <w:marRight w:val="0"/>
      <w:marTop w:val="0"/>
      <w:marBottom w:val="0"/>
      <w:divBdr>
        <w:top w:val="none" w:sz="0" w:space="0" w:color="auto"/>
        <w:left w:val="none" w:sz="0" w:space="0" w:color="auto"/>
        <w:bottom w:val="none" w:sz="0" w:space="0" w:color="auto"/>
        <w:right w:val="none" w:sz="0" w:space="0" w:color="auto"/>
      </w:divBdr>
    </w:div>
    <w:div w:id="1886328806">
      <w:bodyDiv w:val="1"/>
      <w:marLeft w:val="0"/>
      <w:marRight w:val="0"/>
      <w:marTop w:val="0"/>
      <w:marBottom w:val="0"/>
      <w:divBdr>
        <w:top w:val="none" w:sz="0" w:space="0" w:color="auto"/>
        <w:left w:val="none" w:sz="0" w:space="0" w:color="auto"/>
        <w:bottom w:val="none" w:sz="0" w:space="0" w:color="auto"/>
        <w:right w:val="none" w:sz="0" w:space="0" w:color="auto"/>
      </w:divBdr>
    </w:div>
    <w:div w:id="1893225382">
      <w:bodyDiv w:val="1"/>
      <w:marLeft w:val="0"/>
      <w:marRight w:val="0"/>
      <w:marTop w:val="0"/>
      <w:marBottom w:val="0"/>
      <w:divBdr>
        <w:top w:val="none" w:sz="0" w:space="0" w:color="auto"/>
        <w:left w:val="none" w:sz="0" w:space="0" w:color="auto"/>
        <w:bottom w:val="none" w:sz="0" w:space="0" w:color="auto"/>
        <w:right w:val="none" w:sz="0" w:space="0" w:color="auto"/>
      </w:divBdr>
    </w:div>
    <w:div w:id="1903439414">
      <w:bodyDiv w:val="1"/>
      <w:marLeft w:val="0"/>
      <w:marRight w:val="0"/>
      <w:marTop w:val="0"/>
      <w:marBottom w:val="0"/>
      <w:divBdr>
        <w:top w:val="none" w:sz="0" w:space="0" w:color="auto"/>
        <w:left w:val="none" w:sz="0" w:space="0" w:color="auto"/>
        <w:bottom w:val="none" w:sz="0" w:space="0" w:color="auto"/>
        <w:right w:val="none" w:sz="0" w:space="0" w:color="auto"/>
      </w:divBdr>
    </w:div>
    <w:div w:id="1908998190">
      <w:bodyDiv w:val="1"/>
      <w:marLeft w:val="0"/>
      <w:marRight w:val="0"/>
      <w:marTop w:val="0"/>
      <w:marBottom w:val="0"/>
      <w:divBdr>
        <w:top w:val="none" w:sz="0" w:space="0" w:color="auto"/>
        <w:left w:val="none" w:sz="0" w:space="0" w:color="auto"/>
        <w:bottom w:val="none" w:sz="0" w:space="0" w:color="auto"/>
        <w:right w:val="none" w:sz="0" w:space="0" w:color="auto"/>
      </w:divBdr>
    </w:div>
    <w:div w:id="1913193489">
      <w:bodyDiv w:val="1"/>
      <w:marLeft w:val="0"/>
      <w:marRight w:val="0"/>
      <w:marTop w:val="0"/>
      <w:marBottom w:val="0"/>
      <w:divBdr>
        <w:top w:val="none" w:sz="0" w:space="0" w:color="auto"/>
        <w:left w:val="none" w:sz="0" w:space="0" w:color="auto"/>
        <w:bottom w:val="none" w:sz="0" w:space="0" w:color="auto"/>
        <w:right w:val="none" w:sz="0" w:space="0" w:color="auto"/>
      </w:divBdr>
    </w:div>
    <w:div w:id="1918318740">
      <w:bodyDiv w:val="1"/>
      <w:marLeft w:val="0"/>
      <w:marRight w:val="0"/>
      <w:marTop w:val="0"/>
      <w:marBottom w:val="0"/>
      <w:divBdr>
        <w:top w:val="none" w:sz="0" w:space="0" w:color="auto"/>
        <w:left w:val="none" w:sz="0" w:space="0" w:color="auto"/>
        <w:bottom w:val="none" w:sz="0" w:space="0" w:color="auto"/>
        <w:right w:val="none" w:sz="0" w:space="0" w:color="auto"/>
      </w:divBdr>
    </w:div>
    <w:div w:id="1928685801">
      <w:bodyDiv w:val="1"/>
      <w:marLeft w:val="0"/>
      <w:marRight w:val="0"/>
      <w:marTop w:val="0"/>
      <w:marBottom w:val="0"/>
      <w:divBdr>
        <w:top w:val="none" w:sz="0" w:space="0" w:color="auto"/>
        <w:left w:val="none" w:sz="0" w:space="0" w:color="auto"/>
        <w:bottom w:val="none" w:sz="0" w:space="0" w:color="auto"/>
        <w:right w:val="none" w:sz="0" w:space="0" w:color="auto"/>
      </w:divBdr>
    </w:div>
    <w:div w:id="1930964877">
      <w:bodyDiv w:val="1"/>
      <w:marLeft w:val="0"/>
      <w:marRight w:val="0"/>
      <w:marTop w:val="0"/>
      <w:marBottom w:val="0"/>
      <w:divBdr>
        <w:top w:val="none" w:sz="0" w:space="0" w:color="auto"/>
        <w:left w:val="none" w:sz="0" w:space="0" w:color="auto"/>
        <w:bottom w:val="none" w:sz="0" w:space="0" w:color="auto"/>
        <w:right w:val="none" w:sz="0" w:space="0" w:color="auto"/>
      </w:divBdr>
    </w:div>
    <w:div w:id="1935937676">
      <w:bodyDiv w:val="1"/>
      <w:marLeft w:val="0"/>
      <w:marRight w:val="0"/>
      <w:marTop w:val="0"/>
      <w:marBottom w:val="0"/>
      <w:divBdr>
        <w:top w:val="none" w:sz="0" w:space="0" w:color="auto"/>
        <w:left w:val="none" w:sz="0" w:space="0" w:color="auto"/>
        <w:bottom w:val="none" w:sz="0" w:space="0" w:color="auto"/>
        <w:right w:val="none" w:sz="0" w:space="0" w:color="auto"/>
      </w:divBdr>
    </w:div>
    <w:div w:id="1936130557">
      <w:bodyDiv w:val="1"/>
      <w:marLeft w:val="0"/>
      <w:marRight w:val="0"/>
      <w:marTop w:val="0"/>
      <w:marBottom w:val="0"/>
      <w:divBdr>
        <w:top w:val="none" w:sz="0" w:space="0" w:color="auto"/>
        <w:left w:val="none" w:sz="0" w:space="0" w:color="auto"/>
        <w:bottom w:val="none" w:sz="0" w:space="0" w:color="auto"/>
        <w:right w:val="none" w:sz="0" w:space="0" w:color="auto"/>
      </w:divBdr>
    </w:div>
    <w:div w:id="1937592866">
      <w:bodyDiv w:val="1"/>
      <w:marLeft w:val="0"/>
      <w:marRight w:val="0"/>
      <w:marTop w:val="0"/>
      <w:marBottom w:val="0"/>
      <w:divBdr>
        <w:top w:val="none" w:sz="0" w:space="0" w:color="auto"/>
        <w:left w:val="none" w:sz="0" w:space="0" w:color="auto"/>
        <w:bottom w:val="none" w:sz="0" w:space="0" w:color="auto"/>
        <w:right w:val="none" w:sz="0" w:space="0" w:color="auto"/>
      </w:divBdr>
    </w:div>
    <w:div w:id="1956673804">
      <w:bodyDiv w:val="1"/>
      <w:marLeft w:val="0"/>
      <w:marRight w:val="0"/>
      <w:marTop w:val="0"/>
      <w:marBottom w:val="0"/>
      <w:divBdr>
        <w:top w:val="none" w:sz="0" w:space="0" w:color="auto"/>
        <w:left w:val="none" w:sz="0" w:space="0" w:color="auto"/>
        <w:bottom w:val="none" w:sz="0" w:space="0" w:color="auto"/>
        <w:right w:val="none" w:sz="0" w:space="0" w:color="auto"/>
      </w:divBdr>
    </w:div>
    <w:div w:id="1979796761">
      <w:bodyDiv w:val="1"/>
      <w:marLeft w:val="0"/>
      <w:marRight w:val="0"/>
      <w:marTop w:val="0"/>
      <w:marBottom w:val="0"/>
      <w:divBdr>
        <w:top w:val="none" w:sz="0" w:space="0" w:color="auto"/>
        <w:left w:val="none" w:sz="0" w:space="0" w:color="auto"/>
        <w:bottom w:val="none" w:sz="0" w:space="0" w:color="auto"/>
        <w:right w:val="none" w:sz="0" w:space="0" w:color="auto"/>
      </w:divBdr>
    </w:div>
    <w:div w:id="1982346215">
      <w:bodyDiv w:val="1"/>
      <w:marLeft w:val="0"/>
      <w:marRight w:val="0"/>
      <w:marTop w:val="0"/>
      <w:marBottom w:val="0"/>
      <w:divBdr>
        <w:top w:val="none" w:sz="0" w:space="0" w:color="auto"/>
        <w:left w:val="none" w:sz="0" w:space="0" w:color="auto"/>
        <w:bottom w:val="none" w:sz="0" w:space="0" w:color="auto"/>
        <w:right w:val="none" w:sz="0" w:space="0" w:color="auto"/>
      </w:divBdr>
    </w:div>
    <w:div w:id="1983804738">
      <w:bodyDiv w:val="1"/>
      <w:marLeft w:val="0"/>
      <w:marRight w:val="0"/>
      <w:marTop w:val="0"/>
      <w:marBottom w:val="0"/>
      <w:divBdr>
        <w:top w:val="none" w:sz="0" w:space="0" w:color="auto"/>
        <w:left w:val="none" w:sz="0" w:space="0" w:color="auto"/>
        <w:bottom w:val="none" w:sz="0" w:space="0" w:color="auto"/>
        <w:right w:val="none" w:sz="0" w:space="0" w:color="auto"/>
      </w:divBdr>
    </w:div>
    <w:div w:id="2011984049">
      <w:bodyDiv w:val="1"/>
      <w:marLeft w:val="0"/>
      <w:marRight w:val="0"/>
      <w:marTop w:val="0"/>
      <w:marBottom w:val="0"/>
      <w:divBdr>
        <w:top w:val="none" w:sz="0" w:space="0" w:color="auto"/>
        <w:left w:val="none" w:sz="0" w:space="0" w:color="auto"/>
        <w:bottom w:val="none" w:sz="0" w:space="0" w:color="auto"/>
        <w:right w:val="none" w:sz="0" w:space="0" w:color="auto"/>
      </w:divBdr>
    </w:div>
    <w:div w:id="2021083477">
      <w:bodyDiv w:val="1"/>
      <w:marLeft w:val="0"/>
      <w:marRight w:val="0"/>
      <w:marTop w:val="0"/>
      <w:marBottom w:val="0"/>
      <w:divBdr>
        <w:top w:val="none" w:sz="0" w:space="0" w:color="auto"/>
        <w:left w:val="none" w:sz="0" w:space="0" w:color="auto"/>
        <w:bottom w:val="none" w:sz="0" w:space="0" w:color="auto"/>
        <w:right w:val="none" w:sz="0" w:space="0" w:color="auto"/>
      </w:divBdr>
    </w:div>
    <w:div w:id="2025011916">
      <w:bodyDiv w:val="1"/>
      <w:marLeft w:val="0"/>
      <w:marRight w:val="0"/>
      <w:marTop w:val="0"/>
      <w:marBottom w:val="0"/>
      <w:divBdr>
        <w:top w:val="none" w:sz="0" w:space="0" w:color="auto"/>
        <w:left w:val="none" w:sz="0" w:space="0" w:color="auto"/>
        <w:bottom w:val="none" w:sz="0" w:space="0" w:color="auto"/>
        <w:right w:val="none" w:sz="0" w:space="0" w:color="auto"/>
      </w:divBdr>
    </w:div>
    <w:div w:id="2071034205">
      <w:bodyDiv w:val="1"/>
      <w:marLeft w:val="0"/>
      <w:marRight w:val="0"/>
      <w:marTop w:val="0"/>
      <w:marBottom w:val="0"/>
      <w:divBdr>
        <w:top w:val="none" w:sz="0" w:space="0" w:color="auto"/>
        <w:left w:val="none" w:sz="0" w:space="0" w:color="auto"/>
        <w:bottom w:val="none" w:sz="0" w:space="0" w:color="auto"/>
        <w:right w:val="none" w:sz="0" w:space="0" w:color="auto"/>
      </w:divBdr>
    </w:div>
    <w:div w:id="2073308499">
      <w:bodyDiv w:val="1"/>
      <w:marLeft w:val="0"/>
      <w:marRight w:val="0"/>
      <w:marTop w:val="0"/>
      <w:marBottom w:val="0"/>
      <w:divBdr>
        <w:top w:val="none" w:sz="0" w:space="0" w:color="auto"/>
        <w:left w:val="none" w:sz="0" w:space="0" w:color="auto"/>
        <w:bottom w:val="none" w:sz="0" w:space="0" w:color="auto"/>
        <w:right w:val="none" w:sz="0" w:space="0" w:color="auto"/>
      </w:divBdr>
    </w:div>
    <w:div w:id="2074112912">
      <w:bodyDiv w:val="1"/>
      <w:marLeft w:val="0"/>
      <w:marRight w:val="0"/>
      <w:marTop w:val="0"/>
      <w:marBottom w:val="0"/>
      <w:divBdr>
        <w:top w:val="none" w:sz="0" w:space="0" w:color="auto"/>
        <w:left w:val="none" w:sz="0" w:space="0" w:color="auto"/>
        <w:bottom w:val="none" w:sz="0" w:space="0" w:color="auto"/>
        <w:right w:val="none" w:sz="0" w:space="0" w:color="auto"/>
      </w:divBdr>
    </w:div>
    <w:div w:id="2091349711">
      <w:bodyDiv w:val="1"/>
      <w:marLeft w:val="0"/>
      <w:marRight w:val="0"/>
      <w:marTop w:val="0"/>
      <w:marBottom w:val="0"/>
      <w:divBdr>
        <w:top w:val="none" w:sz="0" w:space="0" w:color="auto"/>
        <w:left w:val="none" w:sz="0" w:space="0" w:color="auto"/>
        <w:bottom w:val="none" w:sz="0" w:space="0" w:color="auto"/>
        <w:right w:val="none" w:sz="0" w:space="0" w:color="auto"/>
      </w:divBdr>
    </w:div>
    <w:div w:id="2103914790">
      <w:bodyDiv w:val="1"/>
      <w:marLeft w:val="0"/>
      <w:marRight w:val="0"/>
      <w:marTop w:val="0"/>
      <w:marBottom w:val="0"/>
      <w:divBdr>
        <w:top w:val="none" w:sz="0" w:space="0" w:color="auto"/>
        <w:left w:val="none" w:sz="0" w:space="0" w:color="auto"/>
        <w:bottom w:val="none" w:sz="0" w:space="0" w:color="auto"/>
        <w:right w:val="none" w:sz="0" w:space="0" w:color="auto"/>
      </w:divBdr>
    </w:div>
    <w:div w:id="2121028145">
      <w:bodyDiv w:val="1"/>
      <w:marLeft w:val="0"/>
      <w:marRight w:val="0"/>
      <w:marTop w:val="0"/>
      <w:marBottom w:val="0"/>
      <w:divBdr>
        <w:top w:val="none" w:sz="0" w:space="0" w:color="auto"/>
        <w:left w:val="none" w:sz="0" w:space="0" w:color="auto"/>
        <w:bottom w:val="none" w:sz="0" w:space="0" w:color="auto"/>
        <w:right w:val="none" w:sz="0" w:space="0" w:color="auto"/>
      </w:divBdr>
    </w:div>
    <w:div w:id="2121605841">
      <w:bodyDiv w:val="1"/>
      <w:marLeft w:val="0"/>
      <w:marRight w:val="0"/>
      <w:marTop w:val="0"/>
      <w:marBottom w:val="0"/>
      <w:divBdr>
        <w:top w:val="none" w:sz="0" w:space="0" w:color="auto"/>
        <w:left w:val="none" w:sz="0" w:space="0" w:color="auto"/>
        <w:bottom w:val="none" w:sz="0" w:space="0" w:color="auto"/>
        <w:right w:val="none" w:sz="0" w:space="0" w:color="auto"/>
      </w:divBdr>
    </w:div>
    <w:div w:id="2132478258">
      <w:bodyDiv w:val="1"/>
      <w:marLeft w:val="0"/>
      <w:marRight w:val="0"/>
      <w:marTop w:val="0"/>
      <w:marBottom w:val="0"/>
      <w:divBdr>
        <w:top w:val="none" w:sz="0" w:space="0" w:color="auto"/>
        <w:left w:val="none" w:sz="0" w:space="0" w:color="auto"/>
        <w:bottom w:val="none" w:sz="0" w:space="0" w:color="auto"/>
        <w:right w:val="none" w:sz="0" w:space="0" w:color="auto"/>
      </w:divBdr>
    </w:div>
    <w:div w:id="2133011823">
      <w:bodyDiv w:val="1"/>
      <w:marLeft w:val="0"/>
      <w:marRight w:val="0"/>
      <w:marTop w:val="0"/>
      <w:marBottom w:val="0"/>
      <w:divBdr>
        <w:top w:val="none" w:sz="0" w:space="0" w:color="auto"/>
        <w:left w:val="none" w:sz="0" w:space="0" w:color="auto"/>
        <w:bottom w:val="none" w:sz="0" w:space="0" w:color="auto"/>
        <w:right w:val="none" w:sz="0" w:space="0" w:color="auto"/>
      </w:divBdr>
    </w:div>
    <w:div w:id="214272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D55A-5A28-4978-8960-3175C524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42</Pages>
  <Words>14870</Words>
  <Characters>81787</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Eugenia Arias Ramirez</dc:creator>
  <cp:keywords/>
  <dc:description/>
  <cp:lastModifiedBy>Gerardo Garcia Reyes</cp:lastModifiedBy>
  <cp:revision>21</cp:revision>
  <cp:lastPrinted>2026-04-23T16:17:00Z</cp:lastPrinted>
  <dcterms:created xsi:type="dcterms:W3CDTF">2026-04-17T23:21:00Z</dcterms:created>
  <dcterms:modified xsi:type="dcterms:W3CDTF">2026-04-24T21:32:00Z</dcterms:modified>
</cp:coreProperties>
</file>