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4E" w:rsidRPr="00625775" w:rsidRDefault="00592E4E">
      <w:pPr>
        <w:rPr>
          <w:rFonts w:ascii="Agency FB" w:hAnsi="Agency FB" w:cs="Arial"/>
          <w:b/>
          <w:sz w:val="44"/>
          <w:szCs w:val="180"/>
        </w:rPr>
      </w:pPr>
      <w:bookmarkStart w:id="0" w:name="_GoBack"/>
      <w:bookmarkEnd w:id="0"/>
    </w:p>
    <w:p w:rsidR="00592E4E" w:rsidRDefault="00592E4E">
      <w:pPr>
        <w:rPr>
          <w:rFonts w:ascii="Agency FB" w:hAnsi="Agency FB" w:cs="Arial"/>
          <w:b/>
          <w:sz w:val="96"/>
          <w:szCs w:val="180"/>
        </w:rPr>
      </w:pPr>
    </w:p>
    <w:p w:rsidR="00592E4E" w:rsidRDefault="00592E4E">
      <w:pPr>
        <w:rPr>
          <w:rFonts w:ascii="Agency FB" w:hAnsi="Agency FB" w:cs="Arial"/>
          <w:b/>
          <w:sz w:val="96"/>
          <w:szCs w:val="180"/>
        </w:rPr>
      </w:pPr>
    </w:p>
    <w:p w:rsidR="00592E4E" w:rsidRPr="00592E4E" w:rsidRDefault="00592E4E">
      <w:pPr>
        <w:rPr>
          <w:rFonts w:ascii="Agency FB" w:hAnsi="Agency FB" w:cs="Arial"/>
          <w:b/>
          <w:sz w:val="56"/>
          <w:szCs w:val="180"/>
        </w:rPr>
      </w:pPr>
    </w:p>
    <w:p w:rsidR="00592E4E" w:rsidRDefault="00592E4E" w:rsidP="00592E4E">
      <w:pPr>
        <w:jc w:val="center"/>
        <w:rPr>
          <w:rFonts w:ascii="Agency FB" w:hAnsi="Agency FB" w:cs="Arial"/>
          <w:b/>
          <w:sz w:val="96"/>
          <w:szCs w:val="180"/>
        </w:rPr>
      </w:pPr>
      <w:r>
        <w:rPr>
          <w:rFonts w:ascii="Agency FB" w:hAnsi="Agency FB" w:cs="Arial"/>
          <w:b/>
          <w:sz w:val="96"/>
          <w:szCs w:val="180"/>
        </w:rPr>
        <w:t>DEUDA PÚBLICA</w:t>
      </w:r>
    </w:p>
    <w:p w:rsidR="00592E4E" w:rsidRDefault="00592E4E">
      <w:pPr>
        <w:rPr>
          <w:rFonts w:ascii="Agency FB" w:hAnsi="Agency FB" w:cs="Arial"/>
          <w:b/>
          <w:sz w:val="96"/>
          <w:szCs w:val="180"/>
        </w:rPr>
      </w:pPr>
      <w:r>
        <w:rPr>
          <w:rFonts w:ascii="Agency FB" w:hAnsi="Agency FB" w:cs="Arial"/>
          <w:b/>
          <w:sz w:val="96"/>
          <w:szCs w:val="180"/>
        </w:rPr>
        <w:br w:type="page"/>
      </w:r>
    </w:p>
    <w:p w:rsidR="00625775" w:rsidRPr="00625775" w:rsidRDefault="00625775" w:rsidP="00625775">
      <w:pPr>
        <w:jc w:val="center"/>
        <w:rPr>
          <w:rFonts w:ascii="Agency FB" w:hAnsi="Agency FB" w:cs="Arial"/>
          <w:b/>
          <w:sz w:val="28"/>
        </w:rPr>
      </w:pPr>
      <w:r w:rsidRPr="00625775">
        <w:rPr>
          <w:rFonts w:ascii="Agency FB" w:hAnsi="Agency FB" w:cs="Arial"/>
          <w:b/>
          <w:sz w:val="28"/>
        </w:rPr>
        <w:lastRenderedPageBreak/>
        <w:t>DEUDA PÚBLICA DEL GOBIERNO DEL ESTADO DE TABASCO</w:t>
      </w:r>
    </w:p>
    <w:p w:rsidR="00625775" w:rsidRDefault="00625775" w:rsidP="0062527F">
      <w:pPr>
        <w:rPr>
          <w:rFonts w:ascii="Agency FB" w:hAnsi="Agency FB" w:cs="Arial"/>
          <w:sz w:val="28"/>
        </w:rPr>
      </w:pPr>
    </w:p>
    <w:p w:rsidR="0062527F" w:rsidRPr="0062527F" w:rsidRDefault="0062527F" w:rsidP="0062527F">
      <w:pPr>
        <w:jc w:val="both"/>
        <w:rPr>
          <w:rFonts w:ascii="Agency FB" w:hAnsi="Agency FB" w:cs="Arial"/>
          <w:b/>
          <w:sz w:val="28"/>
        </w:rPr>
      </w:pPr>
      <w:r w:rsidRPr="0062527F">
        <w:rPr>
          <w:rFonts w:ascii="Agency FB" w:hAnsi="Agency FB" w:cs="Arial"/>
          <w:b/>
          <w:sz w:val="28"/>
        </w:rPr>
        <w:t>I. Objetivos</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Dar seguimiento y control a los financiamientos contratados para asegurar la disponibilidad del pago y garantía.</w:t>
      </w:r>
    </w:p>
    <w:p w:rsidR="0062527F" w:rsidRPr="0062527F" w:rsidRDefault="0062527F" w:rsidP="0062527F">
      <w:pPr>
        <w:ind w:left="709" w:hanging="709"/>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Mantener y/o mejorar los reconocimientos emitidos por las agencias calificadoras en los temas de finanzas y de endeudamiento público.</w:t>
      </w: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Contratar créditos con instituciones financieras que oferten las mejores condiciones.</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b/>
          <w:sz w:val="28"/>
        </w:rPr>
      </w:pPr>
      <w:r w:rsidRPr="0062527F">
        <w:rPr>
          <w:rFonts w:ascii="Agency FB" w:hAnsi="Agency FB" w:cs="Arial"/>
          <w:b/>
          <w:sz w:val="28"/>
        </w:rPr>
        <w:t>II. Estrategias</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Un programa de austeridad y disciplina presupuestaria.</w:t>
      </w: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 xml:space="preserve">Reestructuración de la deuda de largo plazo para disminuir su costo financiero. </w:t>
      </w: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Generar bases para un proceso competitivo en la contratación de deuda.</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b/>
          <w:sz w:val="28"/>
        </w:rPr>
      </w:pPr>
      <w:r w:rsidRPr="0062527F">
        <w:rPr>
          <w:rFonts w:ascii="Agency FB" w:hAnsi="Agency FB" w:cs="Arial"/>
          <w:b/>
          <w:sz w:val="28"/>
        </w:rPr>
        <w:t>III. Límites de endeudamiento autorizado por el Congreso del Estado</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a) Deuda Pública interna</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 xml:space="preserve">El Ejecutivo del Estado para llevar a cabo la contratación de Financiamientos y Obligaciones cuya vigencia sea mayor de un año, deberá enviar una solicitud por escrito al Congreso del Estado, la autorización por parte de la Legislatura local deberá especificar, por lo menos lo siguiente: monto autorizado de la Deuda Pública u Obligación a incurrir, plazo máximo autorizado para el pago, destino de los recursos, en su caso, la Fuente de pago o la </w:t>
      </w:r>
      <w:r w:rsidRPr="0062527F">
        <w:rPr>
          <w:rFonts w:ascii="Agency FB" w:hAnsi="Agency FB" w:cs="Arial"/>
          <w:sz w:val="28"/>
          <w:lang w:val="es-ES"/>
        </w:rPr>
        <w:t>contratación de una</w:t>
      </w:r>
      <w:r w:rsidRPr="0062527F">
        <w:rPr>
          <w:rFonts w:ascii="Agency FB" w:hAnsi="Agency FB" w:cs="Arial"/>
          <w:sz w:val="28"/>
        </w:rPr>
        <w:t xml:space="preserve"> Garantía de pago de la Deuda Pública u Obligación, en caso de autorizaciones especificas establecerá la vigencia de la autorización, en la que no podrá exceder el ejercicio fiscal siguiente. De no establecer una vigencia se entenderá que la autorización sólo se podrá ejercer en el ejercicio fiscal en que fue aprobada.</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b) Costo financiero</w:t>
      </w:r>
    </w:p>
    <w:p w:rsidR="0062527F" w:rsidRPr="0062527F" w:rsidRDefault="0062527F" w:rsidP="0062527F">
      <w:pPr>
        <w:ind w:left="709" w:hanging="709"/>
        <w:jc w:val="both"/>
        <w:rPr>
          <w:rFonts w:ascii="Agency FB" w:hAnsi="Agency FB" w:cs="Arial"/>
          <w:sz w:val="28"/>
        </w:rPr>
      </w:pPr>
      <w:r w:rsidRPr="0062527F">
        <w:rPr>
          <w:rFonts w:ascii="Agency FB" w:hAnsi="Agency FB" w:cs="Arial"/>
          <w:sz w:val="28"/>
        </w:rPr>
        <w:lastRenderedPageBreak/>
        <w:t>•</w:t>
      </w:r>
      <w:r w:rsidRPr="0062527F">
        <w:rPr>
          <w:rFonts w:ascii="Agency FB" w:hAnsi="Agency FB" w:cs="Arial"/>
          <w:sz w:val="28"/>
        </w:rPr>
        <w:tab/>
        <w:t>Decisiones de política económica buscando oportunidades que reduzcan en lo posible la carga financiera generada por la deuda a largo plazo.</w:t>
      </w: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Maximizar la utilidad pública de cada peso estatal.</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c) Garantías otorgadas por el Gobierno Estatal</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El Ejecutivo del Estado, previa autorización del Congreso del Estado, podrá afectar como fuente o garantía de pago o ambas, de las obligaciones que contraiga, sus contribuciones, productos, aprovechamientos y accesorios, o cualquier otro ingreso susceptible de afectación. Así mismo, el Ejecutivo del Estado, previa autorización del Congreso del Estado, podrá afectar los ingresos, el derecho a percibir dichos ingresos o ambos, derivado de las Participaciones y/o Aportaciones Federales, así como de otros recursos federales susceptibles de afectación de conformidad con la legislación aplicable.</w:t>
      </w:r>
    </w:p>
    <w:p w:rsidR="0062527F" w:rsidRPr="0062527F" w:rsidRDefault="0062527F" w:rsidP="0062527F">
      <w:pPr>
        <w:rPr>
          <w:rFonts w:ascii="Agency FB" w:hAnsi="Agency FB"/>
          <w:sz w:val="28"/>
        </w:rPr>
      </w:pPr>
    </w:p>
    <w:p w:rsidR="0062527F" w:rsidRPr="0062527F" w:rsidRDefault="0062527F" w:rsidP="0062527F">
      <w:pPr>
        <w:pStyle w:val="Prrafodelista"/>
        <w:spacing w:line="276" w:lineRule="auto"/>
        <w:ind w:left="0" w:right="473"/>
        <w:jc w:val="both"/>
        <w:rPr>
          <w:rFonts w:ascii="Agency FB" w:hAnsi="Agency FB" w:cs="Arial"/>
          <w:sz w:val="28"/>
          <w:lang w:val="es-MX"/>
        </w:rPr>
      </w:pPr>
      <w:r w:rsidRPr="0062527F">
        <w:rPr>
          <w:rFonts w:ascii="Agency FB" w:hAnsi="Agency FB" w:cs="Arial"/>
          <w:sz w:val="28"/>
        </w:rPr>
        <w:t>El saldo total de la Deuda Pública a largo</w:t>
      </w:r>
      <w:r w:rsidRPr="0062527F">
        <w:rPr>
          <w:rFonts w:ascii="Agency FB" w:hAnsi="Agency FB" w:cs="Arial"/>
          <w:sz w:val="28"/>
          <w:lang w:val="es-MX"/>
        </w:rPr>
        <w:t xml:space="preserve"> plazo</w:t>
      </w:r>
      <w:r w:rsidRPr="0062527F">
        <w:rPr>
          <w:rFonts w:ascii="Agency FB" w:hAnsi="Agency FB" w:cs="Arial"/>
          <w:sz w:val="28"/>
        </w:rPr>
        <w:t xml:space="preserve"> del Gobierno del Estado de Tabasco al 3</w:t>
      </w:r>
      <w:r w:rsidRPr="0062527F">
        <w:rPr>
          <w:rFonts w:ascii="Agency FB" w:hAnsi="Agency FB" w:cs="Arial"/>
          <w:sz w:val="28"/>
          <w:lang w:val="es-MX"/>
        </w:rPr>
        <w:t>1</w:t>
      </w:r>
      <w:r w:rsidRPr="0062527F">
        <w:rPr>
          <w:rFonts w:ascii="Agency FB" w:hAnsi="Agency FB" w:cs="Arial"/>
          <w:sz w:val="28"/>
        </w:rPr>
        <w:t xml:space="preserve"> de </w:t>
      </w:r>
      <w:r w:rsidRPr="0062527F">
        <w:rPr>
          <w:rFonts w:ascii="Agency FB" w:hAnsi="Agency FB" w:cs="Arial"/>
          <w:sz w:val="28"/>
          <w:lang w:val="es-MX"/>
        </w:rPr>
        <w:t xml:space="preserve">diciembre </w:t>
      </w:r>
      <w:r w:rsidRPr="0062527F">
        <w:rPr>
          <w:rFonts w:ascii="Agency FB" w:hAnsi="Agency FB" w:cs="Arial"/>
          <w:sz w:val="28"/>
        </w:rPr>
        <w:t xml:space="preserve">de 2024 es de </w:t>
      </w:r>
      <w:r w:rsidRPr="0062527F">
        <w:rPr>
          <w:rFonts w:ascii="Agency FB" w:hAnsi="Agency FB" w:cs="Arial"/>
          <w:b/>
          <w:sz w:val="28"/>
        </w:rPr>
        <w:t>5 mil 046 millones de pesos</w:t>
      </w:r>
      <w:r w:rsidRPr="0062527F">
        <w:rPr>
          <w:rFonts w:ascii="Agency FB" w:hAnsi="Agency FB" w:cs="Arial"/>
          <w:sz w:val="28"/>
        </w:rPr>
        <w:t xml:space="preserve">, de los cuales corresponden a la </w:t>
      </w:r>
      <w:r w:rsidRPr="0062527F">
        <w:rPr>
          <w:rFonts w:ascii="Agency FB" w:hAnsi="Agency FB" w:cs="Arial"/>
          <w:sz w:val="28"/>
          <w:lang w:val="es-MX"/>
        </w:rPr>
        <w:t xml:space="preserve">deuda directa estatal </w:t>
      </w:r>
      <w:r w:rsidRPr="0062527F">
        <w:rPr>
          <w:rFonts w:ascii="Agency FB" w:hAnsi="Agency FB" w:cs="Arial"/>
          <w:b/>
          <w:sz w:val="28"/>
        </w:rPr>
        <w:t>3 mil 067 millones de pesos</w:t>
      </w:r>
      <w:r w:rsidRPr="0062527F">
        <w:rPr>
          <w:rFonts w:ascii="Agency FB" w:hAnsi="Agency FB" w:cs="Arial"/>
          <w:sz w:val="28"/>
        </w:rPr>
        <w:t xml:space="preserve"> con la Banca Comercial, y</w:t>
      </w:r>
      <w:r w:rsidRPr="0062527F">
        <w:rPr>
          <w:rFonts w:ascii="Agency FB" w:hAnsi="Agency FB" w:cs="Arial"/>
          <w:b/>
          <w:sz w:val="28"/>
        </w:rPr>
        <w:t xml:space="preserve"> 1 mil 979 millones de pesos</w:t>
      </w:r>
      <w:r w:rsidRPr="0062527F">
        <w:rPr>
          <w:rFonts w:ascii="Agency FB" w:hAnsi="Agency FB" w:cs="Arial"/>
          <w:sz w:val="28"/>
        </w:rPr>
        <w:t xml:space="preserve"> con la Banca de Desarrollo,</w:t>
      </w:r>
    </w:p>
    <w:p w:rsidR="0062527F" w:rsidRPr="0062527F" w:rsidRDefault="0062527F" w:rsidP="0062527F">
      <w:pPr>
        <w:rPr>
          <w:rFonts w:ascii="Agency FB" w:hAnsi="Agency FB"/>
          <w:sz w:val="28"/>
        </w:rPr>
      </w:pPr>
    </w:p>
    <w:p w:rsidR="0062527F" w:rsidRPr="0062527F" w:rsidRDefault="0062527F" w:rsidP="0062527F">
      <w:pPr>
        <w:rPr>
          <w:rFonts w:ascii="Agency FB" w:hAnsi="Agency FB"/>
          <w:sz w:val="28"/>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r w:rsidRPr="0062527F">
        <w:rPr>
          <w:rFonts w:ascii="Agency FB" w:hAnsi="Agency FB"/>
        </w:rPr>
        <w:lastRenderedPageBreak/>
        <w:t xml:space="preserve">                                                    </w:t>
      </w:r>
      <w:r w:rsidRPr="0062527F">
        <w:rPr>
          <w:rFonts w:ascii="Agency FB" w:hAnsi="Agency FB"/>
          <w:noProof/>
          <w:lang w:eastAsia="es-MX"/>
        </w:rPr>
        <w:drawing>
          <wp:inline distT="0" distB="0" distL="0" distR="0" wp14:anchorId="5B286CBD" wp14:editId="38E07B15">
            <wp:extent cx="5486400" cy="3200400"/>
            <wp:effectExtent l="3810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2527F">
        <w:rPr>
          <w:rFonts w:ascii="Agency FB" w:hAnsi="Agency FB"/>
        </w:rPr>
        <w:t xml:space="preserve">    </w:t>
      </w: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jc w:val="center"/>
        <w:rPr>
          <w:rFonts w:ascii="Agency FB" w:hAnsi="Agency FB"/>
        </w:rPr>
      </w:pPr>
      <w:r w:rsidRPr="0062527F">
        <w:rPr>
          <w:rFonts w:ascii="Agency FB" w:hAnsi="Agency FB"/>
          <w:noProof/>
          <w:lang w:eastAsia="es-MX"/>
        </w:rPr>
        <w:lastRenderedPageBreak/>
        <w:drawing>
          <wp:inline distT="0" distB="0" distL="0" distR="0" wp14:anchorId="16DEA81A" wp14:editId="76E3AE41">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r w:rsidRPr="0062527F">
        <w:rPr>
          <w:rFonts w:ascii="Agency FB" w:hAnsi="Agency FB"/>
        </w:rPr>
        <w:lastRenderedPageBreak/>
        <w:t xml:space="preserve">                                      </w:t>
      </w:r>
      <w:r w:rsidRPr="0062527F">
        <w:rPr>
          <w:rFonts w:ascii="Agency FB" w:hAnsi="Agency FB"/>
          <w:noProof/>
          <w:lang w:eastAsia="es-MX"/>
        </w:rPr>
        <w:drawing>
          <wp:inline distT="0" distB="0" distL="0" distR="0" wp14:anchorId="17A0F864" wp14:editId="1565C2B6">
            <wp:extent cx="5486400" cy="3200400"/>
            <wp:effectExtent l="3810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autoSpaceDE w:val="0"/>
        <w:autoSpaceDN w:val="0"/>
        <w:adjustRightInd w:val="0"/>
        <w:spacing w:line="276" w:lineRule="auto"/>
        <w:ind w:right="532"/>
        <w:jc w:val="both"/>
        <w:rPr>
          <w:rFonts w:ascii="Agency FB" w:eastAsia="Calibri" w:hAnsi="Agency FB" w:cs="Arial"/>
          <w:sz w:val="28"/>
        </w:rPr>
      </w:pPr>
      <w:r w:rsidRPr="0062527F">
        <w:rPr>
          <w:rFonts w:ascii="Agency FB" w:eastAsia="Calibri" w:hAnsi="Agency FB" w:cs="Arial"/>
          <w:sz w:val="28"/>
        </w:rPr>
        <w:t>La Ley de Deuda Pública del Estado de Tabasco y sus Municipios, dispone que la Deuda Pública esté constituida por las obligaciones directas e indirectas derivadas de empréstitos o créditos, siempre y cuando tengan la aprobación del Congreso del Estado.</w:t>
      </w:r>
    </w:p>
    <w:p w:rsidR="0062527F" w:rsidRDefault="0062527F" w:rsidP="0062527F">
      <w:pPr>
        <w:ind w:right="532"/>
        <w:jc w:val="both"/>
        <w:rPr>
          <w:rFonts w:ascii="Agency FB" w:hAnsi="Agency FB"/>
          <w:sz w:val="28"/>
        </w:rPr>
      </w:pPr>
      <w:r w:rsidRPr="0062527F">
        <w:rPr>
          <w:rFonts w:ascii="Agency FB" w:hAnsi="Agency FB"/>
          <w:sz w:val="28"/>
        </w:rPr>
        <w:t>Al 31 de diciembre de 2024, el Gobierno del Estado de Tabasco tiene afectado el 24.30% del fondo general de participaciones para garantizar el pago de deuda a largo plazo.</w:t>
      </w:r>
    </w:p>
    <w:p w:rsidR="0062527F" w:rsidRPr="0062527F" w:rsidRDefault="0062527F" w:rsidP="0062527F">
      <w:pPr>
        <w:ind w:right="532"/>
        <w:jc w:val="both"/>
        <w:rPr>
          <w:rFonts w:ascii="Agency FB" w:hAnsi="Agency FB"/>
          <w:sz w:val="28"/>
        </w:rPr>
      </w:pPr>
    </w:p>
    <w:p w:rsidR="0062527F" w:rsidRDefault="0062527F" w:rsidP="0062527F">
      <w:pPr>
        <w:ind w:right="532"/>
        <w:jc w:val="both"/>
        <w:rPr>
          <w:rFonts w:ascii="Agency FB" w:hAnsi="Agency FB"/>
          <w:sz w:val="28"/>
        </w:rPr>
      </w:pPr>
      <w:r w:rsidRPr="0062527F">
        <w:rPr>
          <w:rFonts w:ascii="Agency FB" w:hAnsi="Agency FB"/>
          <w:sz w:val="28"/>
        </w:rPr>
        <w:t xml:space="preserve"> Las obligaciones de Deuda Pública Estatal estarán destinadas al financiamiento de inversiones públicas productivas o servicios públicos que en forma directa o mediata generen recursos públicos en los términos de la fracción VIII del Artículo 117 de la Constitución Política de los Estados Unidos Mexicanos. Se consideran como inversiones públicas productivas, entre otras, la Reestructuración o Refinanciamiento de Deuda Pública Estatal tendientes al saneamiento financiero del Estado.</w:t>
      </w:r>
    </w:p>
    <w:p w:rsidR="0062527F" w:rsidRPr="0062527F" w:rsidRDefault="0062527F" w:rsidP="0062527F">
      <w:pPr>
        <w:ind w:right="532"/>
        <w:jc w:val="both"/>
        <w:rPr>
          <w:rFonts w:ascii="Agency FB" w:hAnsi="Agency FB"/>
          <w:sz w:val="28"/>
        </w:rPr>
      </w:pPr>
    </w:p>
    <w:p w:rsidR="0062527F" w:rsidRPr="0062527F" w:rsidRDefault="0062527F" w:rsidP="0062527F">
      <w:pPr>
        <w:ind w:right="532"/>
        <w:jc w:val="both"/>
        <w:rPr>
          <w:rFonts w:ascii="Agency FB" w:hAnsi="Agency FB"/>
          <w:sz w:val="28"/>
        </w:rPr>
      </w:pPr>
      <w:r w:rsidRPr="0062527F">
        <w:rPr>
          <w:rFonts w:ascii="Agency FB" w:hAnsi="Agency FB"/>
          <w:sz w:val="28"/>
        </w:rPr>
        <w:lastRenderedPageBreak/>
        <w:t>En el Plan Estatal de Desarrollo 2019-2024, se promoverá finanzas públicas sostenibles a través de una disciplina financiera permanente, el uso responsable de la deuda pública, dar seguimiento y control a los financiamientos contratados para asegurar la disponibilidad del pago y garantía, mantener y/o mejorar los reconocimientos emitidos por las agencias calificadoras en los temas de finanzas y de endeudamiento público, contratar créditos con instituciones financieras que oferten las mejores condiciones, así como el fortalecimiento de la transparencia entre otras medidas ineludibles.</w:t>
      </w:r>
    </w:p>
    <w:p w:rsidR="0062527F" w:rsidRPr="0062527F" w:rsidRDefault="0062527F" w:rsidP="0062527F">
      <w:pPr>
        <w:jc w:val="both"/>
        <w:rPr>
          <w:rFonts w:ascii="Agency FB" w:hAnsi="Agency FB"/>
          <w:sz w:val="28"/>
        </w:rPr>
      </w:pPr>
    </w:p>
    <w:p w:rsidR="0062527F" w:rsidRPr="0062527F" w:rsidRDefault="0062527F" w:rsidP="0062527F">
      <w:pPr>
        <w:rPr>
          <w:rFonts w:ascii="Agency FB" w:hAnsi="Agency FB"/>
          <w:sz w:val="28"/>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cs="Arial"/>
        </w:rPr>
      </w:pPr>
    </w:p>
    <w:sectPr w:rsidR="0062527F" w:rsidRPr="0062527F" w:rsidSect="00B80C44">
      <w:headerReference w:type="default" r:id="rId11"/>
      <w:footerReference w:type="default" r:id="rId12"/>
      <w:pgSz w:w="15840" w:h="12240" w:orient="landscape"/>
      <w:pgMar w:top="513" w:right="625" w:bottom="616" w:left="1417"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C4B" w:rsidRDefault="00054C4B">
      <w:r>
        <w:separator/>
      </w:r>
    </w:p>
  </w:endnote>
  <w:endnote w:type="continuationSeparator" w:id="0">
    <w:p w:rsidR="00054C4B" w:rsidRDefault="0005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 Next LT Pro Condensed">
    <w:panose1 w:val="020B0506020203050203"/>
    <w:charset w:val="00"/>
    <w:family w:val="swiss"/>
    <w:pitch w:val="variable"/>
    <w:sig w:usb0="A00000AF" w:usb1="5000205B" w:usb2="00000000" w:usb3="00000000" w:csb0="0000009B" w:csb1="00000000"/>
  </w:font>
  <w:font w:name="DIN Next LT Pro">
    <w:panose1 w:val="020B0503020203050203"/>
    <w:charset w:val="00"/>
    <w:family w:val="swiss"/>
    <w:pitch w:val="variable"/>
    <w:sig w:usb0="A00000AF" w:usb1="5000205B" w:usb2="00000000" w:usb3="00000000" w:csb0="0000009B"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4210"/>
      <w:docPartObj>
        <w:docPartGallery w:val="Page Numbers (Bottom of Page)"/>
        <w:docPartUnique/>
      </w:docPartObj>
    </w:sdtPr>
    <w:sdtEndPr/>
    <w:sdtContent>
      <w:p w:rsidR="00131DBB" w:rsidRDefault="00054C4B">
        <w:pPr>
          <w:pStyle w:val="Piedepgina"/>
          <w:jc w:val="center"/>
        </w:pPr>
        <w:r>
          <w:rPr>
            <w:noProof/>
            <w:lang w:eastAsia="es-MX"/>
          </w:rPr>
          <w:pict>
            <v:shape id="_x0000_s2053" style="position:absolute;left:0;text-align:left;margin-left:-12.35pt;margin-top:9.9pt;width:678.85pt;height:1.65pt;flip:y;z-index:251668480;visibility:visible;mso-wrap-style:square;mso-wrap-distance-left:9pt;mso-wrap-distance-top:0;mso-wrap-distance-right:9pt;mso-wrap-distance-bottom:0;mso-position-horizontal-relative:text;mso-position-vertical-relative:text;v-text-anchor:top" coordsize="1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" path="m,l12920,e" filled="f" strokeweight="1.5pt">
              <v:path arrowok="t" o:connecttype="custom" o:connectlocs="0,0;8204200,0" o:connectangles="0,0"/>
            </v:shape>
          </w:pict>
        </w:r>
        <w:r>
          <w:rPr>
            <w:noProof/>
          </w:rPr>
          <w:pict>
            <v:shapetype id="_x0000_t202" coordsize="21600,21600" o:spt="202" path="m,l,21600r21600,l21600,xe">
              <v:stroke joinstyle="miter"/>
              <v:path gradientshapeok="t" o:connecttype="rect"/>
            </v:shapetype>
            <v:shape id="9 Cuadro de texto" o:spid="_x0000_s2051" type="#_x0000_t202" style="position:absolute;left:0;text-align:left;margin-left:63.2pt;margin-top:554.55pt;width:673.15pt;height:2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" fillcolor="white [3201]" stroked="f" strokeweight=".5pt">
              <v:textbox style="mso-next-textbox:#9 Cuadro de texto">
                <w:txbxContent>
                  <w:p w:rsidR="00131DBB" w:rsidRPr="0046397B" w:rsidRDefault="00131DBB" w:rsidP="00F83CAA">
                    <w:pPr>
                      <w:jc w:val="center"/>
                      <w:rPr>
                        <w:rFonts w:ascii="DIN Next LT Pro" w:hAnsi="DIN Next LT Pro"/>
                        <w:sz w:val="16"/>
                        <w:szCs w:val="16"/>
                      </w:rPr>
                    </w:pPr>
                  </w:p>
                </w:txbxContent>
              </v:textbox>
            </v:shape>
          </w:pict>
        </w:r>
        <w:r>
          <w:rPr>
            <w:noProof/>
          </w:rPr>
          <w:pict>
            <v:line id="10 Conector recto" o:spid="_x0000_s2052"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5pt,558.65pt" to="736.25pt,5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" strokecolor="black [3213]" strokeweight="1pt"/>
          </w:pict>
        </w:r>
      </w:p>
      <w:p w:rsidR="00131DBB" w:rsidRDefault="00054C4B">
        <w:pPr>
          <w:pStyle w:val="Piedepgina"/>
          <w:jc w:val="center"/>
        </w:pPr>
      </w:p>
    </w:sdtContent>
  </w:sdt>
  <w:p w:rsidR="00131DBB" w:rsidRPr="008564F3" w:rsidRDefault="00131DBB">
    <w:pPr>
      <w:pStyle w:val="Piedepgina"/>
      <w:rPr>
        <w:rFonts w:ascii="Myriad Pro" w:hAnsi="Myriad Pro"/>
        <w:b/>
        <w:color w:val="303A3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C4B" w:rsidRDefault="00054C4B">
      <w:r>
        <w:separator/>
      </w:r>
    </w:p>
  </w:footnote>
  <w:footnote w:type="continuationSeparator" w:id="0">
    <w:p w:rsidR="00054C4B" w:rsidRDefault="00054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BB" w:rsidRDefault="00131DBB" w:rsidP="00136EE0">
    <w:pPr>
      <w:pStyle w:val="Encabezado"/>
      <w:jc w:val="center"/>
    </w:pPr>
  </w:p>
  <w:p w:rsidR="00131DBB" w:rsidRDefault="0062527F" w:rsidP="00DC290E">
    <w:pPr>
      <w:pStyle w:val="Encabezado"/>
      <w:tabs>
        <w:tab w:val="left" w:pos="5430"/>
      </w:tabs>
    </w:pPr>
    <w:r>
      <w:rPr>
        <w:noProof/>
        <w:lang w:eastAsia="es-MX"/>
      </w:rPr>
      <w:drawing>
        <wp:anchor distT="0" distB="0" distL="114300" distR="114300" simplePos="0" relativeHeight="251659776" behindDoc="0" locked="0" layoutInCell="1" allowOverlap="1">
          <wp:simplePos x="0" y="0"/>
          <wp:positionH relativeFrom="column">
            <wp:posOffset>7282180</wp:posOffset>
          </wp:positionH>
          <wp:positionV relativeFrom="paragraph">
            <wp:posOffset>4445</wp:posOffset>
          </wp:positionV>
          <wp:extent cx="1207135" cy="5238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ta pub-2024 (1).jpg"/>
                  <pic:cNvPicPr/>
                </pic:nvPicPr>
                <pic:blipFill>
                  <a:blip r:embed="rId1">
                    <a:extLst>
                      <a:ext uri="{28A0092B-C50C-407E-A947-70E740481C1C}">
                        <a14:useLocalDpi xmlns:a14="http://schemas.microsoft.com/office/drawing/2010/main" val="0"/>
                      </a:ext>
                    </a:extLst>
                  </a:blip>
                  <a:stretch>
                    <a:fillRect/>
                  </a:stretch>
                </pic:blipFill>
                <pic:spPr>
                  <a:xfrm>
                    <a:off x="0" y="0"/>
                    <a:ext cx="1207135" cy="523875"/>
                  </a:xfrm>
                  <a:prstGeom prst="rect">
                    <a:avLst/>
                  </a:prstGeom>
                </pic:spPr>
              </pic:pic>
            </a:graphicData>
          </a:graphic>
          <wp14:sizeRelH relativeFrom="margin">
            <wp14:pctWidth>0</wp14:pctWidth>
          </wp14:sizeRelH>
          <wp14:sizeRelV relativeFrom="margin">
            <wp14:pctHeight>0</wp14:pctHeight>
          </wp14:sizeRelV>
        </wp:anchor>
      </w:drawing>
    </w:r>
  </w:p>
  <w:p w:rsidR="00131DBB" w:rsidRDefault="00054C4B" w:rsidP="00625775">
    <w:pPr>
      <w:pStyle w:val="Encabezado"/>
      <w:tabs>
        <w:tab w:val="left" w:pos="749"/>
        <w:tab w:val="left" w:pos="5430"/>
      </w:tabs>
      <w:jc w:val="right"/>
    </w:pPr>
    <w:r>
      <w:rPr>
        <w:noProof/>
      </w:rPr>
      <w:pict>
        <v:shapetype id="_x0000_t202" coordsize="21600,21600" o:spt="202" path="m,l,21600r21600,l21600,xe">
          <v:stroke joinstyle="miter"/>
          <v:path gradientshapeok="t" o:connecttype="rect"/>
        </v:shapetype>
        <v:shape id="6 Cuadro de texto" o:spid="_x0000_s2049" type="#_x0000_t202" style="position:absolute;left:0;text-align:left;margin-left:2.7pt;margin-top:1.2pt;width:647.15pt;height:34.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bottom" filled="f" fillcolor="white [3201]" stroked="f" strokeweight=".5pt">
          <v:textbox style="mso-next-textbox:#6 Cuadro de texto">
            <w:txbxContent>
              <w:p w:rsidR="00131DBB" w:rsidRPr="00F7692A" w:rsidRDefault="00131DBB" w:rsidP="00984779">
                <w:pPr>
                  <w:jc w:val="center"/>
                  <w:rPr>
                    <w:rFonts w:ascii="DIN Next LT Pro Condensed" w:hAnsi="DIN Next LT Pro Condensed"/>
                    <w:b/>
                    <w:sz w:val="36"/>
                    <w:szCs w:val="28"/>
                    <w:lang w:val="es-MX"/>
                  </w:rPr>
                </w:pPr>
                <w:r w:rsidRPr="00F7692A">
                  <w:rPr>
                    <w:rFonts w:ascii="DIN Next LT Pro Condensed" w:hAnsi="DIN Next LT Pro Condensed"/>
                    <w:b/>
                    <w:sz w:val="36"/>
                    <w:szCs w:val="28"/>
                    <w:lang w:val="es-MX"/>
                  </w:rPr>
                  <w:t>DEUDA PÚBLICA</w:t>
                </w:r>
              </w:p>
            </w:txbxContent>
          </v:textbox>
        </v:shape>
      </w:pict>
    </w:r>
    <w:r w:rsidR="00131DBB">
      <w:tab/>
    </w:r>
    <w:r w:rsidR="00131DBB">
      <w:tab/>
    </w:r>
  </w:p>
  <w:p w:rsidR="00131DBB" w:rsidRDefault="00131DBB" w:rsidP="00DB2ABA">
    <w:pPr>
      <w:pStyle w:val="Encabezado"/>
      <w:tabs>
        <w:tab w:val="left" w:pos="749"/>
        <w:tab w:val="left" w:pos="5430"/>
      </w:tabs>
    </w:pPr>
  </w:p>
  <w:p w:rsidR="00131DBB" w:rsidRDefault="00054C4B" w:rsidP="00B80C44">
    <w:pPr>
      <w:pStyle w:val="Encabezado"/>
      <w:tabs>
        <w:tab w:val="left" w:pos="749"/>
        <w:tab w:val="left" w:pos="5430"/>
      </w:tabs>
    </w:pPr>
    <w:r>
      <w:rPr>
        <w:noProof/>
      </w:rPr>
      <w:pict>
        <v:shape id="Freeform 4" o:spid="_x0000_s2050" style="position:absolute;margin-left:-8.05pt;margin-top:3.15pt;width:678.85pt;height:1.65pt;flip:y;z-index:251661312;visibility:visible;mso-wrap-style:square;mso-wrap-distance-left:9pt;mso-wrap-distance-top:0;mso-wrap-distance-right:9pt;mso-wrap-distance-bottom:0;mso-position-horizontal-relative:text;mso-position-vertical-relative:text;v-text-anchor:top" coordsize="1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" path="m,l12920,e" filled="f" strokeweight="1pt">
          <v:path arrowok="t" o:connecttype="custom" o:connectlocs="0,0;8204200,0" o:connectangles="0,0"/>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89B"/>
    <w:multiLevelType w:val="hybridMultilevel"/>
    <w:tmpl w:val="BB8E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182870"/>
    <w:multiLevelType w:val="hybridMultilevel"/>
    <w:tmpl w:val="043A6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EC4064"/>
    <w:multiLevelType w:val="hybridMultilevel"/>
    <w:tmpl w:val="EF620A26"/>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140C3883"/>
    <w:multiLevelType w:val="hybridMultilevel"/>
    <w:tmpl w:val="7A6AD0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F01DA2"/>
    <w:multiLevelType w:val="hybridMultilevel"/>
    <w:tmpl w:val="9F0E77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42513B"/>
    <w:multiLevelType w:val="hybridMultilevel"/>
    <w:tmpl w:val="0896B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940621"/>
    <w:multiLevelType w:val="hybridMultilevel"/>
    <w:tmpl w:val="83F848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52E7F6E"/>
    <w:multiLevelType w:val="hybridMultilevel"/>
    <w:tmpl w:val="92D8ED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227C9C"/>
    <w:multiLevelType w:val="hybridMultilevel"/>
    <w:tmpl w:val="9774EA0E"/>
    <w:lvl w:ilvl="0" w:tplc="080A0001">
      <w:start w:val="1"/>
      <w:numFmt w:val="bullet"/>
      <w:lvlText w:val=""/>
      <w:lvlJc w:val="left"/>
      <w:pPr>
        <w:ind w:left="835" w:hanging="360"/>
      </w:pPr>
      <w:rPr>
        <w:rFonts w:ascii="Symbol" w:hAnsi="Symbol" w:hint="default"/>
      </w:rPr>
    </w:lvl>
    <w:lvl w:ilvl="1" w:tplc="080A0003" w:tentative="1">
      <w:start w:val="1"/>
      <w:numFmt w:val="bullet"/>
      <w:lvlText w:val="o"/>
      <w:lvlJc w:val="left"/>
      <w:pPr>
        <w:ind w:left="1555" w:hanging="360"/>
      </w:pPr>
      <w:rPr>
        <w:rFonts w:ascii="Courier New" w:hAnsi="Courier New" w:cs="Courier New" w:hint="default"/>
      </w:rPr>
    </w:lvl>
    <w:lvl w:ilvl="2" w:tplc="080A0005" w:tentative="1">
      <w:start w:val="1"/>
      <w:numFmt w:val="bullet"/>
      <w:lvlText w:val=""/>
      <w:lvlJc w:val="left"/>
      <w:pPr>
        <w:ind w:left="2275" w:hanging="360"/>
      </w:pPr>
      <w:rPr>
        <w:rFonts w:ascii="Wingdings" w:hAnsi="Wingdings" w:hint="default"/>
      </w:rPr>
    </w:lvl>
    <w:lvl w:ilvl="3" w:tplc="080A0001" w:tentative="1">
      <w:start w:val="1"/>
      <w:numFmt w:val="bullet"/>
      <w:lvlText w:val=""/>
      <w:lvlJc w:val="left"/>
      <w:pPr>
        <w:ind w:left="2995" w:hanging="360"/>
      </w:pPr>
      <w:rPr>
        <w:rFonts w:ascii="Symbol" w:hAnsi="Symbol" w:hint="default"/>
      </w:rPr>
    </w:lvl>
    <w:lvl w:ilvl="4" w:tplc="080A0003" w:tentative="1">
      <w:start w:val="1"/>
      <w:numFmt w:val="bullet"/>
      <w:lvlText w:val="o"/>
      <w:lvlJc w:val="left"/>
      <w:pPr>
        <w:ind w:left="3715" w:hanging="360"/>
      </w:pPr>
      <w:rPr>
        <w:rFonts w:ascii="Courier New" w:hAnsi="Courier New" w:cs="Courier New" w:hint="default"/>
      </w:rPr>
    </w:lvl>
    <w:lvl w:ilvl="5" w:tplc="080A0005" w:tentative="1">
      <w:start w:val="1"/>
      <w:numFmt w:val="bullet"/>
      <w:lvlText w:val=""/>
      <w:lvlJc w:val="left"/>
      <w:pPr>
        <w:ind w:left="4435" w:hanging="360"/>
      </w:pPr>
      <w:rPr>
        <w:rFonts w:ascii="Wingdings" w:hAnsi="Wingdings" w:hint="default"/>
      </w:rPr>
    </w:lvl>
    <w:lvl w:ilvl="6" w:tplc="080A0001" w:tentative="1">
      <w:start w:val="1"/>
      <w:numFmt w:val="bullet"/>
      <w:lvlText w:val=""/>
      <w:lvlJc w:val="left"/>
      <w:pPr>
        <w:ind w:left="5155" w:hanging="360"/>
      </w:pPr>
      <w:rPr>
        <w:rFonts w:ascii="Symbol" w:hAnsi="Symbol" w:hint="default"/>
      </w:rPr>
    </w:lvl>
    <w:lvl w:ilvl="7" w:tplc="080A0003" w:tentative="1">
      <w:start w:val="1"/>
      <w:numFmt w:val="bullet"/>
      <w:lvlText w:val="o"/>
      <w:lvlJc w:val="left"/>
      <w:pPr>
        <w:ind w:left="5875" w:hanging="360"/>
      </w:pPr>
      <w:rPr>
        <w:rFonts w:ascii="Courier New" w:hAnsi="Courier New" w:cs="Courier New" w:hint="default"/>
      </w:rPr>
    </w:lvl>
    <w:lvl w:ilvl="8" w:tplc="080A0005" w:tentative="1">
      <w:start w:val="1"/>
      <w:numFmt w:val="bullet"/>
      <w:lvlText w:val=""/>
      <w:lvlJc w:val="left"/>
      <w:pPr>
        <w:ind w:left="6595" w:hanging="360"/>
      </w:pPr>
      <w:rPr>
        <w:rFonts w:ascii="Wingdings" w:hAnsi="Wingdings" w:hint="default"/>
      </w:rPr>
    </w:lvl>
  </w:abstractNum>
  <w:abstractNum w:abstractNumId="9" w15:restartNumberingAfterBreak="0">
    <w:nsid w:val="30E15F4B"/>
    <w:multiLevelType w:val="hybridMultilevel"/>
    <w:tmpl w:val="1E120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0E3155"/>
    <w:multiLevelType w:val="hybridMultilevel"/>
    <w:tmpl w:val="9984E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DE45ED"/>
    <w:multiLevelType w:val="hybridMultilevel"/>
    <w:tmpl w:val="C82CF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570D41"/>
    <w:multiLevelType w:val="hybridMultilevel"/>
    <w:tmpl w:val="43A6B0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0624C2"/>
    <w:multiLevelType w:val="hybridMultilevel"/>
    <w:tmpl w:val="BDCE307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EC30EF8"/>
    <w:multiLevelType w:val="hybridMultilevel"/>
    <w:tmpl w:val="DC7CF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BE7642"/>
    <w:multiLevelType w:val="hybridMultilevel"/>
    <w:tmpl w:val="41060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227449"/>
    <w:multiLevelType w:val="hybridMultilevel"/>
    <w:tmpl w:val="F916488C"/>
    <w:lvl w:ilvl="0" w:tplc="F4945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2034DC"/>
    <w:multiLevelType w:val="hybridMultilevel"/>
    <w:tmpl w:val="22C8B2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7C220D"/>
    <w:multiLevelType w:val="hybridMultilevel"/>
    <w:tmpl w:val="E5CC5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272695"/>
    <w:multiLevelType w:val="hybridMultilevel"/>
    <w:tmpl w:val="E5CC5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5E5417"/>
    <w:multiLevelType w:val="hybridMultilevel"/>
    <w:tmpl w:val="79D43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3F63F3"/>
    <w:multiLevelType w:val="hybridMultilevel"/>
    <w:tmpl w:val="732AAD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784634"/>
    <w:multiLevelType w:val="hybridMultilevel"/>
    <w:tmpl w:val="63B0E7D6"/>
    <w:lvl w:ilvl="0" w:tplc="0368017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15:restartNumberingAfterBreak="0">
    <w:nsid w:val="603B0386"/>
    <w:multiLevelType w:val="hybridMultilevel"/>
    <w:tmpl w:val="9F0E77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2C740ED"/>
    <w:multiLevelType w:val="hybridMultilevel"/>
    <w:tmpl w:val="F8162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40446D"/>
    <w:multiLevelType w:val="hybridMultilevel"/>
    <w:tmpl w:val="1AA69B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764D6D"/>
    <w:multiLevelType w:val="hybridMultilevel"/>
    <w:tmpl w:val="5B007F5E"/>
    <w:lvl w:ilvl="0" w:tplc="A53698EC">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260B7C"/>
    <w:multiLevelType w:val="hybridMultilevel"/>
    <w:tmpl w:val="AF80478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12"/>
  </w:num>
  <w:num w:numId="4">
    <w:abstractNumId w:val="23"/>
  </w:num>
  <w:num w:numId="5">
    <w:abstractNumId w:val="4"/>
  </w:num>
  <w:num w:numId="6">
    <w:abstractNumId w:val="25"/>
  </w:num>
  <w:num w:numId="7">
    <w:abstractNumId w:val="5"/>
  </w:num>
  <w:num w:numId="8">
    <w:abstractNumId w:val="24"/>
  </w:num>
  <w:num w:numId="9">
    <w:abstractNumId w:val="8"/>
  </w:num>
  <w:num w:numId="10">
    <w:abstractNumId w:val="21"/>
  </w:num>
  <w:num w:numId="11">
    <w:abstractNumId w:val="15"/>
  </w:num>
  <w:num w:numId="12">
    <w:abstractNumId w:val="26"/>
  </w:num>
  <w:num w:numId="13">
    <w:abstractNumId w:val="10"/>
  </w:num>
  <w:num w:numId="14">
    <w:abstractNumId w:val="18"/>
  </w:num>
  <w:num w:numId="15">
    <w:abstractNumId w:val="13"/>
  </w:num>
  <w:num w:numId="16">
    <w:abstractNumId w:val="22"/>
  </w:num>
  <w:num w:numId="17">
    <w:abstractNumId w:val="17"/>
  </w:num>
  <w:num w:numId="18">
    <w:abstractNumId w:val="7"/>
  </w:num>
  <w:num w:numId="19">
    <w:abstractNumId w:val="1"/>
  </w:num>
  <w:num w:numId="20">
    <w:abstractNumId w:val="6"/>
  </w:num>
  <w:num w:numId="21">
    <w:abstractNumId w:val="19"/>
  </w:num>
  <w:num w:numId="22">
    <w:abstractNumId w:val="16"/>
  </w:num>
  <w:num w:numId="23">
    <w:abstractNumId w:val="0"/>
  </w:num>
  <w:num w:numId="24">
    <w:abstractNumId w:val="20"/>
  </w:num>
  <w:num w:numId="25">
    <w:abstractNumId w:val="9"/>
  </w:num>
  <w:num w:numId="26">
    <w:abstractNumId w:val="27"/>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209DE"/>
    <w:rsid w:val="0000010D"/>
    <w:rsid w:val="00001144"/>
    <w:rsid w:val="000022E1"/>
    <w:rsid w:val="00002B19"/>
    <w:rsid w:val="0000426A"/>
    <w:rsid w:val="0000572D"/>
    <w:rsid w:val="00005E97"/>
    <w:rsid w:val="00006DFC"/>
    <w:rsid w:val="00011AF1"/>
    <w:rsid w:val="00016B18"/>
    <w:rsid w:val="0002185E"/>
    <w:rsid w:val="00023405"/>
    <w:rsid w:val="00025788"/>
    <w:rsid w:val="00027C6F"/>
    <w:rsid w:val="00027F3E"/>
    <w:rsid w:val="0003068F"/>
    <w:rsid w:val="00030C29"/>
    <w:rsid w:val="000313AA"/>
    <w:rsid w:val="0003457A"/>
    <w:rsid w:val="00036593"/>
    <w:rsid w:val="000462AA"/>
    <w:rsid w:val="00052F44"/>
    <w:rsid w:val="00053617"/>
    <w:rsid w:val="00054C4B"/>
    <w:rsid w:val="00055310"/>
    <w:rsid w:val="00057DF9"/>
    <w:rsid w:val="00062C0F"/>
    <w:rsid w:val="00062FBA"/>
    <w:rsid w:val="00064AA6"/>
    <w:rsid w:val="00064BC1"/>
    <w:rsid w:val="0007318B"/>
    <w:rsid w:val="000736C6"/>
    <w:rsid w:val="00083BE7"/>
    <w:rsid w:val="00085E81"/>
    <w:rsid w:val="00091502"/>
    <w:rsid w:val="00092535"/>
    <w:rsid w:val="00092EC4"/>
    <w:rsid w:val="00093103"/>
    <w:rsid w:val="000955E7"/>
    <w:rsid w:val="00096C74"/>
    <w:rsid w:val="000973DE"/>
    <w:rsid w:val="000A00BD"/>
    <w:rsid w:val="000A1432"/>
    <w:rsid w:val="000A27B0"/>
    <w:rsid w:val="000A46D4"/>
    <w:rsid w:val="000A7B75"/>
    <w:rsid w:val="000B016B"/>
    <w:rsid w:val="000B0696"/>
    <w:rsid w:val="000B1074"/>
    <w:rsid w:val="000B484B"/>
    <w:rsid w:val="000B5A18"/>
    <w:rsid w:val="000B5CA8"/>
    <w:rsid w:val="000B75E6"/>
    <w:rsid w:val="000C12CA"/>
    <w:rsid w:val="000C1D55"/>
    <w:rsid w:val="000C5D59"/>
    <w:rsid w:val="000D11A2"/>
    <w:rsid w:val="000D329B"/>
    <w:rsid w:val="000D7497"/>
    <w:rsid w:val="000E037D"/>
    <w:rsid w:val="000E1CB7"/>
    <w:rsid w:val="000E1EAB"/>
    <w:rsid w:val="000E2594"/>
    <w:rsid w:val="000E3CD3"/>
    <w:rsid w:val="000E57D7"/>
    <w:rsid w:val="000F1A69"/>
    <w:rsid w:val="000F3300"/>
    <w:rsid w:val="001029B1"/>
    <w:rsid w:val="00103351"/>
    <w:rsid w:val="001066FE"/>
    <w:rsid w:val="00106DE5"/>
    <w:rsid w:val="001112EB"/>
    <w:rsid w:val="001145B3"/>
    <w:rsid w:val="00115885"/>
    <w:rsid w:val="00116CF8"/>
    <w:rsid w:val="00126762"/>
    <w:rsid w:val="00130597"/>
    <w:rsid w:val="00131DBB"/>
    <w:rsid w:val="00132B42"/>
    <w:rsid w:val="00136ACF"/>
    <w:rsid w:val="00136EE0"/>
    <w:rsid w:val="001376AB"/>
    <w:rsid w:val="0014556C"/>
    <w:rsid w:val="001464B7"/>
    <w:rsid w:val="001527FD"/>
    <w:rsid w:val="0015333D"/>
    <w:rsid w:val="001556CD"/>
    <w:rsid w:val="00156CA2"/>
    <w:rsid w:val="00161763"/>
    <w:rsid w:val="0016217D"/>
    <w:rsid w:val="00164745"/>
    <w:rsid w:val="00164B8B"/>
    <w:rsid w:val="00166632"/>
    <w:rsid w:val="001708B1"/>
    <w:rsid w:val="001762A0"/>
    <w:rsid w:val="0017684D"/>
    <w:rsid w:val="00181423"/>
    <w:rsid w:val="001820F5"/>
    <w:rsid w:val="00182E2A"/>
    <w:rsid w:val="00184B64"/>
    <w:rsid w:val="0019501A"/>
    <w:rsid w:val="00197186"/>
    <w:rsid w:val="00197901"/>
    <w:rsid w:val="001A398B"/>
    <w:rsid w:val="001A517B"/>
    <w:rsid w:val="001A52B0"/>
    <w:rsid w:val="001B487F"/>
    <w:rsid w:val="001C06BF"/>
    <w:rsid w:val="001C11C0"/>
    <w:rsid w:val="001C5894"/>
    <w:rsid w:val="001C5B72"/>
    <w:rsid w:val="001D1673"/>
    <w:rsid w:val="001D18F1"/>
    <w:rsid w:val="001D3D7B"/>
    <w:rsid w:val="001D56F6"/>
    <w:rsid w:val="001E06A9"/>
    <w:rsid w:val="001E1BCE"/>
    <w:rsid w:val="001E45E5"/>
    <w:rsid w:val="001E57BF"/>
    <w:rsid w:val="001E6A73"/>
    <w:rsid w:val="001F221D"/>
    <w:rsid w:val="001F54D2"/>
    <w:rsid w:val="001F622C"/>
    <w:rsid w:val="001F71AC"/>
    <w:rsid w:val="00200A6E"/>
    <w:rsid w:val="00200A86"/>
    <w:rsid w:val="00203E16"/>
    <w:rsid w:val="00207C46"/>
    <w:rsid w:val="00211B8D"/>
    <w:rsid w:val="00213EC4"/>
    <w:rsid w:val="0021417D"/>
    <w:rsid w:val="00220D13"/>
    <w:rsid w:val="0022386F"/>
    <w:rsid w:val="002278E3"/>
    <w:rsid w:val="002311A7"/>
    <w:rsid w:val="0023215A"/>
    <w:rsid w:val="00233053"/>
    <w:rsid w:val="00236459"/>
    <w:rsid w:val="002366B3"/>
    <w:rsid w:val="002369DE"/>
    <w:rsid w:val="00236BC7"/>
    <w:rsid w:val="00240A81"/>
    <w:rsid w:val="00241A2C"/>
    <w:rsid w:val="00243154"/>
    <w:rsid w:val="00246C92"/>
    <w:rsid w:val="002470DF"/>
    <w:rsid w:val="00250446"/>
    <w:rsid w:val="00252A2F"/>
    <w:rsid w:val="00252A86"/>
    <w:rsid w:val="00263C73"/>
    <w:rsid w:val="0026620A"/>
    <w:rsid w:val="002665AB"/>
    <w:rsid w:val="002668ED"/>
    <w:rsid w:val="00272EFB"/>
    <w:rsid w:val="002748FB"/>
    <w:rsid w:val="00276171"/>
    <w:rsid w:val="00277777"/>
    <w:rsid w:val="00280932"/>
    <w:rsid w:val="00284435"/>
    <w:rsid w:val="00285378"/>
    <w:rsid w:val="00285CAF"/>
    <w:rsid w:val="00286613"/>
    <w:rsid w:val="002938E1"/>
    <w:rsid w:val="00293F2D"/>
    <w:rsid w:val="002942C8"/>
    <w:rsid w:val="00296198"/>
    <w:rsid w:val="0029649B"/>
    <w:rsid w:val="002972D6"/>
    <w:rsid w:val="002A16B1"/>
    <w:rsid w:val="002B1992"/>
    <w:rsid w:val="002B264F"/>
    <w:rsid w:val="002B4E8B"/>
    <w:rsid w:val="002B5450"/>
    <w:rsid w:val="002C288C"/>
    <w:rsid w:val="002C29CB"/>
    <w:rsid w:val="002C5608"/>
    <w:rsid w:val="002C6179"/>
    <w:rsid w:val="002C7BB5"/>
    <w:rsid w:val="002D2600"/>
    <w:rsid w:val="002D53ED"/>
    <w:rsid w:val="002E4F58"/>
    <w:rsid w:val="002E66BF"/>
    <w:rsid w:val="002E76C0"/>
    <w:rsid w:val="002F1B27"/>
    <w:rsid w:val="002F1B83"/>
    <w:rsid w:val="002F236D"/>
    <w:rsid w:val="002F2A04"/>
    <w:rsid w:val="00307C07"/>
    <w:rsid w:val="00310120"/>
    <w:rsid w:val="00311371"/>
    <w:rsid w:val="00314373"/>
    <w:rsid w:val="00316C1C"/>
    <w:rsid w:val="00317510"/>
    <w:rsid w:val="003304C8"/>
    <w:rsid w:val="0033217A"/>
    <w:rsid w:val="003365C8"/>
    <w:rsid w:val="00342521"/>
    <w:rsid w:val="00342E2B"/>
    <w:rsid w:val="003438EC"/>
    <w:rsid w:val="00350A41"/>
    <w:rsid w:val="00351E07"/>
    <w:rsid w:val="003538FC"/>
    <w:rsid w:val="0035553C"/>
    <w:rsid w:val="0035636E"/>
    <w:rsid w:val="00357E19"/>
    <w:rsid w:val="00360160"/>
    <w:rsid w:val="0036192B"/>
    <w:rsid w:val="00363AEE"/>
    <w:rsid w:val="00366ACC"/>
    <w:rsid w:val="00367A02"/>
    <w:rsid w:val="00367E40"/>
    <w:rsid w:val="00374BA1"/>
    <w:rsid w:val="003759B4"/>
    <w:rsid w:val="00383804"/>
    <w:rsid w:val="00391163"/>
    <w:rsid w:val="00393D68"/>
    <w:rsid w:val="003955FE"/>
    <w:rsid w:val="003A22E7"/>
    <w:rsid w:val="003A4F3A"/>
    <w:rsid w:val="003A50E8"/>
    <w:rsid w:val="003A6307"/>
    <w:rsid w:val="003C1CB9"/>
    <w:rsid w:val="003C4E4B"/>
    <w:rsid w:val="003D2CD7"/>
    <w:rsid w:val="003D2E7A"/>
    <w:rsid w:val="003D4150"/>
    <w:rsid w:val="003D679B"/>
    <w:rsid w:val="003D6C41"/>
    <w:rsid w:val="003E112A"/>
    <w:rsid w:val="003E3958"/>
    <w:rsid w:val="003E655C"/>
    <w:rsid w:val="003F2A75"/>
    <w:rsid w:val="0040030F"/>
    <w:rsid w:val="00401505"/>
    <w:rsid w:val="004045E0"/>
    <w:rsid w:val="0041041A"/>
    <w:rsid w:val="00410929"/>
    <w:rsid w:val="004116E3"/>
    <w:rsid w:val="00413FC5"/>
    <w:rsid w:val="00414658"/>
    <w:rsid w:val="00414883"/>
    <w:rsid w:val="004157AA"/>
    <w:rsid w:val="00416580"/>
    <w:rsid w:val="0042071D"/>
    <w:rsid w:val="00432023"/>
    <w:rsid w:val="0043282B"/>
    <w:rsid w:val="00432E45"/>
    <w:rsid w:val="00432FCA"/>
    <w:rsid w:val="00434F51"/>
    <w:rsid w:val="0043528C"/>
    <w:rsid w:val="0043603C"/>
    <w:rsid w:val="00436D31"/>
    <w:rsid w:val="00451627"/>
    <w:rsid w:val="0045240B"/>
    <w:rsid w:val="00453633"/>
    <w:rsid w:val="004544AF"/>
    <w:rsid w:val="0045548D"/>
    <w:rsid w:val="0046032A"/>
    <w:rsid w:val="00460627"/>
    <w:rsid w:val="00460AC2"/>
    <w:rsid w:val="00471705"/>
    <w:rsid w:val="00473880"/>
    <w:rsid w:val="00477284"/>
    <w:rsid w:val="00480630"/>
    <w:rsid w:val="00482612"/>
    <w:rsid w:val="00482A34"/>
    <w:rsid w:val="00484A27"/>
    <w:rsid w:val="00486A8F"/>
    <w:rsid w:val="004904BB"/>
    <w:rsid w:val="004926AD"/>
    <w:rsid w:val="004937F2"/>
    <w:rsid w:val="0049390E"/>
    <w:rsid w:val="004A0311"/>
    <w:rsid w:val="004A4349"/>
    <w:rsid w:val="004A6987"/>
    <w:rsid w:val="004A6AF1"/>
    <w:rsid w:val="004A6CE9"/>
    <w:rsid w:val="004B1677"/>
    <w:rsid w:val="004B68B5"/>
    <w:rsid w:val="004C6C52"/>
    <w:rsid w:val="004D0D29"/>
    <w:rsid w:val="004D53DE"/>
    <w:rsid w:val="004D7DD8"/>
    <w:rsid w:val="004D7EB0"/>
    <w:rsid w:val="004E220E"/>
    <w:rsid w:val="004E5E5A"/>
    <w:rsid w:val="004E708B"/>
    <w:rsid w:val="004E73F9"/>
    <w:rsid w:val="004E7C45"/>
    <w:rsid w:val="004F0071"/>
    <w:rsid w:val="004F155B"/>
    <w:rsid w:val="004F47A5"/>
    <w:rsid w:val="004F5D99"/>
    <w:rsid w:val="004F6039"/>
    <w:rsid w:val="0050009C"/>
    <w:rsid w:val="00500CE3"/>
    <w:rsid w:val="00503ADB"/>
    <w:rsid w:val="00506ED4"/>
    <w:rsid w:val="005071A8"/>
    <w:rsid w:val="00512708"/>
    <w:rsid w:val="00514D75"/>
    <w:rsid w:val="00523CB8"/>
    <w:rsid w:val="00525BC8"/>
    <w:rsid w:val="005316B9"/>
    <w:rsid w:val="005346A4"/>
    <w:rsid w:val="005378BB"/>
    <w:rsid w:val="00537FFA"/>
    <w:rsid w:val="00542165"/>
    <w:rsid w:val="005473C5"/>
    <w:rsid w:val="00554856"/>
    <w:rsid w:val="00554E0B"/>
    <w:rsid w:val="005553A6"/>
    <w:rsid w:val="0055678E"/>
    <w:rsid w:val="00557F1C"/>
    <w:rsid w:val="0057165A"/>
    <w:rsid w:val="00572D21"/>
    <w:rsid w:val="00573A27"/>
    <w:rsid w:val="00576E49"/>
    <w:rsid w:val="005770C2"/>
    <w:rsid w:val="00577FA2"/>
    <w:rsid w:val="0058091B"/>
    <w:rsid w:val="00583054"/>
    <w:rsid w:val="005862CC"/>
    <w:rsid w:val="00587C04"/>
    <w:rsid w:val="00592E4E"/>
    <w:rsid w:val="00594B39"/>
    <w:rsid w:val="00594B56"/>
    <w:rsid w:val="005956AC"/>
    <w:rsid w:val="005A0FD9"/>
    <w:rsid w:val="005A205D"/>
    <w:rsid w:val="005A2460"/>
    <w:rsid w:val="005A5673"/>
    <w:rsid w:val="005A693F"/>
    <w:rsid w:val="005A6DA1"/>
    <w:rsid w:val="005A7CBA"/>
    <w:rsid w:val="005B12E3"/>
    <w:rsid w:val="005B1459"/>
    <w:rsid w:val="005B1C0A"/>
    <w:rsid w:val="005B3A6D"/>
    <w:rsid w:val="005C410A"/>
    <w:rsid w:val="005C6324"/>
    <w:rsid w:val="005C6800"/>
    <w:rsid w:val="005D1940"/>
    <w:rsid w:val="005D233E"/>
    <w:rsid w:val="005D2D80"/>
    <w:rsid w:val="005D2F9B"/>
    <w:rsid w:val="005D39EC"/>
    <w:rsid w:val="005D5841"/>
    <w:rsid w:val="005D6A43"/>
    <w:rsid w:val="005E01AD"/>
    <w:rsid w:val="005F29DB"/>
    <w:rsid w:val="00601B14"/>
    <w:rsid w:val="00606895"/>
    <w:rsid w:val="00610664"/>
    <w:rsid w:val="0062527F"/>
    <w:rsid w:val="00625775"/>
    <w:rsid w:val="00626DDF"/>
    <w:rsid w:val="006337A0"/>
    <w:rsid w:val="00635262"/>
    <w:rsid w:val="006373A9"/>
    <w:rsid w:val="00646128"/>
    <w:rsid w:val="00646A8D"/>
    <w:rsid w:val="006525B3"/>
    <w:rsid w:val="00655401"/>
    <w:rsid w:val="006554B2"/>
    <w:rsid w:val="00660CFC"/>
    <w:rsid w:val="00661355"/>
    <w:rsid w:val="00661B73"/>
    <w:rsid w:val="00664978"/>
    <w:rsid w:val="00666BEF"/>
    <w:rsid w:val="006678BB"/>
    <w:rsid w:val="0067158D"/>
    <w:rsid w:val="0067502D"/>
    <w:rsid w:val="00681394"/>
    <w:rsid w:val="00683021"/>
    <w:rsid w:val="0069339A"/>
    <w:rsid w:val="00693DAF"/>
    <w:rsid w:val="00696763"/>
    <w:rsid w:val="00697E41"/>
    <w:rsid w:val="006A3700"/>
    <w:rsid w:val="006A3870"/>
    <w:rsid w:val="006A612A"/>
    <w:rsid w:val="006A657D"/>
    <w:rsid w:val="006A7790"/>
    <w:rsid w:val="006B6408"/>
    <w:rsid w:val="006B7321"/>
    <w:rsid w:val="006C314E"/>
    <w:rsid w:val="006C3770"/>
    <w:rsid w:val="006C413C"/>
    <w:rsid w:val="006D01D8"/>
    <w:rsid w:val="006D5C30"/>
    <w:rsid w:val="006E14FB"/>
    <w:rsid w:val="006E3D46"/>
    <w:rsid w:val="006E75DE"/>
    <w:rsid w:val="006F0B81"/>
    <w:rsid w:val="006F1750"/>
    <w:rsid w:val="006F3FC3"/>
    <w:rsid w:val="006F449C"/>
    <w:rsid w:val="006F50DD"/>
    <w:rsid w:val="006F5A80"/>
    <w:rsid w:val="00702449"/>
    <w:rsid w:val="00703218"/>
    <w:rsid w:val="007053D8"/>
    <w:rsid w:val="00707F95"/>
    <w:rsid w:val="00713541"/>
    <w:rsid w:val="007153E4"/>
    <w:rsid w:val="007174A6"/>
    <w:rsid w:val="00717657"/>
    <w:rsid w:val="007213FC"/>
    <w:rsid w:val="00727961"/>
    <w:rsid w:val="00727C85"/>
    <w:rsid w:val="007306E6"/>
    <w:rsid w:val="0073163B"/>
    <w:rsid w:val="0073165A"/>
    <w:rsid w:val="00732EFD"/>
    <w:rsid w:val="00744B98"/>
    <w:rsid w:val="00745D28"/>
    <w:rsid w:val="007474FF"/>
    <w:rsid w:val="007520C3"/>
    <w:rsid w:val="0075258A"/>
    <w:rsid w:val="0075317C"/>
    <w:rsid w:val="00754E15"/>
    <w:rsid w:val="00760CCA"/>
    <w:rsid w:val="00761BD1"/>
    <w:rsid w:val="00762FE9"/>
    <w:rsid w:val="00763EEF"/>
    <w:rsid w:val="00764F32"/>
    <w:rsid w:val="00766E52"/>
    <w:rsid w:val="00782386"/>
    <w:rsid w:val="0078329C"/>
    <w:rsid w:val="00786951"/>
    <w:rsid w:val="007869A5"/>
    <w:rsid w:val="00786A47"/>
    <w:rsid w:val="00787F12"/>
    <w:rsid w:val="00790338"/>
    <w:rsid w:val="00793B14"/>
    <w:rsid w:val="00793DC2"/>
    <w:rsid w:val="007A2786"/>
    <w:rsid w:val="007A5C66"/>
    <w:rsid w:val="007A60C9"/>
    <w:rsid w:val="007A7368"/>
    <w:rsid w:val="007B0FC6"/>
    <w:rsid w:val="007B2128"/>
    <w:rsid w:val="007B34F5"/>
    <w:rsid w:val="007B5625"/>
    <w:rsid w:val="007C434B"/>
    <w:rsid w:val="007C49EA"/>
    <w:rsid w:val="007C67A0"/>
    <w:rsid w:val="007C7221"/>
    <w:rsid w:val="007D5321"/>
    <w:rsid w:val="007D7945"/>
    <w:rsid w:val="007E4EFA"/>
    <w:rsid w:val="007E6571"/>
    <w:rsid w:val="007E711C"/>
    <w:rsid w:val="007F14AD"/>
    <w:rsid w:val="007F2358"/>
    <w:rsid w:val="007F7054"/>
    <w:rsid w:val="007F7314"/>
    <w:rsid w:val="00800EEA"/>
    <w:rsid w:val="00812A4A"/>
    <w:rsid w:val="00817618"/>
    <w:rsid w:val="00821124"/>
    <w:rsid w:val="0082274E"/>
    <w:rsid w:val="0082397A"/>
    <w:rsid w:val="00824BC5"/>
    <w:rsid w:val="00830048"/>
    <w:rsid w:val="008323A3"/>
    <w:rsid w:val="00840846"/>
    <w:rsid w:val="00841547"/>
    <w:rsid w:val="008432B4"/>
    <w:rsid w:val="00844B53"/>
    <w:rsid w:val="008470B2"/>
    <w:rsid w:val="00847E95"/>
    <w:rsid w:val="008512B0"/>
    <w:rsid w:val="008558E6"/>
    <w:rsid w:val="00857056"/>
    <w:rsid w:val="008704CC"/>
    <w:rsid w:val="0087302F"/>
    <w:rsid w:val="00873D69"/>
    <w:rsid w:val="0087675D"/>
    <w:rsid w:val="00880BE5"/>
    <w:rsid w:val="00881BEA"/>
    <w:rsid w:val="00882FBE"/>
    <w:rsid w:val="0088759E"/>
    <w:rsid w:val="00887D7E"/>
    <w:rsid w:val="008940BD"/>
    <w:rsid w:val="0089472A"/>
    <w:rsid w:val="00895501"/>
    <w:rsid w:val="008976C4"/>
    <w:rsid w:val="008A2D21"/>
    <w:rsid w:val="008A5866"/>
    <w:rsid w:val="008B1029"/>
    <w:rsid w:val="008B262E"/>
    <w:rsid w:val="008B6E8F"/>
    <w:rsid w:val="008B742D"/>
    <w:rsid w:val="008C12E3"/>
    <w:rsid w:val="008C312E"/>
    <w:rsid w:val="008D2B3E"/>
    <w:rsid w:val="008E2840"/>
    <w:rsid w:val="008E37F8"/>
    <w:rsid w:val="008E4609"/>
    <w:rsid w:val="008E5B0C"/>
    <w:rsid w:val="008E7EFC"/>
    <w:rsid w:val="008F57CD"/>
    <w:rsid w:val="008F6F39"/>
    <w:rsid w:val="008F706D"/>
    <w:rsid w:val="009000AA"/>
    <w:rsid w:val="00903B7F"/>
    <w:rsid w:val="00903BF7"/>
    <w:rsid w:val="00911846"/>
    <w:rsid w:val="00912EE2"/>
    <w:rsid w:val="00915CA6"/>
    <w:rsid w:val="00915F6B"/>
    <w:rsid w:val="0091725A"/>
    <w:rsid w:val="00920BC3"/>
    <w:rsid w:val="009221B4"/>
    <w:rsid w:val="0092321D"/>
    <w:rsid w:val="0092391B"/>
    <w:rsid w:val="00927007"/>
    <w:rsid w:val="00930F70"/>
    <w:rsid w:val="00933341"/>
    <w:rsid w:val="009333BF"/>
    <w:rsid w:val="009336A5"/>
    <w:rsid w:val="009436E1"/>
    <w:rsid w:val="00945150"/>
    <w:rsid w:val="00950CD8"/>
    <w:rsid w:val="00954425"/>
    <w:rsid w:val="009560DE"/>
    <w:rsid w:val="009563D2"/>
    <w:rsid w:val="0095799F"/>
    <w:rsid w:val="009625F6"/>
    <w:rsid w:val="009714EF"/>
    <w:rsid w:val="00976A13"/>
    <w:rsid w:val="00981878"/>
    <w:rsid w:val="00981AEA"/>
    <w:rsid w:val="0098223B"/>
    <w:rsid w:val="00984779"/>
    <w:rsid w:val="009901AD"/>
    <w:rsid w:val="00995B89"/>
    <w:rsid w:val="00995CB3"/>
    <w:rsid w:val="0099624A"/>
    <w:rsid w:val="009A181F"/>
    <w:rsid w:val="009A40A0"/>
    <w:rsid w:val="009A4A8F"/>
    <w:rsid w:val="009B08F8"/>
    <w:rsid w:val="009B09B3"/>
    <w:rsid w:val="009B204D"/>
    <w:rsid w:val="009C3BB9"/>
    <w:rsid w:val="009C3C1D"/>
    <w:rsid w:val="009C463C"/>
    <w:rsid w:val="009C4A83"/>
    <w:rsid w:val="009D02AA"/>
    <w:rsid w:val="009D058D"/>
    <w:rsid w:val="009D0C3D"/>
    <w:rsid w:val="009D13F3"/>
    <w:rsid w:val="009D18E7"/>
    <w:rsid w:val="009D78CC"/>
    <w:rsid w:val="009E629D"/>
    <w:rsid w:val="009E7701"/>
    <w:rsid w:val="009F1266"/>
    <w:rsid w:val="009F29A5"/>
    <w:rsid w:val="009F4A34"/>
    <w:rsid w:val="009F4EA1"/>
    <w:rsid w:val="009F4FF5"/>
    <w:rsid w:val="009F50C0"/>
    <w:rsid w:val="00A01DD7"/>
    <w:rsid w:val="00A03FA9"/>
    <w:rsid w:val="00A044F3"/>
    <w:rsid w:val="00A068B2"/>
    <w:rsid w:val="00A07350"/>
    <w:rsid w:val="00A16C04"/>
    <w:rsid w:val="00A17896"/>
    <w:rsid w:val="00A17937"/>
    <w:rsid w:val="00A25BA4"/>
    <w:rsid w:val="00A3039E"/>
    <w:rsid w:val="00A33D90"/>
    <w:rsid w:val="00A349CC"/>
    <w:rsid w:val="00A35000"/>
    <w:rsid w:val="00A472EA"/>
    <w:rsid w:val="00A51B07"/>
    <w:rsid w:val="00A526D3"/>
    <w:rsid w:val="00A57B12"/>
    <w:rsid w:val="00A67592"/>
    <w:rsid w:val="00A70004"/>
    <w:rsid w:val="00A70AC9"/>
    <w:rsid w:val="00A71162"/>
    <w:rsid w:val="00A71CE9"/>
    <w:rsid w:val="00A728FE"/>
    <w:rsid w:val="00A74222"/>
    <w:rsid w:val="00A74F41"/>
    <w:rsid w:val="00A81959"/>
    <w:rsid w:val="00A94E56"/>
    <w:rsid w:val="00A95B9B"/>
    <w:rsid w:val="00AA05F8"/>
    <w:rsid w:val="00AA07B1"/>
    <w:rsid w:val="00AA1D51"/>
    <w:rsid w:val="00AA2984"/>
    <w:rsid w:val="00AA2C0D"/>
    <w:rsid w:val="00AA43D1"/>
    <w:rsid w:val="00AA598F"/>
    <w:rsid w:val="00AA6726"/>
    <w:rsid w:val="00AA6853"/>
    <w:rsid w:val="00AB11D8"/>
    <w:rsid w:val="00AB2950"/>
    <w:rsid w:val="00AB5A23"/>
    <w:rsid w:val="00AB5D9C"/>
    <w:rsid w:val="00AB6998"/>
    <w:rsid w:val="00AB73B3"/>
    <w:rsid w:val="00AC040B"/>
    <w:rsid w:val="00AC0B06"/>
    <w:rsid w:val="00AC1E4C"/>
    <w:rsid w:val="00AC3674"/>
    <w:rsid w:val="00AC616C"/>
    <w:rsid w:val="00AD1AC3"/>
    <w:rsid w:val="00AD1D84"/>
    <w:rsid w:val="00AD2120"/>
    <w:rsid w:val="00AD2341"/>
    <w:rsid w:val="00AD5767"/>
    <w:rsid w:val="00AE6969"/>
    <w:rsid w:val="00AF1997"/>
    <w:rsid w:val="00AF59A6"/>
    <w:rsid w:val="00B014BC"/>
    <w:rsid w:val="00B03A60"/>
    <w:rsid w:val="00B04430"/>
    <w:rsid w:val="00B04C74"/>
    <w:rsid w:val="00B06F5F"/>
    <w:rsid w:val="00B107D1"/>
    <w:rsid w:val="00B123FF"/>
    <w:rsid w:val="00B1489B"/>
    <w:rsid w:val="00B170FA"/>
    <w:rsid w:val="00B22D97"/>
    <w:rsid w:val="00B239E3"/>
    <w:rsid w:val="00B26FC2"/>
    <w:rsid w:val="00B27AEA"/>
    <w:rsid w:val="00B3151C"/>
    <w:rsid w:val="00B31EE4"/>
    <w:rsid w:val="00B35C48"/>
    <w:rsid w:val="00B432A0"/>
    <w:rsid w:val="00B457E3"/>
    <w:rsid w:val="00B4618E"/>
    <w:rsid w:val="00B477CE"/>
    <w:rsid w:val="00B50171"/>
    <w:rsid w:val="00B55AC0"/>
    <w:rsid w:val="00B5615B"/>
    <w:rsid w:val="00B561A0"/>
    <w:rsid w:val="00B6026E"/>
    <w:rsid w:val="00B61019"/>
    <w:rsid w:val="00B6684C"/>
    <w:rsid w:val="00B67A55"/>
    <w:rsid w:val="00B67ED6"/>
    <w:rsid w:val="00B70E46"/>
    <w:rsid w:val="00B71AC2"/>
    <w:rsid w:val="00B72126"/>
    <w:rsid w:val="00B75783"/>
    <w:rsid w:val="00B77354"/>
    <w:rsid w:val="00B80C44"/>
    <w:rsid w:val="00B80CD6"/>
    <w:rsid w:val="00B8114C"/>
    <w:rsid w:val="00B91077"/>
    <w:rsid w:val="00B918FF"/>
    <w:rsid w:val="00B96158"/>
    <w:rsid w:val="00B9615C"/>
    <w:rsid w:val="00BA00B3"/>
    <w:rsid w:val="00BA193A"/>
    <w:rsid w:val="00BA3225"/>
    <w:rsid w:val="00BA6E41"/>
    <w:rsid w:val="00BA716B"/>
    <w:rsid w:val="00BA7E7B"/>
    <w:rsid w:val="00BB6887"/>
    <w:rsid w:val="00BB7EF9"/>
    <w:rsid w:val="00BC0A77"/>
    <w:rsid w:val="00BC1102"/>
    <w:rsid w:val="00BC4FAF"/>
    <w:rsid w:val="00BD5147"/>
    <w:rsid w:val="00BD6103"/>
    <w:rsid w:val="00BD77DD"/>
    <w:rsid w:val="00BD7D62"/>
    <w:rsid w:val="00BE0075"/>
    <w:rsid w:val="00BE0AE1"/>
    <w:rsid w:val="00BE4A82"/>
    <w:rsid w:val="00BE54DB"/>
    <w:rsid w:val="00BE57CF"/>
    <w:rsid w:val="00BF2303"/>
    <w:rsid w:val="00BF4A83"/>
    <w:rsid w:val="00BF4CEB"/>
    <w:rsid w:val="00C01350"/>
    <w:rsid w:val="00C0402C"/>
    <w:rsid w:val="00C055EB"/>
    <w:rsid w:val="00C10822"/>
    <w:rsid w:val="00C1108D"/>
    <w:rsid w:val="00C1215F"/>
    <w:rsid w:val="00C13C35"/>
    <w:rsid w:val="00C1772F"/>
    <w:rsid w:val="00C17906"/>
    <w:rsid w:val="00C21941"/>
    <w:rsid w:val="00C2207C"/>
    <w:rsid w:val="00C22D01"/>
    <w:rsid w:val="00C22E0C"/>
    <w:rsid w:val="00C25D21"/>
    <w:rsid w:val="00C35596"/>
    <w:rsid w:val="00C359F5"/>
    <w:rsid w:val="00C37DB3"/>
    <w:rsid w:val="00C400F7"/>
    <w:rsid w:val="00C41285"/>
    <w:rsid w:val="00C41BF9"/>
    <w:rsid w:val="00C45EFB"/>
    <w:rsid w:val="00C463D2"/>
    <w:rsid w:val="00C46836"/>
    <w:rsid w:val="00C47762"/>
    <w:rsid w:val="00C503C4"/>
    <w:rsid w:val="00C613F7"/>
    <w:rsid w:val="00C669FA"/>
    <w:rsid w:val="00C70CD9"/>
    <w:rsid w:val="00C75964"/>
    <w:rsid w:val="00C8091C"/>
    <w:rsid w:val="00C8366F"/>
    <w:rsid w:val="00C851EE"/>
    <w:rsid w:val="00C86FC9"/>
    <w:rsid w:val="00C91A96"/>
    <w:rsid w:val="00C92E1D"/>
    <w:rsid w:val="00C93021"/>
    <w:rsid w:val="00CA07DD"/>
    <w:rsid w:val="00CA2C40"/>
    <w:rsid w:val="00CA3222"/>
    <w:rsid w:val="00CA5C69"/>
    <w:rsid w:val="00CA5DAE"/>
    <w:rsid w:val="00CA6AC1"/>
    <w:rsid w:val="00CA6F26"/>
    <w:rsid w:val="00CB18F4"/>
    <w:rsid w:val="00CB2AB5"/>
    <w:rsid w:val="00CB2C03"/>
    <w:rsid w:val="00CB732E"/>
    <w:rsid w:val="00CB7F10"/>
    <w:rsid w:val="00CC094D"/>
    <w:rsid w:val="00CC0CFB"/>
    <w:rsid w:val="00CC1181"/>
    <w:rsid w:val="00CC2C03"/>
    <w:rsid w:val="00CC4EAC"/>
    <w:rsid w:val="00CD14F1"/>
    <w:rsid w:val="00CD5958"/>
    <w:rsid w:val="00CD6218"/>
    <w:rsid w:val="00CD6456"/>
    <w:rsid w:val="00CD7173"/>
    <w:rsid w:val="00CE1860"/>
    <w:rsid w:val="00CE1D78"/>
    <w:rsid w:val="00CE408E"/>
    <w:rsid w:val="00CE67F9"/>
    <w:rsid w:val="00CF0787"/>
    <w:rsid w:val="00CF2937"/>
    <w:rsid w:val="00CF3384"/>
    <w:rsid w:val="00CF481F"/>
    <w:rsid w:val="00CF6CA6"/>
    <w:rsid w:val="00CF772C"/>
    <w:rsid w:val="00D002C9"/>
    <w:rsid w:val="00D01778"/>
    <w:rsid w:val="00D02BC8"/>
    <w:rsid w:val="00D102BE"/>
    <w:rsid w:val="00D165DD"/>
    <w:rsid w:val="00D176C2"/>
    <w:rsid w:val="00D210AB"/>
    <w:rsid w:val="00D223C1"/>
    <w:rsid w:val="00D2296A"/>
    <w:rsid w:val="00D2317E"/>
    <w:rsid w:val="00D34112"/>
    <w:rsid w:val="00D35365"/>
    <w:rsid w:val="00D42BBC"/>
    <w:rsid w:val="00D43ABE"/>
    <w:rsid w:val="00D4620F"/>
    <w:rsid w:val="00D54541"/>
    <w:rsid w:val="00D56AB5"/>
    <w:rsid w:val="00D65836"/>
    <w:rsid w:val="00D70208"/>
    <w:rsid w:val="00D731DD"/>
    <w:rsid w:val="00D82AE6"/>
    <w:rsid w:val="00D840CA"/>
    <w:rsid w:val="00D85076"/>
    <w:rsid w:val="00D852A6"/>
    <w:rsid w:val="00D86539"/>
    <w:rsid w:val="00D8717F"/>
    <w:rsid w:val="00D87E8B"/>
    <w:rsid w:val="00D9099E"/>
    <w:rsid w:val="00D965C4"/>
    <w:rsid w:val="00DA05F3"/>
    <w:rsid w:val="00DA3A12"/>
    <w:rsid w:val="00DA3C0B"/>
    <w:rsid w:val="00DA3E0D"/>
    <w:rsid w:val="00DA3EBF"/>
    <w:rsid w:val="00DA4504"/>
    <w:rsid w:val="00DB177F"/>
    <w:rsid w:val="00DB2ABA"/>
    <w:rsid w:val="00DB4FB7"/>
    <w:rsid w:val="00DB6525"/>
    <w:rsid w:val="00DB7693"/>
    <w:rsid w:val="00DB7766"/>
    <w:rsid w:val="00DC14DB"/>
    <w:rsid w:val="00DC1E9E"/>
    <w:rsid w:val="00DC290E"/>
    <w:rsid w:val="00DC317E"/>
    <w:rsid w:val="00DC4EDC"/>
    <w:rsid w:val="00DC563E"/>
    <w:rsid w:val="00DD1907"/>
    <w:rsid w:val="00DD2123"/>
    <w:rsid w:val="00DD40FC"/>
    <w:rsid w:val="00DD5F62"/>
    <w:rsid w:val="00DE31B6"/>
    <w:rsid w:val="00DE320A"/>
    <w:rsid w:val="00DE7567"/>
    <w:rsid w:val="00DF51DC"/>
    <w:rsid w:val="00DF5509"/>
    <w:rsid w:val="00E00CA4"/>
    <w:rsid w:val="00E05D5A"/>
    <w:rsid w:val="00E074F3"/>
    <w:rsid w:val="00E07C2B"/>
    <w:rsid w:val="00E1346B"/>
    <w:rsid w:val="00E20611"/>
    <w:rsid w:val="00E209DE"/>
    <w:rsid w:val="00E21728"/>
    <w:rsid w:val="00E22BA3"/>
    <w:rsid w:val="00E24A7B"/>
    <w:rsid w:val="00E27370"/>
    <w:rsid w:val="00E27DE4"/>
    <w:rsid w:val="00E3498F"/>
    <w:rsid w:val="00E35AA9"/>
    <w:rsid w:val="00E36FC3"/>
    <w:rsid w:val="00E403EC"/>
    <w:rsid w:val="00E41980"/>
    <w:rsid w:val="00E420BD"/>
    <w:rsid w:val="00E43052"/>
    <w:rsid w:val="00E4462F"/>
    <w:rsid w:val="00E448DD"/>
    <w:rsid w:val="00E473AF"/>
    <w:rsid w:val="00E5538C"/>
    <w:rsid w:val="00E55F2A"/>
    <w:rsid w:val="00E615E7"/>
    <w:rsid w:val="00E62148"/>
    <w:rsid w:val="00E62506"/>
    <w:rsid w:val="00E63642"/>
    <w:rsid w:val="00E66B42"/>
    <w:rsid w:val="00E67702"/>
    <w:rsid w:val="00E7435D"/>
    <w:rsid w:val="00E74A21"/>
    <w:rsid w:val="00E7585E"/>
    <w:rsid w:val="00E81D1A"/>
    <w:rsid w:val="00E836C6"/>
    <w:rsid w:val="00E83E5D"/>
    <w:rsid w:val="00E8565D"/>
    <w:rsid w:val="00E85C8D"/>
    <w:rsid w:val="00E92BC3"/>
    <w:rsid w:val="00E93185"/>
    <w:rsid w:val="00E94540"/>
    <w:rsid w:val="00E948FA"/>
    <w:rsid w:val="00E959C1"/>
    <w:rsid w:val="00E96727"/>
    <w:rsid w:val="00E96C9D"/>
    <w:rsid w:val="00EA2AF8"/>
    <w:rsid w:val="00EA5D21"/>
    <w:rsid w:val="00EA7C0B"/>
    <w:rsid w:val="00EA7E2E"/>
    <w:rsid w:val="00EB049B"/>
    <w:rsid w:val="00EB242E"/>
    <w:rsid w:val="00EB6EA5"/>
    <w:rsid w:val="00EC1A91"/>
    <w:rsid w:val="00EC4DFE"/>
    <w:rsid w:val="00EC5CFF"/>
    <w:rsid w:val="00EC798F"/>
    <w:rsid w:val="00ED11F1"/>
    <w:rsid w:val="00ED7E49"/>
    <w:rsid w:val="00EE3124"/>
    <w:rsid w:val="00EE48A5"/>
    <w:rsid w:val="00EE55F6"/>
    <w:rsid w:val="00EE7278"/>
    <w:rsid w:val="00EF1824"/>
    <w:rsid w:val="00EF1B01"/>
    <w:rsid w:val="00EF2BEB"/>
    <w:rsid w:val="00EF352B"/>
    <w:rsid w:val="00EF45D5"/>
    <w:rsid w:val="00EF5B30"/>
    <w:rsid w:val="00F01A49"/>
    <w:rsid w:val="00F01DE4"/>
    <w:rsid w:val="00F04739"/>
    <w:rsid w:val="00F127C1"/>
    <w:rsid w:val="00F16177"/>
    <w:rsid w:val="00F16DD4"/>
    <w:rsid w:val="00F230C6"/>
    <w:rsid w:val="00F31557"/>
    <w:rsid w:val="00F31DB7"/>
    <w:rsid w:val="00F3564B"/>
    <w:rsid w:val="00F40974"/>
    <w:rsid w:val="00F41B8D"/>
    <w:rsid w:val="00F42378"/>
    <w:rsid w:val="00F42BC6"/>
    <w:rsid w:val="00F44771"/>
    <w:rsid w:val="00F4526D"/>
    <w:rsid w:val="00F471C5"/>
    <w:rsid w:val="00F50124"/>
    <w:rsid w:val="00F513A6"/>
    <w:rsid w:val="00F53593"/>
    <w:rsid w:val="00F535A9"/>
    <w:rsid w:val="00F54BD5"/>
    <w:rsid w:val="00F55154"/>
    <w:rsid w:val="00F563E8"/>
    <w:rsid w:val="00F579B3"/>
    <w:rsid w:val="00F62A20"/>
    <w:rsid w:val="00F6486C"/>
    <w:rsid w:val="00F65E83"/>
    <w:rsid w:val="00F72F74"/>
    <w:rsid w:val="00F73921"/>
    <w:rsid w:val="00F7398D"/>
    <w:rsid w:val="00F75161"/>
    <w:rsid w:val="00F7692A"/>
    <w:rsid w:val="00F807BC"/>
    <w:rsid w:val="00F82E0A"/>
    <w:rsid w:val="00F83CAA"/>
    <w:rsid w:val="00F84985"/>
    <w:rsid w:val="00F850AE"/>
    <w:rsid w:val="00F87A84"/>
    <w:rsid w:val="00F90ED8"/>
    <w:rsid w:val="00F918AA"/>
    <w:rsid w:val="00F94AEA"/>
    <w:rsid w:val="00F9791C"/>
    <w:rsid w:val="00FA45C6"/>
    <w:rsid w:val="00FA476F"/>
    <w:rsid w:val="00FB315F"/>
    <w:rsid w:val="00FB4E39"/>
    <w:rsid w:val="00FB5443"/>
    <w:rsid w:val="00FB6A64"/>
    <w:rsid w:val="00FB6C99"/>
    <w:rsid w:val="00FB76DA"/>
    <w:rsid w:val="00FC1486"/>
    <w:rsid w:val="00FC2623"/>
    <w:rsid w:val="00FC5562"/>
    <w:rsid w:val="00FC5918"/>
    <w:rsid w:val="00FC5AB1"/>
    <w:rsid w:val="00FC791B"/>
    <w:rsid w:val="00FC7A80"/>
    <w:rsid w:val="00FD09D8"/>
    <w:rsid w:val="00FD4480"/>
    <w:rsid w:val="00FD6EED"/>
    <w:rsid w:val="00FD7261"/>
    <w:rsid w:val="00FE144A"/>
    <w:rsid w:val="00FE28D4"/>
    <w:rsid w:val="00FE40FE"/>
    <w:rsid w:val="00FE556F"/>
    <w:rsid w:val="00FE76FE"/>
    <w:rsid w:val="00FE79A5"/>
    <w:rsid w:val="00FF36D3"/>
    <w:rsid w:val="00FF5430"/>
    <w:rsid w:val="00FF653E"/>
    <w:rsid w:val="00FF6B33"/>
    <w:rsid w:val="00FF6F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E950FF64-21BA-4867-A011-6AC6016B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A18"/>
    <w:rPr>
      <w:rFonts w:ascii="Cambria" w:eastAsia="MS Mincho" w:hAnsi="Cambria" w:cs="Times New Roman"/>
      <w:sz w:val="24"/>
      <w:szCs w:val="24"/>
      <w:lang w:val="es-ES_tradnl"/>
    </w:rPr>
  </w:style>
  <w:style w:type="paragraph" w:styleId="Ttulo1">
    <w:name w:val="heading 1"/>
    <w:basedOn w:val="Normal"/>
    <w:next w:val="Normal"/>
    <w:link w:val="Ttulo1Car"/>
    <w:uiPriority w:val="9"/>
    <w:qFormat/>
    <w:rsid w:val="00920B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20B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20BC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9DE"/>
    <w:pPr>
      <w:tabs>
        <w:tab w:val="center" w:pos="4419"/>
        <w:tab w:val="right" w:pos="8838"/>
      </w:tabs>
    </w:pPr>
    <w:rPr>
      <w:rFonts w:asciiTheme="minorHAnsi" w:eastAsiaTheme="minorHAnsi" w:hAnsiTheme="minorHAnsi" w:cstheme="minorBidi"/>
      <w:sz w:val="22"/>
      <w:szCs w:val="22"/>
      <w:lang w:val="es-MX"/>
    </w:rPr>
  </w:style>
  <w:style w:type="character" w:customStyle="1" w:styleId="EncabezadoCar">
    <w:name w:val="Encabezado Car"/>
    <w:basedOn w:val="Fuentedeprrafopredeter"/>
    <w:link w:val="Encabezado"/>
    <w:uiPriority w:val="99"/>
    <w:rsid w:val="00E209DE"/>
  </w:style>
  <w:style w:type="paragraph" w:styleId="Piedepgina">
    <w:name w:val="footer"/>
    <w:basedOn w:val="Normal"/>
    <w:link w:val="PiedepginaCar"/>
    <w:uiPriority w:val="99"/>
    <w:unhideWhenUsed/>
    <w:rsid w:val="00E209DE"/>
    <w:pPr>
      <w:tabs>
        <w:tab w:val="center" w:pos="4419"/>
        <w:tab w:val="right" w:pos="8838"/>
      </w:tabs>
    </w:pPr>
    <w:rPr>
      <w:rFonts w:asciiTheme="minorHAnsi" w:eastAsiaTheme="minorHAnsi" w:hAnsiTheme="minorHAnsi" w:cstheme="minorBidi"/>
      <w:sz w:val="22"/>
      <w:szCs w:val="22"/>
      <w:lang w:val="es-MX"/>
    </w:rPr>
  </w:style>
  <w:style w:type="character" w:customStyle="1" w:styleId="PiedepginaCar">
    <w:name w:val="Pie de página Car"/>
    <w:basedOn w:val="Fuentedeprrafopredeter"/>
    <w:link w:val="Piedepgina"/>
    <w:uiPriority w:val="99"/>
    <w:rsid w:val="00E209DE"/>
  </w:style>
  <w:style w:type="paragraph" w:styleId="Textodeglobo">
    <w:name w:val="Balloon Text"/>
    <w:basedOn w:val="Normal"/>
    <w:link w:val="TextodegloboCar"/>
    <w:uiPriority w:val="99"/>
    <w:semiHidden/>
    <w:unhideWhenUsed/>
    <w:rsid w:val="003C4E4B"/>
    <w:rPr>
      <w:rFonts w:ascii="Tahoma" w:hAnsi="Tahoma" w:cs="Tahoma"/>
      <w:sz w:val="16"/>
      <w:szCs w:val="16"/>
    </w:rPr>
  </w:style>
  <w:style w:type="character" w:customStyle="1" w:styleId="TextodegloboCar">
    <w:name w:val="Texto de globo Car"/>
    <w:basedOn w:val="Fuentedeprrafopredeter"/>
    <w:link w:val="Textodeglobo"/>
    <w:uiPriority w:val="99"/>
    <w:semiHidden/>
    <w:rsid w:val="003C4E4B"/>
    <w:rPr>
      <w:rFonts w:ascii="Tahoma" w:hAnsi="Tahoma" w:cs="Tahoma"/>
      <w:sz w:val="16"/>
      <w:szCs w:val="16"/>
    </w:rPr>
  </w:style>
  <w:style w:type="table" w:styleId="Tablaconcuadrcula">
    <w:name w:val="Table Grid"/>
    <w:basedOn w:val="Tablanormal"/>
    <w:uiPriority w:val="59"/>
    <w:rsid w:val="00F535A9"/>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D5F62"/>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920BC3"/>
    <w:rPr>
      <w:rFonts w:ascii="Cambria" w:eastAsia="MS Mincho" w:hAnsi="Cambria" w:cs="Times New Roman"/>
      <w:sz w:val="24"/>
      <w:szCs w:val="24"/>
      <w:lang w:val="es-ES_tradnl"/>
    </w:rPr>
  </w:style>
  <w:style w:type="character" w:customStyle="1" w:styleId="Ttulo1Car">
    <w:name w:val="Título 1 Car"/>
    <w:basedOn w:val="Fuentedeprrafopredeter"/>
    <w:link w:val="Ttulo1"/>
    <w:uiPriority w:val="9"/>
    <w:rsid w:val="00920BC3"/>
    <w:rPr>
      <w:rFonts w:asciiTheme="majorHAnsi" w:eastAsiaTheme="majorEastAsia" w:hAnsiTheme="majorHAnsi" w:cstheme="majorBidi"/>
      <w:b/>
      <w:bCs/>
      <w:color w:val="365F91" w:themeColor="accent1" w:themeShade="BF"/>
      <w:sz w:val="28"/>
      <w:szCs w:val="28"/>
      <w:lang w:val="es-ES_tradnl"/>
    </w:rPr>
  </w:style>
  <w:style w:type="paragraph" w:styleId="Puesto">
    <w:name w:val="Title"/>
    <w:basedOn w:val="Normal"/>
    <w:next w:val="Normal"/>
    <w:link w:val="PuestoCar"/>
    <w:uiPriority w:val="10"/>
    <w:qFormat/>
    <w:rsid w:val="00920B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920BC3"/>
    <w:rPr>
      <w:rFonts w:asciiTheme="majorHAnsi" w:eastAsiaTheme="majorEastAsia" w:hAnsiTheme="majorHAnsi" w:cstheme="majorBidi"/>
      <w:color w:val="17365D" w:themeColor="text2" w:themeShade="BF"/>
      <w:spacing w:val="5"/>
      <w:kern w:val="28"/>
      <w:sz w:val="52"/>
      <w:szCs w:val="52"/>
      <w:lang w:val="es-ES_tradnl"/>
    </w:rPr>
  </w:style>
  <w:style w:type="paragraph" w:styleId="Subttulo">
    <w:name w:val="Subtitle"/>
    <w:basedOn w:val="Normal"/>
    <w:next w:val="Normal"/>
    <w:link w:val="SubttuloCar"/>
    <w:uiPriority w:val="11"/>
    <w:qFormat/>
    <w:rsid w:val="00920BC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920BC3"/>
    <w:rPr>
      <w:rFonts w:asciiTheme="majorHAnsi" w:eastAsiaTheme="majorEastAsia" w:hAnsiTheme="majorHAnsi" w:cstheme="majorBidi"/>
      <w:i/>
      <w:iCs/>
      <w:color w:val="4F81BD" w:themeColor="accent1"/>
      <w:spacing w:val="15"/>
      <w:sz w:val="24"/>
      <w:szCs w:val="24"/>
      <w:lang w:val="es-ES_tradnl"/>
    </w:rPr>
  </w:style>
  <w:style w:type="character" w:styleId="nfasissutil">
    <w:name w:val="Subtle Emphasis"/>
    <w:basedOn w:val="Fuentedeprrafopredeter"/>
    <w:uiPriority w:val="19"/>
    <w:qFormat/>
    <w:rsid w:val="00920BC3"/>
    <w:rPr>
      <w:i/>
      <w:iCs/>
      <w:color w:val="808080" w:themeColor="text1" w:themeTint="7F"/>
    </w:rPr>
  </w:style>
  <w:style w:type="character" w:styleId="nfasis">
    <w:name w:val="Emphasis"/>
    <w:basedOn w:val="Fuentedeprrafopredeter"/>
    <w:uiPriority w:val="20"/>
    <w:qFormat/>
    <w:rsid w:val="00920BC3"/>
    <w:rPr>
      <w:i/>
      <w:iCs/>
    </w:rPr>
  </w:style>
  <w:style w:type="character" w:styleId="nfasisintenso">
    <w:name w:val="Intense Emphasis"/>
    <w:basedOn w:val="Fuentedeprrafopredeter"/>
    <w:uiPriority w:val="21"/>
    <w:qFormat/>
    <w:rsid w:val="00920BC3"/>
    <w:rPr>
      <w:b/>
      <w:bCs/>
      <w:i/>
      <w:iCs/>
      <w:color w:val="4F81BD" w:themeColor="accent1"/>
    </w:rPr>
  </w:style>
  <w:style w:type="character" w:styleId="Textoennegrita">
    <w:name w:val="Strong"/>
    <w:basedOn w:val="Fuentedeprrafopredeter"/>
    <w:uiPriority w:val="22"/>
    <w:qFormat/>
    <w:rsid w:val="00920BC3"/>
    <w:rPr>
      <w:b/>
      <w:bCs/>
    </w:rPr>
  </w:style>
  <w:style w:type="character" w:customStyle="1" w:styleId="Ttulo2Car">
    <w:name w:val="Título 2 Car"/>
    <w:basedOn w:val="Fuentedeprrafopredeter"/>
    <w:link w:val="Ttulo2"/>
    <w:uiPriority w:val="9"/>
    <w:rsid w:val="00920BC3"/>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basedOn w:val="Fuentedeprrafopredeter"/>
    <w:link w:val="Ttulo3"/>
    <w:uiPriority w:val="9"/>
    <w:rsid w:val="00920BC3"/>
    <w:rPr>
      <w:rFonts w:asciiTheme="majorHAnsi" w:eastAsiaTheme="majorEastAsia" w:hAnsiTheme="majorHAnsi" w:cstheme="majorBidi"/>
      <w:b/>
      <w:bCs/>
      <w:color w:val="4F81BD" w:themeColor="accent1"/>
      <w:sz w:val="24"/>
      <w:szCs w:val="24"/>
      <w:lang w:val="es-ES_tradnl"/>
    </w:rPr>
  </w:style>
  <w:style w:type="paragraph" w:styleId="Prrafodelista">
    <w:name w:val="List Paragraph"/>
    <w:basedOn w:val="Normal"/>
    <w:link w:val="PrrafodelistaCar"/>
    <w:uiPriority w:val="34"/>
    <w:qFormat/>
    <w:rsid w:val="00AA2C0D"/>
    <w:pPr>
      <w:ind w:left="720"/>
      <w:contextualSpacing/>
    </w:pPr>
  </w:style>
  <w:style w:type="character" w:customStyle="1" w:styleId="SinespaciadoCar">
    <w:name w:val="Sin espaciado Car"/>
    <w:basedOn w:val="Fuentedeprrafopredeter"/>
    <w:link w:val="Sinespaciado"/>
    <w:uiPriority w:val="1"/>
    <w:rsid w:val="00FC7A80"/>
    <w:rPr>
      <w:rFonts w:ascii="Cambria" w:eastAsia="MS Mincho" w:hAnsi="Cambria" w:cs="Times New Roman"/>
      <w:sz w:val="24"/>
      <w:szCs w:val="24"/>
      <w:lang w:val="es-ES_tradnl"/>
    </w:rPr>
  </w:style>
  <w:style w:type="paragraph" w:styleId="Textoindependiente">
    <w:name w:val="Body Text"/>
    <w:basedOn w:val="Normal"/>
    <w:link w:val="TextoindependienteCar"/>
    <w:rsid w:val="00DB2ABA"/>
    <w:pPr>
      <w:jc w:val="both"/>
    </w:pPr>
    <w:rPr>
      <w:rFonts w:ascii="Times New Roman" w:eastAsia="Times New Roman" w:hAnsi="Times New Roman"/>
      <w:lang w:val="es-ES" w:eastAsia="es-ES"/>
    </w:rPr>
  </w:style>
  <w:style w:type="character" w:customStyle="1" w:styleId="TextoindependienteCar">
    <w:name w:val="Texto independiente Car"/>
    <w:basedOn w:val="Fuentedeprrafopredeter"/>
    <w:link w:val="Textoindependiente"/>
    <w:rsid w:val="00DB2ABA"/>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C1108D"/>
    <w:rPr>
      <w:rFonts w:ascii="Cambria" w:eastAsia="MS Mincho" w:hAnsi="Cambria" w:cs="Times New Roman"/>
      <w:sz w:val="24"/>
      <w:szCs w:val="24"/>
      <w:lang w:val="es-ES_tradnl"/>
    </w:rPr>
  </w:style>
  <w:style w:type="paragraph" w:styleId="NormalWeb">
    <w:name w:val="Normal (Web)"/>
    <w:basedOn w:val="Normal"/>
    <w:uiPriority w:val="99"/>
    <w:semiHidden/>
    <w:unhideWhenUsed/>
    <w:rsid w:val="00AA43D1"/>
    <w:pPr>
      <w:spacing w:before="100" w:beforeAutospacing="1" w:after="100" w:afterAutospacing="1"/>
    </w:pPr>
    <w:rPr>
      <w:rFonts w:ascii="Times New Roman" w:eastAsiaTheme="minorEastAsia"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652">
      <w:bodyDiv w:val="1"/>
      <w:marLeft w:val="0"/>
      <w:marRight w:val="0"/>
      <w:marTop w:val="0"/>
      <w:marBottom w:val="0"/>
      <w:divBdr>
        <w:top w:val="none" w:sz="0" w:space="0" w:color="auto"/>
        <w:left w:val="none" w:sz="0" w:space="0" w:color="auto"/>
        <w:bottom w:val="none" w:sz="0" w:space="0" w:color="auto"/>
        <w:right w:val="none" w:sz="0" w:space="0" w:color="auto"/>
      </w:divBdr>
    </w:div>
    <w:div w:id="14187275">
      <w:bodyDiv w:val="1"/>
      <w:marLeft w:val="0"/>
      <w:marRight w:val="0"/>
      <w:marTop w:val="0"/>
      <w:marBottom w:val="0"/>
      <w:divBdr>
        <w:top w:val="none" w:sz="0" w:space="0" w:color="auto"/>
        <w:left w:val="none" w:sz="0" w:space="0" w:color="auto"/>
        <w:bottom w:val="none" w:sz="0" w:space="0" w:color="auto"/>
        <w:right w:val="none" w:sz="0" w:space="0" w:color="auto"/>
      </w:divBdr>
    </w:div>
    <w:div w:id="22949984">
      <w:bodyDiv w:val="1"/>
      <w:marLeft w:val="0"/>
      <w:marRight w:val="0"/>
      <w:marTop w:val="0"/>
      <w:marBottom w:val="0"/>
      <w:divBdr>
        <w:top w:val="none" w:sz="0" w:space="0" w:color="auto"/>
        <w:left w:val="none" w:sz="0" w:space="0" w:color="auto"/>
        <w:bottom w:val="none" w:sz="0" w:space="0" w:color="auto"/>
        <w:right w:val="none" w:sz="0" w:space="0" w:color="auto"/>
      </w:divBdr>
    </w:div>
    <w:div w:id="52975119">
      <w:bodyDiv w:val="1"/>
      <w:marLeft w:val="0"/>
      <w:marRight w:val="0"/>
      <w:marTop w:val="0"/>
      <w:marBottom w:val="0"/>
      <w:divBdr>
        <w:top w:val="none" w:sz="0" w:space="0" w:color="auto"/>
        <w:left w:val="none" w:sz="0" w:space="0" w:color="auto"/>
        <w:bottom w:val="none" w:sz="0" w:space="0" w:color="auto"/>
        <w:right w:val="none" w:sz="0" w:space="0" w:color="auto"/>
      </w:divBdr>
    </w:div>
    <w:div w:id="55248671">
      <w:bodyDiv w:val="1"/>
      <w:marLeft w:val="0"/>
      <w:marRight w:val="0"/>
      <w:marTop w:val="0"/>
      <w:marBottom w:val="0"/>
      <w:divBdr>
        <w:top w:val="none" w:sz="0" w:space="0" w:color="auto"/>
        <w:left w:val="none" w:sz="0" w:space="0" w:color="auto"/>
        <w:bottom w:val="none" w:sz="0" w:space="0" w:color="auto"/>
        <w:right w:val="none" w:sz="0" w:space="0" w:color="auto"/>
      </w:divBdr>
    </w:div>
    <w:div w:id="90703766">
      <w:bodyDiv w:val="1"/>
      <w:marLeft w:val="0"/>
      <w:marRight w:val="0"/>
      <w:marTop w:val="0"/>
      <w:marBottom w:val="0"/>
      <w:divBdr>
        <w:top w:val="none" w:sz="0" w:space="0" w:color="auto"/>
        <w:left w:val="none" w:sz="0" w:space="0" w:color="auto"/>
        <w:bottom w:val="none" w:sz="0" w:space="0" w:color="auto"/>
        <w:right w:val="none" w:sz="0" w:space="0" w:color="auto"/>
      </w:divBdr>
    </w:div>
    <w:div w:id="96289249">
      <w:bodyDiv w:val="1"/>
      <w:marLeft w:val="0"/>
      <w:marRight w:val="0"/>
      <w:marTop w:val="0"/>
      <w:marBottom w:val="0"/>
      <w:divBdr>
        <w:top w:val="none" w:sz="0" w:space="0" w:color="auto"/>
        <w:left w:val="none" w:sz="0" w:space="0" w:color="auto"/>
        <w:bottom w:val="none" w:sz="0" w:space="0" w:color="auto"/>
        <w:right w:val="none" w:sz="0" w:space="0" w:color="auto"/>
      </w:divBdr>
    </w:div>
    <w:div w:id="108206830">
      <w:bodyDiv w:val="1"/>
      <w:marLeft w:val="0"/>
      <w:marRight w:val="0"/>
      <w:marTop w:val="0"/>
      <w:marBottom w:val="0"/>
      <w:divBdr>
        <w:top w:val="none" w:sz="0" w:space="0" w:color="auto"/>
        <w:left w:val="none" w:sz="0" w:space="0" w:color="auto"/>
        <w:bottom w:val="none" w:sz="0" w:space="0" w:color="auto"/>
        <w:right w:val="none" w:sz="0" w:space="0" w:color="auto"/>
      </w:divBdr>
    </w:div>
    <w:div w:id="114837683">
      <w:bodyDiv w:val="1"/>
      <w:marLeft w:val="0"/>
      <w:marRight w:val="0"/>
      <w:marTop w:val="0"/>
      <w:marBottom w:val="0"/>
      <w:divBdr>
        <w:top w:val="none" w:sz="0" w:space="0" w:color="auto"/>
        <w:left w:val="none" w:sz="0" w:space="0" w:color="auto"/>
        <w:bottom w:val="none" w:sz="0" w:space="0" w:color="auto"/>
        <w:right w:val="none" w:sz="0" w:space="0" w:color="auto"/>
      </w:divBdr>
    </w:div>
    <w:div w:id="156045108">
      <w:bodyDiv w:val="1"/>
      <w:marLeft w:val="0"/>
      <w:marRight w:val="0"/>
      <w:marTop w:val="0"/>
      <w:marBottom w:val="0"/>
      <w:divBdr>
        <w:top w:val="none" w:sz="0" w:space="0" w:color="auto"/>
        <w:left w:val="none" w:sz="0" w:space="0" w:color="auto"/>
        <w:bottom w:val="none" w:sz="0" w:space="0" w:color="auto"/>
        <w:right w:val="none" w:sz="0" w:space="0" w:color="auto"/>
      </w:divBdr>
    </w:div>
    <w:div w:id="159391371">
      <w:bodyDiv w:val="1"/>
      <w:marLeft w:val="0"/>
      <w:marRight w:val="0"/>
      <w:marTop w:val="0"/>
      <w:marBottom w:val="0"/>
      <w:divBdr>
        <w:top w:val="none" w:sz="0" w:space="0" w:color="auto"/>
        <w:left w:val="none" w:sz="0" w:space="0" w:color="auto"/>
        <w:bottom w:val="none" w:sz="0" w:space="0" w:color="auto"/>
        <w:right w:val="none" w:sz="0" w:space="0" w:color="auto"/>
      </w:divBdr>
    </w:div>
    <w:div w:id="162211585">
      <w:bodyDiv w:val="1"/>
      <w:marLeft w:val="0"/>
      <w:marRight w:val="0"/>
      <w:marTop w:val="0"/>
      <w:marBottom w:val="0"/>
      <w:divBdr>
        <w:top w:val="none" w:sz="0" w:space="0" w:color="auto"/>
        <w:left w:val="none" w:sz="0" w:space="0" w:color="auto"/>
        <w:bottom w:val="none" w:sz="0" w:space="0" w:color="auto"/>
        <w:right w:val="none" w:sz="0" w:space="0" w:color="auto"/>
      </w:divBdr>
    </w:div>
    <w:div w:id="203644025">
      <w:bodyDiv w:val="1"/>
      <w:marLeft w:val="0"/>
      <w:marRight w:val="0"/>
      <w:marTop w:val="0"/>
      <w:marBottom w:val="0"/>
      <w:divBdr>
        <w:top w:val="none" w:sz="0" w:space="0" w:color="auto"/>
        <w:left w:val="none" w:sz="0" w:space="0" w:color="auto"/>
        <w:bottom w:val="none" w:sz="0" w:space="0" w:color="auto"/>
        <w:right w:val="none" w:sz="0" w:space="0" w:color="auto"/>
      </w:divBdr>
    </w:div>
    <w:div w:id="216280911">
      <w:bodyDiv w:val="1"/>
      <w:marLeft w:val="0"/>
      <w:marRight w:val="0"/>
      <w:marTop w:val="0"/>
      <w:marBottom w:val="0"/>
      <w:divBdr>
        <w:top w:val="none" w:sz="0" w:space="0" w:color="auto"/>
        <w:left w:val="none" w:sz="0" w:space="0" w:color="auto"/>
        <w:bottom w:val="none" w:sz="0" w:space="0" w:color="auto"/>
        <w:right w:val="none" w:sz="0" w:space="0" w:color="auto"/>
      </w:divBdr>
    </w:div>
    <w:div w:id="260071824">
      <w:bodyDiv w:val="1"/>
      <w:marLeft w:val="0"/>
      <w:marRight w:val="0"/>
      <w:marTop w:val="0"/>
      <w:marBottom w:val="0"/>
      <w:divBdr>
        <w:top w:val="none" w:sz="0" w:space="0" w:color="auto"/>
        <w:left w:val="none" w:sz="0" w:space="0" w:color="auto"/>
        <w:bottom w:val="none" w:sz="0" w:space="0" w:color="auto"/>
        <w:right w:val="none" w:sz="0" w:space="0" w:color="auto"/>
      </w:divBdr>
    </w:div>
    <w:div w:id="296373949">
      <w:bodyDiv w:val="1"/>
      <w:marLeft w:val="0"/>
      <w:marRight w:val="0"/>
      <w:marTop w:val="0"/>
      <w:marBottom w:val="0"/>
      <w:divBdr>
        <w:top w:val="none" w:sz="0" w:space="0" w:color="auto"/>
        <w:left w:val="none" w:sz="0" w:space="0" w:color="auto"/>
        <w:bottom w:val="none" w:sz="0" w:space="0" w:color="auto"/>
        <w:right w:val="none" w:sz="0" w:space="0" w:color="auto"/>
      </w:divBdr>
    </w:div>
    <w:div w:id="303319082">
      <w:bodyDiv w:val="1"/>
      <w:marLeft w:val="0"/>
      <w:marRight w:val="0"/>
      <w:marTop w:val="0"/>
      <w:marBottom w:val="0"/>
      <w:divBdr>
        <w:top w:val="none" w:sz="0" w:space="0" w:color="auto"/>
        <w:left w:val="none" w:sz="0" w:space="0" w:color="auto"/>
        <w:bottom w:val="none" w:sz="0" w:space="0" w:color="auto"/>
        <w:right w:val="none" w:sz="0" w:space="0" w:color="auto"/>
      </w:divBdr>
    </w:div>
    <w:div w:id="332879251">
      <w:bodyDiv w:val="1"/>
      <w:marLeft w:val="0"/>
      <w:marRight w:val="0"/>
      <w:marTop w:val="0"/>
      <w:marBottom w:val="0"/>
      <w:divBdr>
        <w:top w:val="none" w:sz="0" w:space="0" w:color="auto"/>
        <w:left w:val="none" w:sz="0" w:space="0" w:color="auto"/>
        <w:bottom w:val="none" w:sz="0" w:space="0" w:color="auto"/>
        <w:right w:val="none" w:sz="0" w:space="0" w:color="auto"/>
      </w:divBdr>
    </w:div>
    <w:div w:id="342098478">
      <w:bodyDiv w:val="1"/>
      <w:marLeft w:val="0"/>
      <w:marRight w:val="0"/>
      <w:marTop w:val="0"/>
      <w:marBottom w:val="0"/>
      <w:divBdr>
        <w:top w:val="none" w:sz="0" w:space="0" w:color="auto"/>
        <w:left w:val="none" w:sz="0" w:space="0" w:color="auto"/>
        <w:bottom w:val="none" w:sz="0" w:space="0" w:color="auto"/>
        <w:right w:val="none" w:sz="0" w:space="0" w:color="auto"/>
      </w:divBdr>
    </w:div>
    <w:div w:id="342323733">
      <w:bodyDiv w:val="1"/>
      <w:marLeft w:val="0"/>
      <w:marRight w:val="0"/>
      <w:marTop w:val="0"/>
      <w:marBottom w:val="0"/>
      <w:divBdr>
        <w:top w:val="none" w:sz="0" w:space="0" w:color="auto"/>
        <w:left w:val="none" w:sz="0" w:space="0" w:color="auto"/>
        <w:bottom w:val="none" w:sz="0" w:space="0" w:color="auto"/>
        <w:right w:val="none" w:sz="0" w:space="0" w:color="auto"/>
      </w:divBdr>
    </w:div>
    <w:div w:id="355349968">
      <w:bodyDiv w:val="1"/>
      <w:marLeft w:val="0"/>
      <w:marRight w:val="0"/>
      <w:marTop w:val="0"/>
      <w:marBottom w:val="0"/>
      <w:divBdr>
        <w:top w:val="none" w:sz="0" w:space="0" w:color="auto"/>
        <w:left w:val="none" w:sz="0" w:space="0" w:color="auto"/>
        <w:bottom w:val="none" w:sz="0" w:space="0" w:color="auto"/>
        <w:right w:val="none" w:sz="0" w:space="0" w:color="auto"/>
      </w:divBdr>
    </w:div>
    <w:div w:id="358820706">
      <w:bodyDiv w:val="1"/>
      <w:marLeft w:val="0"/>
      <w:marRight w:val="0"/>
      <w:marTop w:val="0"/>
      <w:marBottom w:val="0"/>
      <w:divBdr>
        <w:top w:val="none" w:sz="0" w:space="0" w:color="auto"/>
        <w:left w:val="none" w:sz="0" w:space="0" w:color="auto"/>
        <w:bottom w:val="none" w:sz="0" w:space="0" w:color="auto"/>
        <w:right w:val="none" w:sz="0" w:space="0" w:color="auto"/>
      </w:divBdr>
    </w:div>
    <w:div w:id="403532909">
      <w:bodyDiv w:val="1"/>
      <w:marLeft w:val="0"/>
      <w:marRight w:val="0"/>
      <w:marTop w:val="0"/>
      <w:marBottom w:val="0"/>
      <w:divBdr>
        <w:top w:val="none" w:sz="0" w:space="0" w:color="auto"/>
        <w:left w:val="none" w:sz="0" w:space="0" w:color="auto"/>
        <w:bottom w:val="none" w:sz="0" w:space="0" w:color="auto"/>
        <w:right w:val="none" w:sz="0" w:space="0" w:color="auto"/>
      </w:divBdr>
    </w:div>
    <w:div w:id="438113115">
      <w:bodyDiv w:val="1"/>
      <w:marLeft w:val="0"/>
      <w:marRight w:val="0"/>
      <w:marTop w:val="0"/>
      <w:marBottom w:val="0"/>
      <w:divBdr>
        <w:top w:val="none" w:sz="0" w:space="0" w:color="auto"/>
        <w:left w:val="none" w:sz="0" w:space="0" w:color="auto"/>
        <w:bottom w:val="none" w:sz="0" w:space="0" w:color="auto"/>
        <w:right w:val="none" w:sz="0" w:space="0" w:color="auto"/>
      </w:divBdr>
    </w:div>
    <w:div w:id="459493980">
      <w:bodyDiv w:val="1"/>
      <w:marLeft w:val="0"/>
      <w:marRight w:val="0"/>
      <w:marTop w:val="0"/>
      <w:marBottom w:val="0"/>
      <w:divBdr>
        <w:top w:val="none" w:sz="0" w:space="0" w:color="auto"/>
        <w:left w:val="none" w:sz="0" w:space="0" w:color="auto"/>
        <w:bottom w:val="none" w:sz="0" w:space="0" w:color="auto"/>
        <w:right w:val="none" w:sz="0" w:space="0" w:color="auto"/>
      </w:divBdr>
    </w:div>
    <w:div w:id="467474773">
      <w:bodyDiv w:val="1"/>
      <w:marLeft w:val="0"/>
      <w:marRight w:val="0"/>
      <w:marTop w:val="0"/>
      <w:marBottom w:val="0"/>
      <w:divBdr>
        <w:top w:val="none" w:sz="0" w:space="0" w:color="auto"/>
        <w:left w:val="none" w:sz="0" w:space="0" w:color="auto"/>
        <w:bottom w:val="none" w:sz="0" w:space="0" w:color="auto"/>
        <w:right w:val="none" w:sz="0" w:space="0" w:color="auto"/>
      </w:divBdr>
    </w:div>
    <w:div w:id="472675961">
      <w:bodyDiv w:val="1"/>
      <w:marLeft w:val="0"/>
      <w:marRight w:val="0"/>
      <w:marTop w:val="0"/>
      <w:marBottom w:val="0"/>
      <w:divBdr>
        <w:top w:val="none" w:sz="0" w:space="0" w:color="auto"/>
        <w:left w:val="none" w:sz="0" w:space="0" w:color="auto"/>
        <w:bottom w:val="none" w:sz="0" w:space="0" w:color="auto"/>
        <w:right w:val="none" w:sz="0" w:space="0" w:color="auto"/>
      </w:divBdr>
    </w:div>
    <w:div w:id="501697299">
      <w:bodyDiv w:val="1"/>
      <w:marLeft w:val="0"/>
      <w:marRight w:val="0"/>
      <w:marTop w:val="0"/>
      <w:marBottom w:val="0"/>
      <w:divBdr>
        <w:top w:val="none" w:sz="0" w:space="0" w:color="auto"/>
        <w:left w:val="none" w:sz="0" w:space="0" w:color="auto"/>
        <w:bottom w:val="none" w:sz="0" w:space="0" w:color="auto"/>
        <w:right w:val="none" w:sz="0" w:space="0" w:color="auto"/>
      </w:divBdr>
    </w:div>
    <w:div w:id="569510632">
      <w:bodyDiv w:val="1"/>
      <w:marLeft w:val="0"/>
      <w:marRight w:val="0"/>
      <w:marTop w:val="0"/>
      <w:marBottom w:val="0"/>
      <w:divBdr>
        <w:top w:val="none" w:sz="0" w:space="0" w:color="auto"/>
        <w:left w:val="none" w:sz="0" w:space="0" w:color="auto"/>
        <w:bottom w:val="none" w:sz="0" w:space="0" w:color="auto"/>
        <w:right w:val="none" w:sz="0" w:space="0" w:color="auto"/>
      </w:divBdr>
    </w:div>
    <w:div w:id="569997621">
      <w:bodyDiv w:val="1"/>
      <w:marLeft w:val="0"/>
      <w:marRight w:val="0"/>
      <w:marTop w:val="0"/>
      <w:marBottom w:val="0"/>
      <w:divBdr>
        <w:top w:val="none" w:sz="0" w:space="0" w:color="auto"/>
        <w:left w:val="none" w:sz="0" w:space="0" w:color="auto"/>
        <w:bottom w:val="none" w:sz="0" w:space="0" w:color="auto"/>
        <w:right w:val="none" w:sz="0" w:space="0" w:color="auto"/>
      </w:divBdr>
    </w:div>
    <w:div w:id="572206827">
      <w:bodyDiv w:val="1"/>
      <w:marLeft w:val="0"/>
      <w:marRight w:val="0"/>
      <w:marTop w:val="0"/>
      <w:marBottom w:val="0"/>
      <w:divBdr>
        <w:top w:val="none" w:sz="0" w:space="0" w:color="auto"/>
        <w:left w:val="none" w:sz="0" w:space="0" w:color="auto"/>
        <w:bottom w:val="none" w:sz="0" w:space="0" w:color="auto"/>
        <w:right w:val="none" w:sz="0" w:space="0" w:color="auto"/>
      </w:divBdr>
    </w:div>
    <w:div w:id="589043813">
      <w:bodyDiv w:val="1"/>
      <w:marLeft w:val="0"/>
      <w:marRight w:val="0"/>
      <w:marTop w:val="0"/>
      <w:marBottom w:val="0"/>
      <w:divBdr>
        <w:top w:val="none" w:sz="0" w:space="0" w:color="auto"/>
        <w:left w:val="none" w:sz="0" w:space="0" w:color="auto"/>
        <w:bottom w:val="none" w:sz="0" w:space="0" w:color="auto"/>
        <w:right w:val="none" w:sz="0" w:space="0" w:color="auto"/>
      </w:divBdr>
    </w:div>
    <w:div w:id="593710709">
      <w:bodyDiv w:val="1"/>
      <w:marLeft w:val="0"/>
      <w:marRight w:val="0"/>
      <w:marTop w:val="0"/>
      <w:marBottom w:val="0"/>
      <w:divBdr>
        <w:top w:val="none" w:sz="0" w:space="0" w:color="auto"/>
        <w:left w:val="none" w:sz="0" w:space="0" w:color="auto"/>
        <w:bottom w:val="none" w:sz="0" w:space="0" w:color="auto"/>
        <w:right w:val="none" w:sz="0" w:space="0" w:color="auto"/>
      </w:divBdr>
    </w:div>
    <w:div w:id="655842204">
      <w:bodyDiv w:val="1"/>
      <w:marLeft w:val="0"/>
      <w:marRight w:val="0"/>
      <w:marTop w:val="0"/>
      <w:marBottom w:val="0"/>
      <w:divBdr>
        <w:top w:val="none" w:sz="0" w:space="0" w:color="auto"/>
        <w:left w:val="none" w:sz="0" w:space="0" w:color="auto"/>
        <w:bottom w:val="none" w:sz="0" w:space="0" w:color="auto"/>
        <w:right w:val="none" w:sz="0" w:space="0" w:color="auto"/>
      </w:divBdr>
    </w:div>
    <w:div w:id="658922397">
      <w:bodyDiv w:val="1"/>
      <w:marLeft w:val="0"/>
      <w:marRight w:val="0"/>
      <w:marTop w:val="0"/>
      <w:marBottom w:val="0"/>
      <w:divBdr>
        <w:top w:val="none" w:sz="0" w:space="0" w:color="auto"/>
        <w:left w:val="none" w:sz="0" w:space="0" w:color="auto"/>
        <w:bottom w:val="none" w:sz="0" w:space="0" w:color="auto"/>
        <w:right w:val="none" w:sz="0" w:space="0" w:color="auto"/>
      </w:divBdr>
    </w:div>
    <w:div w:id="695621526">
      <w:bodyDiv w:val="1"/>
      <w:marLeft w:val="0"/>
      <w:marRight w:val="0"/>
      <w:marTop w:val="0"/>
      <w:marBottom w:val="0"/>
      <w:divBdr>
        <w:top w:val="none" w:sz="0" w:space="0" w:color="auto"/>
        <w:left w:val="none" w:sz="0" w:space="0" w:color="auto"/>
        <w:bottom w:val="none" w:sz="0" w:space="0" w:color="auto"/>
        <w:right w:val="none" w:sz="0" w:space="0" w:color="auto"/>
      </w:divBdr>
    </w:div>
    <w:div w:id="750781882">
      <w:bodyDiv w:val="1"/>
      <w:marLeft w:val="0"/>
      <w:marRight w:val="0"/>
      <w:marTop w:val="0"/>
      <w:marBottom w:val="0"/>
      <w:divBdr>
        <w:top w:val="none" w:sz="0" w:space="0" w:color="auto"/>
        <w:left w:val="none" w:sz="0" w:space="0" w:color="auto"/>
        <w:bottom w:val="none" w:sz="0" w:space="0" w:color="auto"/>
        <w:right w:val="none" w:sz="0" w:space="0" w:color="auto"/>
      </w:divBdr>
    </w:div>
    <w:div w:id="774864438">
      <w:bodyDiv w:val="1"/>
      <w:marLeft w:val="0"/>
      <w:marRight w:val="0"/>
      <w:marTop w:val="0"/>
      <w:marBottom w:val="0"/>
      <w:divBdr>
        <w:top w:val="none" w:sz="0" w:space="0" w:color="auto"/>
        <w:left w:val="none" w:sz="0" w:space="0" w:color="auto"/>
        <w:bottom w:val="none" w:sz="0" w:space="0" w:color="auto"/>
        <w:right w:val="none" w:sz="0" w:space="0" w:color="auto"/>
      </w:divBdr>
    </w:div>
    <w:div w:id="778643791">
      <w:bodyDiv w:val="1"/>
      <w:marLeft w:val="0"/>
      <w:marRight w:val="0"/>
      <w:marTop w:val="0"/>
      <w:marBottom w:val="0"/>
      <w:divBdr>
        <w:top w:val="none" w:sz="0" w:space="0" w:color="auto"/>
        <w:left w:val="none" w:sz="0" w:space="0" w:color="auto"/>
        <w:bottom w:val="none" w:sz="0" w:space="0" w:color="auto"/>
        <w:right w:val="none" w:sz="0" w:space="0" w:color="auto"/>
      </w:divBdr>
    </w:div>
    <w:div w:id="785392393">
      <w:bodyDiv w:val="1"/>
      <w:marLeft w:val="0"/>
      <w:marRight w:val="0"/>
      <w:marTop w:val="0"/>
      <w:marBottom w:val="0"/>
      <w:divBdr>
        <w:top w:val="none" w:sz="0" w:space="0" w:color="auto"/>
        <w:left w:val="none" w:sz="0" w:space="0" w:color="auto"/>
        <w:bottom w:val="none" w:sz="0" w:space="0" w:color="auto"/>
        <w:right w:val="none" w:sz="0" w:space="0" w:color="auto"/>
      </w:divBdr>
    </w:div>
    <w:div w:id="857083877">
      <w:bodyDiv w:val="1"/>
      <w:marLeft w:val="0"/>
      <w:marRight w:val="0"/>
      <w:marTop w:val="0"/>
      <w:marBottom w:val="0"/>
      <w:divBdr>
        <w:top w:val="none" w:sz="0" w:space="0" w:color="auto"/>
        <w:left w:val="none" w:sz="0" w:space="0" w:color="auto"/>
        <w:bottom w:val="none" w:sz="0" w:space="0" w:color="auto"/>
        <w:right w:val="none" w:sz="0" w:space="0" w:color="auto"/>
      </w:divBdr>
    </w:div>
    <w:div w:id="890186677">
      <w:bodyDiv w:val="1"/>
      <w:marLeft w:val="0"/>
      <w:marRight w:val="0"/>
      <w:marTop w:val="0"/>
      <w:marBottom w:val="0"/>
      <w:divBdr>
        <w:top w:val="none" w:sz="0" w:space="0" w:color="auto"/>
        <w:left w:val="none" w:sz="0" w:space="0" w:color="auto"/>
        <w:bottom w:val="none" w:sz="0" w:space="0" w:color="auto"/>
        <w:right w:val="none" w:sz="0" w:space="0" w:color="auto"/>
      </w:divBdr>
    </w:div>
    <w:div w:id="891160980">
      <w:bodyDiv w:val="1"/>
      <w:marLeft w:val="0"/>
      <w:marRight w:val="0"/>
      <w:marTop w:val="0"/>
      <w:marBottom w:val="0"/>
      <w:divBdr>
        <w:top w:val="none" w:sz="0" w:space="0" w:color="auto"/>
        <w:left w:val="none" w:sz="0" w:space="0" w:color="auto"/>
        <w:bottom w:val="none" w:sz="0" w:space="0" w:color="auto"/>
        <w:right w:val="none" w:sz="0" w:space="0" w:color="auto"/>
      </w:divBdr>
    </w:div>
    <w:div w:id="949163879">
      <w:bodyDiv w:val="1"/>
      <w:marLeft w:val="0"/>
      <w:marRight w:val="0"/>
      <w:marTop w:val="0"/>
      <w:marBottom w:val="0"/>
      <w:divBdr>
        <w:top w:val="none" w:sz="0" w:space="0" w:color="auto"/>
        <w:left w:val="none" w:sz="0" w:space="0" w:color="auto"/>
        <w:bottom w:val="none" w:sz="0" w:space="0" w:color="auto"/>
        <w:right w:val="none" w:sz="0" w:space="0" w:color="auto"/>
      </w:divBdr>
    </w:div>
    <w:div w:id="956330813">
      <w:bodyDiv w:val="1"/>
      <w:marLeft w:val="0"/>
      <w:marRight w:val="0"/>
      <w:marTop w:val="0"/>
      <w:marBottom w:val="0"/>
      <w:divBdr>
        <w:top w:val="none" w:sz="0" w:space="0" w:color="auto"/>
        <w:left w:val="none" w:sz="0" w:space="0" w:color="auto"/>
        <w:bottom w:val="none" w:sz="0" w:space="0" w:color="auto"/>
        <w:right w:val="none" w:sz="0" w:space="0" w:color="auto"/>
      </w:divBdr>
    </w:div>
    <w:div w:id="976952859">
      <w:bodyDiv w:val="1"/>
      <w:marLeft w:val="0"/>
      <w:marRight w:val="0"/>
      <w:marTop w:val="0"/>
      <w:marBottom w:val="0"/>
      <w:divBdr>
        <w:top w:val="none" w:sz="0" w:space="0" w:color="auto"/>
        <w:left w:val="none" w:sz="0" w:space="0" w:color="auto"/>
        <w:bottom w:val="none" w:sz="0" w:space="0" w:color="auto"/>
        <w:right w:val="none" w:sz="0" w:space="0" w:color="auto"/>
      </w:divBdr>
    </w:div>
    <w:div w:id="978606288">
      <w:bodyDiv w:val="1"/>
      <w:marLeft w:val="0"/>
      <w:marRight w:val="0"/>
      <w:marTop w:val="0"/>
      <w:marBottom w:val="0"/>
      <w:divBdr>
        <w:top w:val="none" w:sz="0" w:space="0" w:color="auto"/>
        <w:left w:val="none" w:sz="0" w:space="0" w:color="auto"/>
        <w:bottom w:val="none" w:sz="0" w:space="0" w:color="auto"/>
        <w:right w:val="none" w:sz="0" w:space="0" w:color="auto"/>
      </w:divBdr>
    </w:div>
    <w:div w:id="994528435">
      <w:bodyDiv w:val="1"/>
      <w:marLeft w:val="0"/>
      <w:marRight w:val="0"/>
      <w:marTop w:val="0"/>
      <w:marBottom w:val="0"/>
      <w:divBdr>
        <w:top w:val="none" w:sz="0" w:space="0" w:color="auto"/>
        <w:left w:val="none" w:sz="0" w:space="0" w:color="auto"/>
        <w:bottom w:val="none" w:sz="0" w:space="0" w:color="auto"/>
        <w:right w:val="none" w:sz="0" w:space="0" w:color="auto"/>
      </w:divBdr>
    </w:div>
    <w:div w:id="1027028814">
      <w:bodyDiv w:val="1"/>
      <w:marLeft w:val="0"/>
      <w:marRight w:val="0"/>
      <w:marTop w:val="0"/>
      <w:marBottom w:val="0"/>
      <w:divBdr>
        <w:top w:val="none" w:sz="0" w:space="0" w:color="auto"/>
        <w:left w:val="none" w:sz="0" w:space="0" w:color="auto"/>
        <w:bottom w:val="none" w:sz="0" w:space="0" w:color="auto"/>
        <w:right w:val="none" w:sz="0" w:space="0" w:color="auto"/>
      </w:divBdr>
    </w:div>
    <w:div w:id="1048382575">
      <w:bodyDiv w:val="1"/>
      <w:marLeft w:val="0"/>
      <w:marRight w:val="0"/>
      <w:marTop w:val="0"/>
      <w:marBottom w:val="0"/>
      <w:divBdr>
        <w:top w:val="none" w:sz="0" w:space="0" w:color="auto"/>
        <w:left w:val="none" w:sz="0" w:space="0" w:color="auto"/>
        <w:bottom w:val="none" w:sz="0" w:space="0" w:color="auto"/>
        <w:right w:val="none" w:sz="0" w:space="0" w:color="auto"/>
      </w:divBdr>
    </w:div>
    <w:div w:id="1053234893">
      <w:bodyDiv w:val="1"/>
      <w:marLeft w:val="0"/>
      <w:marRight w:val="0"/>
      <w:marTop w:val="0"/>
      <w:marBottom w:val="0"/>
      <w:divBdr>
        <w:top w:val="none" w:sz="0" w:space="0" w:color="auto"/>
        <w:left w:val="none" w:sz="0" w:space="0" w:color="auto"/>
        <w:bottom w:val="none" w:sz="0" w:space="0" w:color="auto"/>
        <w:right w:val="none" w:sz="0" w:space="0" w:color="auto"/>
      </w:divBdr>
    </w:div>
    <w:div w:id="1059986073">
      <w:bodyDiv w:val="1"/>
      <w:marLeft w:val="0"/>
      <w:marRight w:val="0"/>
      <w:marTop w:val="0"/>
      <w:marBottom w:val="0"/>
      <w:divBdr>
        <w:top w:val="none" w:sz="0" w:space="0" w:color="auto"/>
        <w:left w:val="none" w:sz="0" w:space="0" w:color="auto"/>
        <w:bottom w:val="none" w:sz="0" w:space="0" w:color="auto"/>
        <w:right w:val="none" w:sz="0" w:space="0" w:color="auto"/>
      </w:divBdr>
    </w:div>
    <w:div w:id="1061054559">
      <w:bodyDiv w:val="1"/>
      <w:marLeft w:val="0"/>
      <w:marRight w:val="0"/>
      <w:marTop w:val="0"/>
      <w:marBottom w:val="0"/>
      <w:divBdr>
        <w:top w:val="none" w:sz="0" w:space="0" w:color="auto"/>
        <w:left w:val="none" w:sz="0" w:space="0" w:color="auto"/>
        <w:bottom w:val="none" w:sz="0" w:space="0" w:color="auto"/>
        <w:right w:val="none" w:sz="0" w:space="0" w:color="auto"/>
      </w:divBdr>
    </w:div>
    <w:div w:id="1094593398">
      <w:bodyDiv w:val="1"/>
      <w:marLeft w:val="0"/>
      <w:marRight w:val="0"/>
      <w:marTop w:val="0"/>
      <w:marBottom w:val="0"/>
      <w:divBdr>
        <w:top w:val="none" w:sz="0" w:space="0" w:color="auto"/>
        <w:left w:val="none" w:sz="0" w:space="0" w:color="auto"/>
        <w:bottom w:val="none" w:sz="0" w:space="0" w:color="auto"/>
        <w:right w:val="none" w:sz="0" w:space="0" w:color="auto"/>
      </w:divBdr>
    </w:div>
    <w:div w:id="1100024011">
      <w:bodyDiv w:val="1"/>
      <w:marLeft w:val="0"/>
      <w:marRight w:val="0"/>
      <w:marTop w:val="0"/>
      <w:marBottom w:val="0"/>
      <w:divBdr>
        <w:top w:val="none" w:sz="0" w:space="0" w:color="auto"/>
        <w:left w:val="none" w:sz="0" w:space="0" w:color="auto"/>
        <w:bottom w:val="none" w:sz="0" w:space="0" w:color="auto"/>
        <w:right w:val="none" w:sz="0" w:space="0" w:color="auto"/>
      </w:divBdr>
    </w:div>
    <w:div w:id="1101952378">
      <w:bodyDiv w:val="1"/>
      <w:marLeft w:val="0"/>
      <w:marRight w:val="0"/>
      <w:marTop w:val="0"/>
      <w:marBottom w:val="0"/>
      <w:divBdr>
        <w:top w:val="none" w:sz="0" w:space="0" w:color="auto"/>
        <w:left w:val="none" w:sz="0" w:space="0" w:color="auto"/>
        <w:bottom w:val="none" w:sz="0" w:space="0" w:color="auto"/>
        <w:right w:val="none" w:sz="0" w:space="0" w:color="auto"/>
      </w:divBdr>
    </w:div>
    <w:div w:id="1103575370">
      <w:bodyDiv w:val="1"/>
      <w:marLeft w:val="0"/>
      <w:marRight w:val="0"/>
      <w:marTop w:val="0"/>
      <w:marBottom w:val="0"/>
      <w:divBdr>
        <w:top w:val="none" w:sz="0" w:space="0" w:color="auto"/>
        <w:left w:val="none" w:sz="0" w:space="0" w:color="auto"/>
        <w:bottom w:val="none" w:sz="0" w:space="0" w:color="auto"/>
        <w:right w:val="none" w:sz="0" w:space="0" w:color="auto"/>
      </w:divBdr>
    </w:div>
    <w:div w:id="1115517724">
      <w:bodyDiv w:val="1"/>
      <w:marLeft w:val="0"/>
      <w:marRight w:val="0"/>
      <w:marTop w:val="0"/>
      <w:marBottom w:val="0"/>
      <w:divBdr>
        <w:top w:val="none" w:sz="0" w:space="0" w:color="auto"/>
        <w:left w:val="none" w:sz="0" w:space="0" w:color="auto"/>
        <w:bottom w:val="none" w:sz="0" w:space="0" w:color="auto"/>
        <w:right w:val="none" w:sz="0" w:space="0" w:color="auto"/>
      </w:divBdr>
    </w:div>
    <w:div w:id="1154175194">
      <w:bodyDiv w:val="1"/>
      <w:marLeft w:val="0"/>
      <w:marRight w:val="0"/>
      <w:marTop w:val="0"/>
      <w:marBottom w:val="0"/>
      <w:divBdr>
        <w:top w:val="none" w:sz="0" w:space="0" w:color="auto"/>
        <w:left w:val="none" w:sz="0" w:space="0" w:color="auto"/>
        <w:bottom w:val="none" w:sz="0" w:space="0" w:color="auto"/>
        <w:right w:val="none" w:sz="0" w:space="0" w:color="auto"/>
      </w:divBdr>
    </w:div>
    <w:div w:id="1179933248">
      <w:bodyDiv w:val="1"/>
      <w:marLeft w:val="0"/>
      <w:marRight w:val="0"/>
      <w:marTop w:val="0"/>
      <w:marBottom w:val="0"/>
      <w:divBdr>
        <w:top w:val="none" w:sz="0" w:space="0" w:color="auto"/>
        <w:left w:val="none" w:sz="0" w:space="0" w:color="auto"/>
        <w:bottom w:val="none" w:sz="0" w:space="0" w:color="auto"/>
        <w:right w:val="none" w:sz="0" w:space="0" w:color="auto"/>
      </w:divBdr>
    </w:div>
    <w:div w:id="1225801300">
      <w:bodyDiv w:val="1"/>
      <w:marLeft w:val="0"/>
      <w:marRight w:val="0"/>
      <w:marTop w:val="0"/>
      <w:marBottom w:val="0"/>
      <w:divBdr>
        <w:top w:val="none" w:sz="0" w:space="0" w:color="auto"/>
        <w:left w:val="none" w:sz="0" w:space="0" w:color="auto"/>
        <w:bottom w:val="none" w:sz="0" w:space="0" w:color="auto"/>
        <w:right w:val="none" w:sz="0" w:space="0" w:color="auto"/>
      </w:divBdr>
    </w:div>
    <w:div w:id="1252621226">
      <w:bodyDiv w:val="1"/>
      <w:marLeft w:val="0"/>
      <w:marRight w:val="0"/>
      <w:marTop w:val="0"/>
      <w:marBottom w:val="0"/>
      <w:divBdr>
        <w:top w:val="none" w:sz="0" w:space="0" w:color="auto"/>
        <w:left w:val="none" w:sz="0" w:space="0" w:color="auto"/>
        <w:bottom w:val="none" w:sz="0" w:space="0" w:color="auto"/>
        <w:right w:val="none" w:sz="0" w:space="0" w:color="auto"/>
      </w:divBdr>
    </w:div>
    <w:div w:id="1274097471">
      <w:bodyDiv w:val="1"/>
      <w:marLeft w:val="0"/>
      <w:marRight w:val="0"/>
      <w:marTop w:val="0"/>
      <w:marBottom w:val="0"/>
      <w:divBdr>
        <w:top w:val="none" w:sz="0" w:space="0" w:color="auto"/>
        <w:left w:val="none" w:sz="0" w:space="0" w:color="auto"/>
        <w:bottom w:val="none" w:sz="0" w:space="0" w:color="auto"/>
        <w:right w:val="none" w:sz="0" w:space="0" w:color="auto"/>
      </w:divBdr>
    </w:div>
    <w:div w:id="1304849372">
      <w:bodyDiv w:val="1"/>
      <w:marLeft w:val="0"/>
      <w:marRight w:val="0"/>
      <w:marTop w:val="0"/>
      <w:marBottom w:val="0"/>
      <w:divBdr>
        <w:top w:val="none" w:sz="0" w:space="0" w:color="auto"/>
        <w:left w:val="none" w:sz="0" w:space="0" w:color="auto"/>
        <w:bottom w:val="none" w:sz="0" w:space="0" w:color="auto"/>
        <w:right w:val="none" w:sz="0" w:space="0" w:color="auto"/>
      </w:divBdr>
    </w:div>
    <w:div w:id="1311790704">
      <w:bodyDiv w:val="1"/>
      <w:marLeft w:val="0"/>
      <w:marRight w:val="0"/>
      <w:marTop w:val="0"/>
      <w:marBottom w:val="0"/>
      <w:divBdr>
        <w:top w:val="none" w:sz="0" w:space="0" w:color="auto"/>
        <w:left w:val="none" w:sz="0" w:space="0" w:color="auto"/>
        <w:bottom w:val="none" w:sz="0" w:space="0" w:color="auto"/>
        <w:right w:val="none" w:sz="0" w:space="0" w:color="auto"/>
      </w:divBdr>
    </w:div>
    <w:div w:id="1312054651">
      <w:bodyDiv w:val="1"/>
      <w:marLeft w:val="0"/>
      <w:marRight w:val="0"/>
      <w:marTop w:val="0"/>
      <w:marBottom w:val="0"/>
      <w:divBdr>
        <w:top w:val="none" w:sz="0" w:space="0" w:color="auto"/>
        <w:left w:val="none" w:sz="0" w:space="0" w:color="auto"/>
        <w:bottom w:val="none" w:sz="0" w:space="0" w:color="auto"/>
        <w:right w:val="none" w:sz="0" w:space="0" w:color="auto"/>
      </w:divBdr>
    </w:div>
    <w:div w:id="1314524265">
      <w:bodyDiv w:val="1"/>
      <w:marLeft w:val="0"/>
      <w:marRight w:val="0"/>
      <w:marTop w:val="0"/>
      <w:marBottom w:val="0"/>
      <w:divBdr>
        <w:top w:val="none" w:sz="0" w:space="0" w:color="auto"/>
        <w:left w:val="none" w:sz="0" w:space="0" w:color="auto"/>
        <w:bottom w:val="none" w:sz="0" w:space="0" w:color="auto"/>
        <w:right w:val="none" w:sz="0" w:space="0" w:color="auto"/>
      </w:divBdr>
    </w:div>
    <w:div w:id="1319574829">
      <w:bodyDiv w:val="1"/>
      <w:marLeft w:val="0"/>
      <w:marRight w:val="0"/>
      <w:marTop w:val="0"/>
      <w:marBottom w:val="0"/>
      <w:divBdr>
        <w:top w:val="none" w:sz="0" w:space="0" w:color="auto"/>
        <w:left w:val="none" w:sz="0" w:space="0" w:color="auto"/>
        <w:bottom w:val="none" w:sz="0" w:space="0" w:color="auto"/>
        <w:right w:val="none" w:sz="0" w:space="0" w:color="auto"/>
      </w:divBdr>
    </w:div>
    <w:div w:id="1333874565">
      <w:bodyDiv w:val="1"/>
      <w:marLeft w:val="0"/>
      <w:marRight w:val="0"/>
      <w:marTop w:val="0"/>
      <w:marBottom w:val="0"/>
      <w:divBdr>
        <w:top w:val="none" w:sz="0" w:space="0" w:color="auto"/>
        <w:left w:val="none" w:sz="0" w:space="0" w:color="auto"/>
        <w:bottom w:val="none" w:sz="0" w:space="0" w:color="auto"/>
        <w:right w:val="none" w:sz="0" w:space="0" w:color="auto"/>
      </w:divBdr>
    </w:div>
    <w:div w:id="1355497901">
      <w:bodyDiv w:val="1"/>
      <w:marLeft w:val="0"/>
      <w:marRight w:val="0"/>
      <w:marTop w:val="0"/>
      <w:marBottom w:val="0"/>
      <w:divBdr>
        <w:top w:val="none" w:sz="0" w:space="0" w:color="auto"/>
        <w:left w:val="none" w:sz="0" w:space="0" w:color="auto"/>
        <w:bottom w:val="none" w:sz="0" w:space="0" w:color="auto"/>
        <w:right w:val="none" w:sz="0" w:space="0" w:color="auto"/>
      </w:divBdr>
    </w:div>
    <w:div w:id="1374114578">
      <w:bodyDiv w:val="1"/>
      <w:marLeft w:val="0"/>
      <w:marRight w:val="0"/>
      <w:marTop w:val="0"/>
      <w:marBottom w:val="0"/>
      <w:divBdr>
        <w:top w:val="none" w:sz="0" w:space="0" w:color="auto"/>
        <w:left w:val="none" w:sz="0" w:space="0" w:color="auto"/>
        <w:bottom w:val="none" w:sz="0" w:space="0" w:color="auto"/>
        <w:right w:val="none" w:sz="0" w:space="0" w:color="auto"/>
      </w:divBdr>
    </w:div>
    <w:div w:id="1375429047">
      <w:bodyDiv w:val="1"/>
      <w:marLeft w:val="0"/>
      <w:marRight w:val="0"/>
      <w:marTop w:val="0"/>
      <w:marBottom w:val="0"/>
      <w:divBdr>
        <w:top w:val="none" w:sz="0" w:space="0" w:color="auto"/>
        <w:left w:val="none" w:sz="0" w:space="0" w:color="auto"/>
        <w:bottom w:val="none" w:sz="0" w:space="0" w:color="auto"/>
        <w:right w:val="none" w:sz="0" w:space="0" w:color="auto"/>
      </w:divBdr>
    </w:div>
    <w:div w:id="1395200368">
      <w:bodyDiv w:val="1"/>
      <w:marLeft w:val="0"/>
      <w:marRight w:val="0"/>
      <w:marTop w:val="0"/>
      <w:marBottom w:val="0"/>
      <w:divBdr>
        <w:top w:val="none" w:sz="0" w:space="0" w:color="auto"/>
        <w:left w:val="none" w:sz="0" w:space="0" w:color="auto"/>
        <w:bottom w:val="none" w:sz="0" w:space="0" w:color="auto"/>
        <w:right w:val="none" w:sz="0" w:space="0" w:color="auto"/>
      </w:divBdr>
    </w:div>
    <w:div w:id="1396003951">
      <w:bodyDiv w:val="1"/>
      <w:marLeft w:val="0"/>
      <w:marRight w:val="0"/>
      <w:marTop w:val="0"/>
      <w:marBottom w:val="0"/>
      <w:divBdr>
        <w:top w:val="none" w:sz="0" w:space="0" w:color="auto"/>
        <w:left w:val="none" w:sz="0" w:space="0" w:color="auto"/>
        <w:bottom w:val="none" w:sz="0" w:space="0" w:color="auto"/>
        <w:right w:val="none" w:sz="0" w:space="0" w:color="auto"/>
      </w:divBdr>
    </w:div>
    <w:div w:id="1398746876">
      <w:bodyDiv w:val="1"/>
      <w:marLeft w:val="0"/>
      <w:marRight w:val="0"/>
      <w:marTop w:val="0"/>
      <w:marBottom w:val="0"/>
      <w:divBdr>
        <w:top w:val="none" w:sz="0" w:space="0" w:color="auto"/>
        <w:left w:val="none" w:sz="0" w:space="0" w:color="auto"/>
        <w:bottom w:val="none" w:sz="0" w:space="0" w:color="auto"/>
        <w:right w:val="none" w:sz="0" w:space="0" w:color="auto"/>
      </w:divBdr>
    </w:div>
    <w:div w:id="1400982609">
      <w:bodyDiv w:val="1"/>
      <w:marLeft w:val="0"/>
      <w:marRight w:val="0"/>
      <w:marTop w:val="0"/>
      <w:marBottom w:val="0"/>
      <w:divBdr>
        <w:top w:val="none" w:sz="0" w:space="0" w:color="auto"/>
        <w:left w:val="none" w:sz="0" w:space="0" w:color="auto"/>
        <w:bottom w:val="none" w:sz="0" w:space="0" w:color="auto"/>
        <w:right w:val="none" w:sz="0" w:space="0" w:color="auto"/>
      </w:divBdr>
    </w:div>
    <w:div w:id="1421869520">
      <w:bodyDiv w:val="1"/>
      <w:marLeft w:val="0"/>
      <w:marRight w:val="0"/>
      <w:marTop w:val="0"/>
      <w:marBottom w:val="0"/>
      <w:divBdr>
        <w:top w:val="none" w:sz="0" w:space="0" w:color="auto"/>
        <w:left w:val="none" w:sz="0" w:space="0" w:color="auto"/>
        <w:bottom w:val="none" w:sz="0" w:space="0" w:color="auto"/>
        <w:right w:val="none" w:sz="0" w:space="0" w:color="auto"/>
      </w:divBdr>
    </w:div>
    <w:div w:id="1432312530">
      <w:bodyDiv w:val="1"/>
      <w:marLeft w:val="0"/>
      <w:marRight w:val="0"/>
      <w:marTop w:val="0"/>
      <w:marBottom w:val="0"/>
      <w:divBdr>
        <w:top w:val="none" w:sz="0" w:space="0" w:color="auto"/>
        <w:left w:val="none" w:sz="0" w:space="0" w:color="auto"/>
        <w:bottom w:val="none" w:sz="0" w:space="0" w:color="auto"/>
        <w:right w:val="none" w:sz="0" w:space="0" w:color="auto"/>
      </w:divBdr>
    </w:div>
    <w:div w:id="1447848262">
      <w:bodyDiv w:val="1"/>
      <w:marLeft w:val="0"/>
      <w:marRight w:val="0"/>
      <w:marTop w:val="0"/>
      <w:marBottom w:val="0"/>
      <w:divBdr>
        <w:top w:val="none" w:sz="0" w:space="0" w:color="auto"/>
        <w:left w:val="none" w:sz="0" w:space="0" w:color="auto"/>
        <w:bottom w:val="none" w:sz="0" w:space="0" w:color="auto"/>
        <w:right w:val="none" w:sz="0" w:space="0" w:color="auto"/>
      </w:divBdr>
    </w:div>
    <w:div w:id="1459909723">
      <w:bodyDiv w:val="1"/>
      <w:marLeft w:val="0"/>
      <w:marRight w:val="0"/>
      <w:marTop w:val="0"/>
      <w:marBottom w:val="0"/>
      <w:divBdr>
        <w:top w:val="none" w:sz="0" w:space="0" w:color="auto"/>
        <w:left w:val="none" w:sz="0" w:space="0" w:color="auto"/>
        <w:bottom w:val="none" w:sz="0" w:space="0" w:color="auto"/>
        <w:right w:val="none" w:sz="0" w:space="0" w:color="auto"/>
      </w:divBdr>
    </w:div>
    <w:div w:id="1468812820">
      <w:bodyDiv w:val="1"/>
      <w:marLeft w:val="0"/>
      <w:marRight w:val="0"/>
      <w:marTop w:val="0"/>
      <w:marBottom w:val="0"/>
      <w:divBdr>
        <w:top w:val="none" w:sz="0" w:space="0" w:color="auto"/>
        <w:left w:val="none" w:sz="0" w:space="0" w:color="auto"/>
        <w:bottom w:val="none" w:sz="0" w:space="0" w:color="auto"/>
        <w:right w:val="none" w:sz="0" w:space="0" w:color="auto"/>
      </w:divBdr>
    </w:div>
    <w:div w:id="1495484805">
      <w:bodyDiv w:val="1"/>
      <w:marLeft w:val="0"/>
      <w:marRight w:val="0"/>
      <w:marTop w:val="0"/>
      <w:marBottom w:val="0"/>
      <w:divBdr>
        <w:top w:val="none" w:sz="0" w:space="0" w:color="auto"/>
        <w:left w:val="none" w:sz="0" w:space="0" w:color="auto"/>
        <w:bottom w:val="none" w:sz="0" w:space="0" w:color="auto"/>
        <w:right w:val="none" w:sz="0" w:space="0" w:color="auto"/>
      </w:divBdr>
    </w:div>
    <w:div w:id="1506477503">
      <w:bodyDiv w:val="1"/>
      <w:marLeft w:val="0"/>
      <w:marRight w:val="0"/>
      <w:marTop w:val="0"/>
      <w:marBottom w:val="0"/>
      <w:divBdr>
        <w:top w:val="none" w:sz="0" w:space="0" w:color="auto"/>
        <w:left w:val="none" w:sz="0" w:space="0" w:color="auto"/>
        <w:bottom w:val="none" w:sz="0" w:space="0" w:color="auto"/>
        <w:right w:val="none" w:sz="0" w:space="0" w:color="auto"/>
      </w:divBdr>
    </w:div>
    <w:div w:id="1547449002">
      <w:bodyDiv w:val="1"/>
      <w:marLeft w:val="0"/>
      <w:marRight w:val="0"/>
      <w:marTop w:val="0"/>
      <w:marBottom w:val="0"/>
      <w:divBdr>
        <w:top w:val="none" w:sz="0" w:space="0" w:color="auto"/>
        <w:left w:val="none" w:sz="0" w:space="0" w:color="auto"/>
        <w:bottom w:val="none" w:sz="0" w:space="0" w:color="auto"/>
        <w:right w:val="none" w:sz="0" w:space="0" w:color="auto"/>
      </w:divBdr>
    </w:div>
    <w:div w:id="1552185977">
      <w:bodyDiv w:val="1"/>
      <w:marLeft w:val="0"/>
      <w:marRight w:val="0"/>
      <w:marTop w:val="0"/>
      <w:marBottom w:val="0"/>
      <w:divBdr>
        <w:top w:val="none" w:sz="0" w:space="0" w:color="auto"/>
        <w:left w:val="none" w:sz="0" w:space="0" w:color="auto"/>
        <w:bottom w:val="none" w:sz="0" w:space="0" w:color="auto"/>
        <w:right w:val="none" w:sz="0" w:space="0" w:color="auto"/>
      </w:divBdr>
    </w:div>
    <w:div w:id="1568681636">
      <w:bodyDiv w:val="1"/>
      <w:marLeft w:val="0"/>
      <w:marRight w:val="0"/>
      <w:marTop w:val="0"/>
      <w:marBottom w:val="0"/>
      <w:divBdr>
        <w:top w:val="none" w:sz="0" w:space="0" w:color="auto"/>
        <w:left w:val="none" w:sz="0" w:space="0" w:color="auto"/>
        <w:bottom w:val="none" w:sz="0" w:space="0" w:color="auto"/>
        <w:right w:val="none" w:sz="0" w:space="0" w:color="auto"/>
      </w:divBdr>
    </w:div>
    <w:div w:id="1569339937">
      <w:bodyDiv w:val="1"/>
      <w:marLeft w:val="0"/>
      <w:marRight w:val="0"/>
      <w:marTop w:val="0"/>
      <w:marBottom w:val="0"/>
      <w:divBdr>
        <w:top w:val="none" w:sz="0" w:space="0" w:color="auto"/>
        <w:left w:val="none" w:sz="0" w:space="0" w:color="auto"/>
        <w:bottom w:val="none" w:sz="0" w:space="0" w:color="auto"/>
        <w:right w:val="none" w:sz="0" w:space="0" w:color="auto"/>
      </w:divBdr>
    </w:div>
    <w:div w:id="1569535550">
      <w:bodyDiv w:val="1"/>
      <w:marLeft w:val="0"/>
      <w:marRight w:val="0"/>
      <w:marTop w:val="0"/>
      <w:marBottom w:val="0"/>
      <w:divBdr>
        <w:top w:val="none" w:sz="0" w:space="0" w:color="auto"/>
        <w:left w:val="none" w:sz="0" w:space="0" w:color="auto"/>
        <w:bottom w:val="none" w:sz="0" w:space="0" w:color="auto"/>
        <w:right w:val="none" w:sz="0" w:space="0" w:color="auto"/>
      </w:divBdr>
    </w:div>
    <w:div w:id="1571496009">
      <w:bodyDiv w:val="1"/>
      <w:marLeft w:val="0"/>
      <w:marRight w:val="0"/>
      <w:marTop w:val="0"/>
      <w:marBottom w:val="0"/>
      <w:divBdr>
        <w:top w:val="none" w:sz="0" w:space="0" w:color="auto"/>
        <w:left w:val="none" w:sz="0" w:space="0" w:color="auto"/>
        <w:bottom w:val="none" w:sz="0" w:space="0" w:color="auto"/>
        <w:right w:val="none" w:sz="0" w:space="0" w:color="auto"/>
      </w:divBdr>
    </w:div>
    <w:div w:id="1582789191">
      <w:bodyDiv w:val="1"/>
      <w:marLeft w:val="0"/>
      <w:marRight w:val="0"/>
      <w:marTop w:val="0"/>
      <w:marBottom w:val="0"/>
      <w:divBdr>
        <w:top w:val="none" w:sz="0" w:space="0" w:color="auto"/>
        <w:left w:val="none" w:sz="0" w:space="0" w:color="auto"/>
        <w:bottom w:val="none" w:sz="0" w:space="0" w:color="auto"/>
        <w:right w:val="none" w:sz="0" w:space="0" w:color="auto"/>
      </w:divBdr>
    </w:div>
    <w:div w:id="1582832467">
      <w:bodyDiv w:val="1"/>
      <w:marLeft w:val="0"/>
      <w:marRight w:val="0"/>
      <w:marTop w:val="0"/>
      <w:marBottom w:val="0"/>
      <w:divBdr>
        <w:top w:val="none" w:sz="0" w:space="0" w:color="auto"/>
        <w:left w:val="none" w:sz="0" w:space="0" w:color="auto"/>
        <w:bottom w:val="none" w:sz="0" w:space="0" w:color="auto"/>
        <w:right w:val="none" w:sz="0" w:space="0" w:color="auto"/>
      </w:divBdr>
    </w:div>
    <w:div w:id="1586499862">
      <w:bodyDiv w:val="1"/>
      <w:marLeft w:val="0"/>
      <w:marRight w:val="0"/>
      <w:marTop w:val="0"/>
      <w:marBottom w:val="0"/>
      <w:divBdr>
        <w:top w:val="none" w:sz="0" w:space="0" w:color="auto"/>
        <w:left w:val="none" w:sz="0" w:space="0" w:color="auto"/>
        <w:bottom w:val="none" w:sz="0" w:space="0" w:color="auto"/>
        <w:right w:val="none" w:sz="0" w:space="0" w:color="auto"/>
      </w:divBdr>
    </w:div>
    <w:div w:id="1610160295">
      <w:bodyDiv w:val="1"/>
      <w:marLeft w:val="0"/>
      <w:marRight w:val="0"/>
      <w:marTop w:val="0"/>
      <w:marBottom w:val="0"/>
      <w:divBdr>
        <w:top w:val="none" w:sz="0" w:space="0" w:color="auto"/>
        <w:left w:val="none" w:sz="0" w:space="0" w:color="auto"/>
        <w:bottom w:val="none" w:sz="0" w:space="0" w:color="auto"/>
        <w:right w:val="none" w:sz="0" w:space="0" w:color="auto"/>
      </w:divBdr>
    </w:div>
    <w:div w:id="1611471069">
      <w:bodyDiv w:val="1"/>
      <w:marLeft w:val="0"/>
      <w:marRight w:val="0"/>
      <w:marTop w:val="0"/>
      <w:marBottom w:val="0"/>
      <w:divBdr>
        <w:top w:val="none" w:sz="0" w:space="0" w:color="auto"/>
        <w:left w:val="none" w:sz="0" w:space="0" w:color="auto"/>
        <w:bottom w:val="none" w:sz="0" w:space="0" w:color="auto"/>
        <w:right w:val="none" w:sz="0" w:space="0" w:color="auto"/>
      </w:divBdr>
    </w:div>
    <w:div w:id="1615746317">
      <w:bodyDiv w:val="1"/>
      <w:marLeft w:val="0"/>
      <w:marRight w:val="0"/>
      <w:marTop w:val="0"/>
      <w:marBottom w:val="0"/>
      <w:divBdr>
        <w:top w:val="none" w:sz="0" w:space="0" w:color="auto"/>
        <w:left w:val="none" w:sz="0" w:space="0" w:color="auto"/>
        <w:bottom w:val="none" w:sz="0" w:space="0" w:color="auto"/>
        <w:right w:val="none" w:sz="0" w:space="0" w:color="auto"/>
      </w:divBdr>
    </w:div>
    <w:div w:id="1618020252">
      <w:bodyDiv w:val="1"/>
      <w:marLeft w:val="0"/>
      <w:marRight w:val="0"/>
      <w:marTop w:val="0"/>
      <w:marBottom w:val="0"/>
      <w:divBdr>
        <w:top w:val="none" w:sz="0" w:space="0" w:color="auto"/>
        <w:left w:val="none" w:sz="0" w:space="0" w:color="auto"/>
        <w:bottom w:val="none" w:sz="0" w:space="0" w:color="auto"/>
        <w:right w:val="none" w:sz="0" w:space="0" w:color="auto"/>
      </w:divBdr>
    </w:div>
    <w:div w:id="1626884505">
      <w:bodyDiv w:val="1"/>
      <w:marLeft w:val="0"/>
      <w:marRight w:val="0"/>
      <w:marTop w:val="0"/>
      <w:marBottom w:val="0"/>
      <w:divBdr>
        <w:top w:val="none" w:sz="0" w:space="0" w:color="auto"/>
        <w:left w:val="none" w:sz="0" w:space="0" w:color="auto"/>
        <w:bottom w:val="none" w:sz="0" w:space="0" w:color="auto"/>
        <w:right w:val="none" w:sz="0" w:space="0" w:color="auto"/>
      </w:divBdr>
    </w:div>
    <w:div w:id="1640067854">
      <w:bodyDiv w:val="1"/>
      <w:marLeft w:val="0"/>
      <w:marRight w:val="0"/>
      <w:marTop w:val="0"/>
      <w:marBottom w:val="0"/>
      <w:divBdr>
        <w:top w:val="none" w:sz="0" w:space="0" w:color="auto"/>
        <w:left w:val="none" w:sz="0" w:space="0" w:color="auto"/>
        <w:bottom w:val="none" w:sz="0" w:space="0" w:color="auto"/>
        <w:right w:val="none" w:sz="0" w:space="0" w:color="auto"/>
      </w:divBdr>
    </w:div>
    <w:div w:id="1645964719">
      <w:bodyDiv w:val="1"/>
      <w:marLeft w:val="0"/>
      <w:marRight w:val="0"/>
      <w:marTop w:val="0"/>
      <w:marBottom w:val="0"/>
      <w:divBdr>
        <w:top w:val="none" w:sz="0" w:space="0" w:color="auto"/>
        <w:left w:val="none" w:sz="0" w:space="0" w:color="auto"/>
        <w:bottom w:val="none" w:sz="0" w:space="0" w:color="auto"/>
        <w:right w:val="none" w:sz="0" w:space="0" w:color="auto"/>
      </w:divBdr>
    </w:div>
    <w:div w:id="1658681497">
      <w:bodyDiv w:val="1"/>
      <w:marLeft w:val="0"/>
      <w:marRight w:val="0"/>
      <w:marTop w:val="0"/>
      <w:marBottom w:val="0"/>
      <w:divBdr>
        <w:top w:val="none" w:sz="0" w:space="0" w:color="auto"/>
        <w:left w:val="none" w:sz="0" w:space="0" w:color="auto"/>
        <w:bottom w:val="none" w:sz="0" w:space="0" w:color="auto"/>
        <w:right w:val="none" w:sz="0" w:space="0" w:color="auto"/>
      </w:divBdr>
    </w:div>
    <w:div w:id="1663119384">
      <w:bodyDiv w:val="1"/>
      <w:marLeft w:val="0"/>
      <w:marRight w:val="0"/>
      <w:marTop w:val="0"/>
      <w:marBottom w:val="0"/>
      <w:divBdr>
        <w:top w:val="none" w:sz="0" w:space="0" w:color="auto"/>
        <w:left w:val="none" w:sz="0" w:space="0" w:color="auto"/>
        <w:bottom w:val="none" w:sz="0" w:space="0" w:color="auto"/>
        <w:right w:val="none" w:sz="0" w:space="0" w:color="auto"/>
      </w:divBdr>
    </w:div>
    <w:div w:id="1673874093">
      <w:bodyDiv w:val="1"/>
      <w:marLeft w:val="0"/>
      <w:marRight w:val="0"/>
      <w:marTop w:val="0"/>
      <w:marBottom w:val="0"/>
      <w:divBdr>
        <w:top w:val="none" w:sz="0" w:space="0" w:color="auto"/>
        <w:left w:val="none" w:sz="0" w:space="0" w:color="auto"/>
        <w:bottom w:val="none" w:sz="0" w:space="0" w:color="auto"/>
        <w:right w:val="none" w:sz="0" w:space="0" w:color="auto"/>
      </w:divBdr>
    </w:div>
    <w:div w:id="1738824627">
      <w:bodyDiv w:val="1"/>
      <w:marLeft w:val="0"/>
      <w:marRight w:val="0"/>
      <w:marTop w:val="0"/>
      <w:marBottom w:val="0"/>
      <w:divBdr>
        <w:top w:val="none" w:sz="0" w:space="0" w:color="auto"/>
        <w:left w:val="none" w:sz="0" w:space="0" w:color="auto"/>
        <w:bottom w:val="none" w:sz="0" w:space="0" w:color="auto"/>
        <w:right w:val="none" w:sz="0" w:space="0" w:color="auto"/>
      </w:divBdr>
    </w:div>
    <w:div w:id="1742438079">
      <w:bodyDiv w:val="1"/>
      <w:marLeft w:val="0"/>
      <w:marRight w:val="0"/>
      <w:marTop w:val="0"/>
      <w:marBottom w:val="0"/>
      <w:divBdr>
        <w:top w:val="none" w:sz="0" w:space="0" w:color="auto"/>
        <w:left w:val="none" w:sz="0" w:space="0" w:color="auto"/>
        <w:bottom w:val="none" w:sz="0" w:space="0" w:color="auto"/>
        <w:right w:val="none" w:sz="0" w:space="0" w:color="auto"/>
      </w:divBdr>
    </w:div>
    <w:div w:id="1746491630">
      <w:bodyDiv w:val="1"/>
      <w:marLeft w:val="0"/>
      <w:marRight w:val="0"/>
      <w:marTop w:val="0"/>
      <w:marBottom w:val="0"/>
      <w:divBdr>
        <w:top w:val="none" w:sz="0" w:space="0" w:color="auto"/>
        <w:left w:val="none" w:sz="0" w:space="0" w:color="auto"/>
        <w:bottom w:val="none" w:sz="0" w:space="0" w:color="auto"/>
        <w:right w:val="none" w:sz="0" w:space="0" w:color="auto"/>
      </w:divBdr>
    </w:div>
    <w:div w:id="1819809521">
      <w:bodyDiv w:val="1"/>
      <w:marLeft w:val="0"/>
      <w:marRight w:val="0"/>
      <w:marTop w:val="0"/>
      <w:marBottom w:val="0"/>
      <w:divBdr>
        <w:top w:val="none" w:sz="0" w:space="0" w:color="auto"/>
        <w:left w:val="none" w:sz="0" w:space="0" w:color="auto"/>
        <w:bottom w:val="none" w:sz="0" w:space="0" w:color="auto"/>
        <w:right w:val="none" w:sz="0" w:space="0" w:color="auto"/>
      </w:divBdr>
    </w:div>
    <w:div w:id="1843859244">
      <w:bodyDiv w:val="1"/>
      <w:marLeft w:val="0"/>
      <w:marRight w:val="0"/>
      <w:marTop w:val="0"/>
      <w:marBottom w:val="0"/>
      <w:divBdr>
        <w:top w:val="none" w:sz="0" w:space="0" w:color="auto"/>
        <w:left w:val="none" w:sz="0" w:space="0" w:color="auto"/>
        <w:bottom w:val="none" w:sz="0" w:space="0" w:color="auto"/>
        <w:right w:val="none" w:sz="0" w:space="0" w:color="auto"/>
      </w:divBdr>
    </w:div>
    <w:div w:id="1854612229">
      <w:bodyDiv w:val="1"/>
      <w:marLeft w:val="0"/>
      <w:marRight w:val="0"/>
      <w:marTop w:val="0"/>
      <w:marBottom w:val="0"/>
      <w:divBdr>
        <w:top w:val="none" w:sz="0" w:space="0" w:color="auto"/>
        <w:left w:val="none" w:sz="0" w:space="0" w:color="auto"/>
        <w:bottom w:val="none" w:sz="0" w:space="0" w:color="auto"/>
        <w:right w:val="none" w:sz="0" w:space="0" w:color="auto"/>
      </w:divBdr>
    </w:div>
    <w:div w:id="1880514200">
      <w:bodyDiv w:val="1"/>
      <w:marLeft w:val="0"/>
      <w:marRight w:val="0"/>
      <w:marTop w:val="0"/>
      <w:marBottom w:val="0"/>
      <w:divBdr>
        <w:top w:val="none" w:sz="0" w:space="0" w:color="auto"/>
        <w:left w:val="none" w:sz="0" w:space="0" w:color="auto"/>
        <w:bottom w:val="none" w:sz="0" w:space="0" w:color="auto"/>
        <w:right w:val="none" w:sz="0" w:space="0" w:color="auto"/>
      </w:divBdr>
    </w:div>
    <w:div w:id="1885943671">
      <w:bodyDiv w:val="1"/>
      <w:marLeft w:val="0"/>
      <w:marRight w:val="0"/>
      <w:marTop w:val="0"/>
      <w:marBottom w:val="0"/>
      <w:divBdr>
        <w:top w:val="none" w:sz="0" w:space="0" w:color="auto"/>
        <w:left w:val="none" w:sz="0" w:space="0" w:color="auto"/>
        <w:bottom w:val="none" w:sz="0" w:space="0" w:color="auto"/>
        <w:right w:val="none" w:sz="0" w:space="0" w:color="auto"/>
      </w:divBdr>
    </w:div>
    <w:div w:id="1895268281">
      <w:bodyDiv w:val="1"/>
      <w:marLeft w:val="0"/>
      <w:marRight w:val="0"/>
      <w:marTop w:val="0"/>
      <w:marBottom w:val="0"/>
      <w:divBdr>
        <w:top w:val="none" w:sz="0" w:space="0" w:color="auto"/>
        <w:left w:val="none" w:sz="0" w:space="0" w:color="auto"/>
        <w:bottom w:val="none" w:sz="0" w:space="0" w:color="auto"/>
        <w:right w:val="none" w:sz="0" w:space="0" w:color="auto"/>
      </w:divBdr>
    </w:div>
    <w:div w:id="1941720683">
      <w:bodyDiv w:val="1"/>
      <w:marLeft w:val="0"/>
      <w:marRight w:val="0"/>
      <w:marTop w:val="0"/>
      <w:marBottom w:val="0"/>
      <w:divBdr>
        <w:top w:val="none" w:sz="0" w:space="0" w:color="auto"/>
        <w:left w:val="none" w:sz="0" w:space="0" w:color="auto"/>
        <w:bottom w:val="none" w:sz="0" w:space="0" w:color="auto"/>
        <w:right w:val="none" w:sz="0" w:space="0" w:color="auto"/>
      </w:divBdr>
    </w:div>
    <w:div w:id="1942912083">
      <w:bodyDiv w:val="1"/>
      <w:marLeft w:val="0"/>
      <w:marRight w:val="0"/>
      <w:marTop w:val="0"/>
      <w:marBottom w:val="0"/>
      <w:divBdr>
        <w:top w:val="none" w:sz="0" w:space="0" w:color="auto"/>
        <w:left w:val="none" w:sz="0" w:space="0" w:color="auto"/>
        <w:bottom w:val="none" w:sz="0" w:space="0" w:color="auto"/>
        <w:right w:val="none" w:sz="0" w:space="0" w:color="auto"/>
      </w:divBdr>
    </w:div>
    <w:div w:id="1957103743">
      <w:bodyDiv w:val="1"/>
      <w:marLeft w:val="0"/>
      <w:marRight w:val="0"/>
      <w:marTop w:val="0"/>
      <w:marBottom w:val="0"/>
      <w:divBdr>
        <w:top w:val="none" w:sz="0" w:space="0" w:color="auto"/>
        <w:left w:val="none" w:sz="0" w:space="0" w:color="auto"/>
        <w:bottom w:val="none" w:sz="0" w:space="0" w:color="auto"/>
        <w:right w:val="none" w:sz="0" w:space="0" w:color="auto"/>
      </w:divBdr>
    </w:div>
    <w:div w:id="1964068126">
      <w:bodyDiv w:val="1"/>
      <w:marLeft w:val="0"/>
      <w:marRight w:val="0"/>
      <w:marTop w:val="0"/>
      <w:marBottom w:val="0"/>
      <w:divBdr>
        <w:top w:val="none" w:sz="0" w:space="0" w:color="auto"/>
        <w:left w:val="none" w:sz="0" w:space="0" w:color="auto"/>
        <w:bottom w:val="none" w:sz="0" w:space="0" w:color="auto"/>
        <w:right w:val="none" w:sz="0" w:space="0" w:color="auto"/>
      </w:divBdr>
    </w:div>
    <w:div w:id="2001419773">
      <w:bodyDiv w:val="1"/>
      <w:marLeft w:val="0"/>
      <w:marRight w:val="0"/>
      <w:marTop w:val="0"/>
      <w:marBottom w:val="0"/>
      <w:divBdr>
        <w:top w:val="none" w:sz="0" w:space="0" w:color="auto"/>
        <w:left w:val="none" w:sz="0" w:space="0" w:color="auto"/>
        <w:bottom w:val="none" w:sz="0" w:space="0" w:color="auto"/>
        <w:right w:val="none" w:sz="0" w:space="0" w:color="auto"/>
      </w:divBdr>
    </w:div>
    <w:div w:id="2018187175">
      <w:bodyDiv w:val="1"/>
      <w:marLeft w:val="0"/>
      <w:marRight w:val="0"/>
      <w:marTop w:val="0"/>
      <w:marBottom w:val="0"/>
      <w:divBdr>
        <w:top w:val="none" w:sz="0" w:space="0" w:color="auto"/>
        <w:left w:val="none" w:sz="0" w:space="0" w:color="auto"/>
        <w:bottom w:val="none" w:sz="0" w:space="0" w:color="auto"/>
        <w:right w:val="none" w:sz="0" w:space="0" w:color="auto"/>
      </w:divBdr>
    </w:div>
    <w:div w:id="2048068675">
      <w:bodyDiv w:val="1"/>
      <w:marLeft w:val="0"/>
      <w:marRight w:val="0"/>
      <w:marTop w:val="0"/>
      <w:marBottom w:val="0"/>
      <w:divBdr>
        <w:top w:val="none" w:sz="0" w:space="0" w:color="auto"/>
        <w:left w:val="none" w:sz="0" w:space="0" w:color="auto"/>
        <w:bottom w:val="none" w:sz="0" w:space="0" w:color="auto"/>
        <w:right w:val="none" w:sz="0" w:space="0" w:color="auto"/>
      </w:divBdr>
    </w:div>
    <w:div w:id="2082603611">
      <w:bodyDiv w:val="1"/>
      <w:marLeft w:val="0"/>
      <w:marRight w:val="0"/>
      <w:marTop w:val="0"/>
      <w:marBottom w:val="0"/>
      <w:divBdr>
        <w:top w:val="none" w:sz="0" w:space="0" w:color="auto"/>
        <w:left w:val="none" w:sz="0" w:space="0" w:color="auto"/>
        <w:bottom w:val="none" w:sz="0" w:space="0" w:color="auto"/>
        <w:right w:val="none" w:sz="0" w:space="0" w:color="auto"/>
      </w:divBdr>
    </w:div>
    <w:div w:id="2083865366">
      <w:bodyDiv w:val="1"/>
      <w:marLeft w:val="0"/>
      <w:marRight w:val="0"/>
      <w:marTop w:val="0"/>
      <w:marBottom w:val="0"/>
      <w:divBdr>
        <w:top w:val="none" w:sz="0" w:space="0" w:color="auto"/>
        <w:left w:val="none" w:sz="0" w:space="0" w:color="auto"/>
        <w:bottom w:val="none" w:sz="0" w:space="0" w:color="auto"/>
        <w:right w:val="none" w:sz="0" w:space="0" w:color="auto"/>
      </w:divBdr>
    </w:div>
    <w:div w:id="20975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DEUDA PÚBLICA DIRECTA ESTATAL</a:t>
            </a:r>
          </a:p>
        </c:rich>
      </c:tx>
      <c:layout>
        <c:manualLayout>
          <c:xMode val="edge"/>
          <c:yMode val="edge"/>
          <c:x val="0.205544072615923"/>
          <c:y val="1.984126984126984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MX"/>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OBLIGACIÓN CUPÓN CERO</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Lbls>
            <c:dLbl>
              <c:idx val="0"/>
              <c:tx>
                <c:rich>
                  <a:bodyPr/>
                  <a:lstStyle/>
                  <a:p>
                    <a:r>
                      <a:rPr lang="en-US" baseline="0"/>
                      <a:t>BANCA COMERCIAL </a:t>
                    </a:r>
                  </a:p>
                  <a:p>
                    <a:r>
                      <a:rPr lang="en-US" baseline="0"/>
                      <a:t>$3,067,033,950</a:t>
                    </a:r>
                  </a:p>
                </c:rich>
              </c:tx>
              <c:dLblPos val="inEnd"/>
              <c:showLegendKey val="0"/>
              <c:showVal val="1"/>
              <c:showCatName val="1"/>
              <c:showSerName val="0"/>
              <c:showPercent val="1"/>
              <c:showBubbleSize val="0"/>
              <c:extLst>
                <c:ext xmlns:c15="http://schemas.microsoft.com/office/drawing/2012/chart" uri="{CE6537A1-D6FC-4f65-9D91-7224C49458BB}"/>
              </c:extLst>
            </c:dLbl>
            <c:dLbl>
              <c:idx val="1"/>
              <c:tx>
                <c:rich>
                  <a:bodyPr/>
                  <a:lstStyle/>
                  <a:p>
                    <a:fld id="{D6D1DE0E-BCA5-4B82-90B0-6CBA210FC98D}" type="CATEGORYNAME">
                      <a:rPr lang="en-US"/>
                      <a:pPr/>
                      <a:t>[NOMBRE DE CATEGORÍA]</a:t>
                    </a:fld>
                    <a:r>
                      <a:rPr lang="en-US" baseline="0"/>
                      <a:t> $1,979,123,355</a:t>
                    </a:r>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inEnd"/>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Hoja1!$A$2:$A$3</c:f>
              <c:strCache>
                <c:ptCount val="2"/>
                <c:pt idx="0">
                  <c:v>BANCA COMERCIAL</c:v>
                </c:pt>
                <c:pt idx="1">
                  <c:v>BANCA DE DESARROLLO</c:v>
                </c:pt>
              </c:strCache>
            </c:strRef>
          </c:cat>
          <c:val>
            <c:numRef>
              <c:f>Hoja1!$B$2:$B$3</c:f>
              <c:numCache>
                <c:formatCode>#,##0</c:formatCode>
                <c:ptCount val="2"/>
                <c:pt idx="0">
                  <c:v>3627433025</c:v>
                </c:pt>
                <c:pt idx="1">
                  <c:v>659693178</c:v>
                </c:pt>
              </c:numCache>
            </c:numRef>
          </c:val>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BANCA</a:t>
            </a:r>
            <a:r>
              <a:rPr lang="en-US" baseline="0"/>
              <a:t> COMERCIAL</a:t>
            </a:r>
            <a:endParaRPr lang="en-US"/>
          </a:p>
        </c:rich>
      </c:tx>
      <c:layout>
        <c:manualLayout>
          <c:xMode val="edge"/>
          <c:yMode val="edge"/>
          <c:x val="0.4088482429279674"/>
          <c:y val="2.3809523809523808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MX"/>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SECTOR PÚBLICO CENTRAL</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Lbls>
            <c:dLbl>
              <c:idx val="0"/>
              <c:layout>
                <c:manualLayout>
                  <c:x val="8.1018518518517473E-3"/>
                  <c:y val="0"/>
                </c:manualLayout>
              </c:layout>
              <c:tx>
                <c:rich>
                  <a:bodyPr/>
                  <a:lstStyle/>
                  <a:p>
                    <a:fld id="{2FCC85B0-0BA6-4E62-816E-E679B4444A1D}" type="CATEGORYNAME">
                      <a:rPr lang="en-US"/>
                      <a:pPr/>
                      <a:t>[NOMBRE DE CATEGORÍA]</a:t>
                    </a:fld>
                    <a:r>
                      <a:rPr lang="en-US" baseline="0"/>
                      <a:t> $1,186,786,375</a:t>
                    </a:r>
                  </a:p>
                </c:rich>
              </c:tx>
              <c:dLblPos val="bestFit"/>
              <c:showLegendKey val="0"/>
              <c:showVal val="1"/>
              <c:showCatName val="1"/>
              <c:showSerName val="0"/>
              <c:showPercent val="0"/>
              <c:showBubbleSize val="0"/>
              <c:extLst>
                <c:ext xmlns:c15="http://schemas.microsoft.com/office/drawing/2012/chart" uri="{CE6537A1-D6FC-4f65-9D91-7224C49458BB}">
                  <c15:layout>
                    <c:manualLayout>
                      <c:w val="0.15123851706036742"/>
                      <c:h val="9.9087301587301585E-2"/>
                    </c:manualLayout>
                  </c15:layout>
                  <c15:dlblFieldTable/>
                  <c15:showDataLabelsRange val="0"/>
                </c:ext>
              </c:extLst>
            </c:dLbl>
            <c:dLbl>
              <c:idx val="1"/>
              <c:tx>
                <c:rich>
                  <a:bodyPr/>
                  <a:lstStyle/>
                  <a:p>
                    <a:fld id="{D6D1DE0E-BCA5-4B82-90B0-6CBA210FC98D}" type="CATEGORYNAME">
                      <a:rPr lang="en-US"/>
                      <a:pPr/>
                      <a:t>[NOMBRE DE CATEGORÍA]</a:t>
                    </a:fld>
                    <a:r>
                      <a:rPr lang="en-US" baseline="0"/>
                      <a:t> $855,673,654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2"/>
              <c:layout>
                <c:manualLayout>
                  <c:x val="0"/>
                  <c:y val="-3.5714285714285712E-2"/>
                </c:manualLayout>
              </c:layout>
              <c:tx>
                <c:rich>
                  <a:bodyPr/>
                  <a:lstStyle/>
                  <a:p>
                    <a:fld id="{2182E9A9-4C83-4F41-84B5-E656A266F553}" type="CATEGORYNAME">
                      <a:rPr lang="en-US"/>
                      <a:pPr/>
                      <a:t>[NOMBRE DE CATEGORÍA]</a:t>
                    </a:fld>
                    <a:r>
                      <a:rPr lang="en-US" baseline="0"/>
                      <a:t> $790,972,227</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ED70A6DD-7D60-49E6-89AF-3DE6A585D8D3}" type="CATEGORYNAME">
                      <a:rPr lang="en-US"/>
                      <a:pPr/>
                      <a:t>[NOMBRE DE CATEGORÍA]</a:t>
                    </a:fld>
                    <a:r>
                      <a:rPr lang="en-US" baseline="0"/>
                      <a:t> $67,500,000</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4"/>
              <c:layout>
                <c:manualLayout>
                  <c:x val="0.13078703703703703"/>
                  <c:y val="-7.9361954755655731E-3"/>
                </c:manualLayout>
              </c:layout>
              <c:tx>
                <c:rich>
                  <a:bodyPr/>
                  <a:lstStyle/>
                  <a:p>
                    <a:fld id="{B0A9A993-9BC2-4039-8C5D-0906948B4D3E}" type="CATEGORYNAME">
                      <a:rPr lang="en-US"/>
                      <a:pPr/>
                      <a:t>[NOMBRE DE CATEGORÍA]</a:t>
                    </a:fld>
                    <a:r>
                      <a:rPr lang="en-US" baseline="0"/>
                      <a:t> $166,101,695</a:t>
                    </a:r>
                  </a:p>
                </c:rich>
              </c:tx>
              <c:dLblPos val="bestFit"/>
              <c:showLegendKey val="0"/>
              <c:showVal val="1"/>
              <c:showCatName val="1"/>
              <c:showSerName val="0"/>
              <c:showPercent val="0"/>
              <c:showBubbleSize val="0"/>
              <c:extLst>
                <c:ext xmlns:c15="http://schemas.microsoft.com/office/drawing/2012/chart" uri="{CE6537A1-D6FC-4f65-9D91-7224C49458BB}">
                  <c15:layout>
                    <c:manualLayout>
                      <c:w val="0.24792814960629922"/>
                      <c:h val="0.14267872765904263"/>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outEnd"/>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Hoja1!$A$2:$A$6</c:f>
              <c:strCache>
                <c:ptCount val="5"/>
                <c:pt idx="0">
                  <c:v>BANORTE</c:v>
                </c:pt>
                <c:pt idx="1">
                  <c:v>BANAMEX</c:v>
                </c:pt>
                <c:pt idx="2">
                  <c:v>BANCOMER</c:v>
                </c:pt>
                <c:pt idx="3">
                  <c:v>BANAMEX (SJP)</c:v>
                </c:pt>
                <c:pt idx="4">
                  <c:v>SCOTIABANK-INVERLAT</c:v>
                </c:pt>
              </c:strCache>
            </c:strRef>
          </c:cat>
          <c:val>
            <c:numRef>
              <c:f>Hoja1!$B$2:$B$6</c:f>
              <c:numCache>
                <c:formatCode>#,##0</c:formatCode>
                <c:ptCount val="5"/>
                <c:pt idx="0">
                  <c:v>1240069829</c:v>
                </c:pt>
                <c:pt idx="1">
                  <c:v>938664967</c:v>
                </c:pt>
                <c:pt idx="2">
                  <c:v>827758555</c:v>
                </c:pt>
                <c:pt idx="3">
                  <c:v>112500000</c:v>
                </c:pt>
                <c:pt idx="4">
                  <c:v>237288136</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BANCA</a:t>
            </a:r>
            <a:r>
              <a:rPr lang="en-US" baseline="0"/>
              <a:t> DE DESARROLLO</a:t>
            </a:r>
            <a:endParaRPr lang="en-US"/>
          </a:p>
        </c:rich>
      </c:tx>
      <c:layout>
        <c:manualLayout>
          <c:xMode val="edge"/>
          <c:yMode val="edge"/>
          <c:x val="0.4088482429279674"/>
          <c:y val="2.3809523809523808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MX"/>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OBLIGACIÓN CUPÓN CERO</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Lbls>
            <c:dLbl>
              <c:idx val="0"/>
              <c:tx>
                <c:rich>
                  <a:bodyPr/>
                  <a:lstStyle/>
                  <a:p>
                    <a:fld id="{2FCC85B0-0BA6-4E62-816E-E679B4444A1D}" type="CATEGORYNAME">
                      <a:rPr lang="en-US"/>
                      <a:pPr/>
                      <a:t>[NOMBRE DE CATEGORÍA]</a:t>
                    </a:fld>
                    <a:r>
                      <a:rPr lang="en-US" baseline="0"/>
                      <a:t> $</a:t>
                    </a:r>
                    <a:fld id="{5494020B-0AAA-44F5-B8C3-0BC58A5EC28F}" type="VALUE">
                      <a:rPr lang="en-US" baseline="0"/>
                      <a:pPr/>
                      <a:t>[VALOR]</a:t>
                    </a:fld>
                    <a:endParaRPr lang="en-US" baseline="0"/>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0.12865813648293964"/>
                  <c:y val="7.8575178102737162E-2"/>
                </c:manualLayout>
              </c:layout>
              <c:tx>
                <c:rich>
                  <a:bodyPr/>
                  <a:lstStyle/>
                  <a:p>
                    <a:fld id="{D6D1DE0E-BCA5-4B82-90B0-6CBA210FC98D}" type="CATEGORYNAME">
                      <a:rPr lang="en-US"/>
                      <a:pPr/>
                      <a:t>[NOMBRE DE CATEGORÍA]</a:t>
                    </a:fld>
                    <a:r>
                      <a:rPr lang="en-US" baseline="0"/>
                      <a:t> $</a:t>
                    </a:r>
                    <a:fld id="{75F8FB9A-3B14-4154-A9B3-462B901C0CCD}" type="VALUE">
                      <a:rPr lang="en-US" baseline="0"/>
                      <a:pPr/>
                      <a:t>[VALOR]</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inEnd"/>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Hoja1!$A$2:$A$3</c:f>
              <c:strCache>
                <c:ptCount val="2"/>
                <c:pt idx="0">
                  <c:v>BANOBRAS S.N.C (FONREC)</c:v>
                </c:pt>
                <c:pt idx="1">
                  <c:v>BANOBRAS S.N.C (PROFISE)</c:v>
                </c:pt>
              </c:strCache>
            </c:strRef>
          </c:cat>
          <c:val>
            <c:numRef>
              <c:f>Hoja1!$B$2:$B$3</c:f>
              <c:numCache>
                <c:formatCode>#,##0</c:formatCode>
                <c:ptCount val="2"/>
                <c:pt idx="0">
                  <c:v>1319430177</c:v>
                </c:pt>
                <c:pt idx="1">
                  <c:v>659693178</c:v>
                </c:pt>
              </c:numCache>
            </c:numRef>
          </c:val>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0.6875</cdr:x>
      <cdr:y>0.91369</cdr:y>
    </cdr:from>
    <cdr:to>
      <cdr:x>1</cdr:x>
      <cdr:y>1</cdr:y>
    </cdr:to>
    <cdr:sp macro="" textlink="">
      <cdr:nvSpPr>
        <cdr:cNvPr id="2" name="Cuadro de texto 1"/>
        <cdr:cNvSpPr txBox="1"/>
      </cdr:nvSpPr>
      <cdr:spPr>
        <a:xfrm xmlns:a="http://schemas.openxmlformats.org/drawingml/2006/main">
          <a:off x="3771900" y="2924173"/>
          <a:ext cx="1714500" cy="2762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s-MX" sz="1100" b="1"/>
            <a:t>Total</a:t>
          </a:r>
          <a:r>
            <a:rPr lang="es-MX" sz="1100" b="1" baseline="0"/>
            <a:t> $5,046,157,305</a:t>
          </a:r>
          <a:endParaRPr lang="es-MX"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0.71181</cdr:x>
      <cdr:y>0.91369</cdr:y>
    </cdr:from>
    <cdr:to>
      <cdr:x>1</cdr:x>
      <cdr:y>1</cdr:y>
    </cdr:to>
    <cdr:sp macro="" textlink="">
      <cdr:nvSpPr>
        <cdr:cNvPr id="2" name="Cuadro de texto 1"/>
        <cdr:cNvSpPr txBox="1"/>
      </cdr:nvSpPr>
      <cdr:spPr>
        <a:xfrm xmlns:a="http://schemas.openxmlformats.org/drawingml/2006/main">
          <a:off x="3956074" y="2974973"/>
          <a:ext cx="1581126" cy="276227"/>
        </a:xfrm>
        <a:prstGeom xmlns:a="http://schemas.openxmlformats.org/drawingml/2006/main" prst="rect">
          <a:avLst/>
        </a:prstGeom>
      </cdr:spPr>
    </cdr:sp>
  </cdr:relSizeAnchor>
  <cdr:relSizeAnchor xmlns:cdr="http://schemas.openxmlformats.org/drawingml/2006/chartDrawing">
    <cdr:from>
      <cdr:x>0.67361</cdr:x>
      <cdr:y>0.90291</cdr:y>
    </cdr:from>
    <cdr:to>
      <cdr:x>1</cdr:x>
      <cdr:y>0.98922</cdr:y>
    </cdr:to>
    <cdr:sp macro="" textlink="">
      <cdr:nvSpPr>
        <cdr:cNvPr id="3" name="Cuadro de texto 1"/>
        <cdr:cNvSpPr txBox="1"/>
      </cdr:nvSpPr>
      <cdr:spPr>
        <a:xfrm xmlns:a="http://schemas.openxmlformats.org/drawingml/2006/main">
          <a:off x="3695700" y="2889673"/>
          <a:ext cx="1790700" cy="27622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MX" b="1"/>
            <a:t>Subtotal</a:t>
          </a:r>
          <a:r>
            <a:rPr lang="es-MX" b="1" baseline="0"/>
            <a:t> $3,067,033,950</a:t>
          </a:r>
          <a:endParaRPr lang="es-MX" b="1"/>
        </a:p>
      </cdr:txBody>
    </cdr:sp>
  </cdr:relSizeAnchor>
</c:userShapes>
</file>

<file path=word/drawings/drawing3.xml><?xml version="1.0" encoding="utf-8"?>
<c:userShapes xmlns:c="http://schemas.openxmlformats.org/drawingml/2006/chart">
  <cdr:relSizeAnchor xmlns:cdr="http://schemas.openxmlformats.org/drawingml/2006/chartDrawing">
    <cdr:from>
      <cdr:x>0.68056</cdr:x>
      <cdr:y>0.91369</cdr:y>
    </cdr:from>
    <cdr:to>
      <cdr:x>1</cdr:x>
      <cdr:y>1</cdr:y>
    </cdr:to>
    <cdr:sp macro="" textlink="">
      <cdr:nvSpPr>
        <cdr:cNvPr id="2" name="Cuadro de texto 1"/>
        <cdr:cNvSpPr txBox="1"/>
      </cdr:nvSpPr>
      <cdr:spPr>
        <a:xfrm xmlns:a="http://schemas.openxmlformats.org/drawingml/2006/main">
          <a:off x="3733800" y="2924173"/>
          <a:ext cx="1752600" cy="2762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100" b="1"/>
            <a:t>Subtotal $1,979,123,355</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AF29A-BEC8-44C9-9443-3F3F8332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7</Pages>
  <Words>670</Words>
  <Characters>3688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 De Liz Lopez Hernandez</dc:creator>
  <cp:lastModifiedBy>Gerardo Garcia Reyes</cp:lastModifiedBy>
  <cp:revision>65</cp:revision>
  <cp:lastPrinted>2023-03-30T19:47:00Z</cp:lastPrinted>
  <dcterms:created xsi:type="dcterms:W3CDTF">2020-04-07T18:53:00Z</dcterms:created>
  <dcterms:modified xsi:type="dcterms:W3CDTF">2025-03-21T22:38:00Z</dcterms:modified>
</cp:coreProperties>
</file>