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15" w:rsidRPr="00AD0C35" w:rsidRDefault="00012415"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012415" w:rsidRPr="00AD0C35" w:rsidRDefault="00012415" w:rsidP="00012415">
      <w:pPr>
        <w:rPr>
          <w:rFonts w:ascii="Agency FB" w:hAnsi="Agency FB" w:cs="Arial"/>
          <w:b/>
          <w:sz w:val="28"/>
          <w:szCs w:val="28"/>
        </w:rPr>
      </w:pPr>
    </w:p>
    <w:p w:rsidR="003C3F16" w:rsidRPr="00AD0C35" w:rsidRDefault="003C3F16" w:rsidP="00012415">
      <w:pPr>
        <w:rPr>
          <w:rFonts w:ascii="Agency FB" w:hAnsi="Agency FB" w:cs="Arial"/>
          <w:b/>
          <w:sz w:val="28"/>
          <w:szCs w:val="28"/>
        </w:rPr>
      </w:pPr>
    </w:p>
    <w:p w:rsidR="006B09C1" w:rsidRPr="00AD0C35" w:rsidRDefault="006B09C1" w:rsidP="00012415">
      <w:pPr>
        <w:rPr>
          <w:rFonts w:ascii="Agency FB" w:hAnsi="Agency FB" w:cs="Arial"/>
          <w:b/>
          <w:sz w:val="28"/>
          <w:szCs w:val="28"/>
        </w:rPr>
      </w:pPr>
    </w:p>
    <w:p w:rsidR="00012415" w:rsidRPr="00AD0C35" w:rsidRDefault="003C3F16" w:rsidP="0076196F">
      <w:pPr>
        <w:jc w:val="center"/>
        <w:rPr>
          <w:rFonts w:ascii="Agency FB" w:hAnsi="Agency FB" w:cs="Arial"/>
          <w:b/>
          <w:sz w:val="96"/>
          <w:szCs w:val="28"/>
        </w:rPr>
      </w:pPr>
      <w:r w:rsidRPr="00AD0C35">
        <w:rPr>
          <w:rFonts w:ascii="Agency FB" w:hAnsi="Agency FB" w:cs="Arial"/>
          <w:b/>
          <w:sz w:val="96"/>
          <w:szCs w:val="28"/>
        </w:rPr>
        <w:t>I</w:t>
      </w:r>
      <w:r w:rsidR="00012415" w:rsidRPr="00AD0C35">
        <w:rPr>
          <w:rFonts w:ascii="Agency FB" w:hAnsi="Agency FB" w:cs="Arial"/>
          <w:b/>
          <w:sz w:val="96"/>
          <w:szCs w:val="28"/>
        </w:rPr>
        <w:t>NGRESOS PRESUPUESTARIOS</w:t>
      </w:r>
      <w:r w:rsidR="009C7A1F" w:rsidRPr="00AD0C35">
        <w:rPr>
          <w:rFonts w:ascii="Agency FB" w:hAnsi="Agency FB" w:cs="Arial"/>
          <w:b/>
          <w:sz w:val="96"/>
          <w:szCs w:val="28"/>
        </w:rPr>
        <w:t xml:space="preserve"> </w:t>
      </w:r>
    </w:p>
    <w:p w:rsidR="00012415" w:rsidRPr="00AD0C35" w:rsidRDefault="00012415"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1A2D6F" w:rsidRPr="00AD0C35" w:rsidRDefault="001A2D6F"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Default="00FF251B" w:rsidP="00A54BAB">
      <w:pPr>
        <w:spacing w:after="0" w:line="240" w:lineRule="auto"/>
        <w:jc w:val="both"/>
        <w:rPr>
          <w:rFonts w:ascii="Agency FB" w:hAnsi="Agency FB" w:cs="Arial"/>
          <w:sz w:val="28"/>
          <w:szCs w:val="28"/>
        </w:rPr>
      </w:pPr>
    </w:p>
    <w:p w:rsidR="00984778" w:rsidRPr="00984778" w:rsidRDefault="00984778" w:rsidP="00984778">
      <w:pPr>
        <w:spacing w:after="0" w:line="240" w:lineRule="auto"/>
        <w:jc w:val="both"/>
        <w:rPr>
          <w:rFonts w:ascii="Agency FB" w:hAnsi="Agency FB" w:cs="Times New Roman"/>
          <w:sz w:val="28"/>
          <w:szCs w:val="24"/>
        </w:rPr>
      </w:pPr>
      <w:r w:rsidRPr="00984778">
        <w:rPr>
          <w:rFonts w:ascii="Agency FB" w:hAnsi="Agency FB" w:cs="Times New Roman"/>
          <w:sz w:val="28"/>
          <w:szCs w:val="24"/>
        </w:rPr>
        <w:lastRenderedPageBreak/>
        <w:t>Para el 2024, los Ingresos Presupuestarios sumaron 67 mil 274.7 millones de pesos, cifra mayor en 4.14 por ciento a la estimada en la Ley de Ingresos del Estado de Tabasco y menor en 1.24 por ciento real a la registrada en la Cuenta Pública del año previo.</w:t>
      </w:r>
    </w:p>
    <w:p w:rsidR="00984778" w:rsidRPr="00984778" w:rsidRDefault="00984778" w:rsidP="00984778">
      <w:pPr>
        <w:spacing w:after="0" w:line="240" w:lineRule="auto"/>
        <w:jc w:val="both"/>
        <w:rPr>
          <w:rFonts w:ascii="DIN Next LT Pro Condensed" w:hAnsi="DIN Next LT Pro Condensed" w:cs="Arial"/>
          <w:szCs w:val="20"/>
        </w:rPr>
      </w:pPr>
    </w:p>
    <w:p w:rsidR="00984778" w:rsidRPr="00DA14DA" w:rsidRDefault="00984778" w:rsidP="00984778">
      <w:pPr>
        <w:spacing w:line="240" w:lineRule="auto"/>
        <w:jc w:val="center"/>
        <w:rPr>
          <w:noProof/>
          <w:lang w:eastAsia="es-MX"/>
        </w:rPr>
      </w:pPr>
      <w:r w:rsidRPr="003B3EB7">
        <w:rPr>
          <w:noProof/>
          <w:lang w:eastAsia="es-MX"/>
        </w:rPr>
        <mc:AlternateContent>
          <mc:Choice Requires="wps">
            <w:drawing>
              <wp:anchor distT="0" distB="0" distL="114300" distR="114300" simplePos="0" relativeHeight="251657728" behindDoc="0" locked="0" layoutInCell="1" allowOverlap="1" wp14:anchorId="453E7D57" wp14:editId="095B4854">
                <wp:simplePos x="0" y="0"/>
                <wp:positionH relativeFrom="column">
                  <wp:posOffset>3130550</wp:posOffset>
                </wp:positionH>
                <wp:positionV relativeFrom="paragraph">
                  <wp:posOffset>2003425</wp:posOffset>
                </wp:positionV>
                <wp:extent cx="2621280" cy="436243"/>
                <wp:effectExtent l="0" t="0" r="0" b="2540"/>
                <wp:wrapNone/>
                <wp:docPr id="9" name="2 CuadroTexto"/>
                <wp:cNvGraphicFramePr/>
                <a:graphic xmlns:a="http://schemas.openxmlformats.org/drawingml/2006/main">
                  <a:graphicData uri="http://schemas.microsoft.com/office/word/2010/wordprocessingShape">
                    <wps:wsp>
                      <wps:cNvSpPr txBox="1"/>
                      <wps:spPr>
                        <a:xfrm>
                          <a:off x="0" y="0"/>
                          <a:ext cx="2621280" cy="43624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984778" w:rsidRDefault="00984778" w:rsidP="00984778">
                            <w:pPr>
                              <w:pStyle w:val="NormalWeb"/>
                              <w:spacing w:before="0" w:beforeAutospacing="0" w:after="0" w:afterAutospacing="0"/>
                            </w:pPr>
                            <w:r>
                              <w:rPr>
                                <w:rFonts w:ascii="Arial" w:hAnsi="Arial" w:cs="Arial"/>
                                <w:color w:val="000000" w:themeColor="dark1"/>
                                <w:sz w:val="18"/>
                                <w:szCs w:val="18"/>
                              </w:rPr>
                              <w:t>Fuente: Secretaría de</w:t>
                            </w:r>
                            <w:r>
                              <w:rPr>
                                <w:rFonts w:ascii="Arial" w:hAnsi="Arial" w:cs="Arial"/>
                                <w:color w:val="000000" w:themeColor="dark1"/>
                                <w:sz w:val="18"/>
                                <w:szCs w:val="18"/>
                                <w:lang w:val="es-ES"/>
                              </w:rPr>
                              <w:t xml:space="preserve"> Administración</w:t>
                            </w:r>
                            <w:r>
                              <w:rPr>
                                <w:rFonts w:ascii="Arial" w:hAnsi="Arial" w:cs="Arial"/>
                                <w:color w:val="000000" w:themeColor="dark1"/>
                                <w:sz w:val="18"/>
                                <w:szCs w:val="18"/>
                              </w:rPr>
                              <w:t xml:space="preserve"> Finanzas.</w:t>
                            </w:r>
                          </w:p>
                          <w:p w:rsidR="00984778" w:rsidRDefault="00984778" w:rsidP="00984778">
                            <w:pPr>
                              <w:pStyle w:val="NormalWeb"/>
                              <w:spacing w:before="0" w:beforeAutospacing="0" w:after="0" w:afterAutospacing="0"/>
                            </w:pPr>
                            <w:r>
                              <w:rPr>
                                <w:rFonts w:ascii="Arial" w:hAnsi="Arial" w:cs="Arial"/>
                                <w:color w:val="000000" w:themeColor="dark1"/>
                                <w:sz w:val="18"/>
                                <w:szCs w:val="18"/>
                              </w:rPr>
                              <w:t>Cifras definitivas 2024.</w:t>
                            </w:r>
                          </w:p>
                        </w:txbxContent>
                      </wps:txbx>
                      <wps:bodyPr vertOverflow="clip" horzOverflow="clip" wrap="square" rtlCol="0" anchor="t"/>
                    </wps:wsp>
                  </a:graphicData>
                </a:graphic>
                <wp14:sizeRelH relativeFrom="margin">
                  <wp14:pctWidth>0</wp14:pctWidth>
                </wp14:sizeRelH>
              </wp:anchor>
            </w:drawing>
          </mc:Choice>
          <mc:Fallback>
            <w:pict>
              <v:shapetype w14:anchorId="453E7D57" id="_x0000_t202" coordsize="21600,21600" o:spt="202" path="m,l,21600r21600,l21600,xe">
                <v:stroke joinstyle="miter"/>
                <v:path gradientshapeok="t" o:connecttype="rect"/>
              </v:shapetype>
              <v:shape id="2 CuadroTexto" o:spid="_x0000_s1026" type="#_x0000_t202" style="position:absolute;left:0;text-align:left;margin-left:246.5pt;margin-top:157.75pt;width:206.4pt;height:34.3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" filled="f" stroked="f">
                <v:textbox>
                  <w:txbxContent>
                    <w:p w:rsidR="00984778" w:rsidRDefault="00984778" w:rsidP="00984778">
                      <w:pPr>
                        <w:pStyle w:val="NormalWeb"/>
                        <w:spacing w:before="0" w:beforeAutospacing="0" w:after="0" w:afterAutospacing="0"/>
                      </w:pPr>
                      <w:r>
                        <w:rPr>
                          <w:rFonts w:ascii="Arial" w:hAnsi="Arial" w:cs="Arial"/>
                          <w:color w:val="000000" w:themeColor="dark1"/>
                          <w:sz w:val="18"/>
                          <w:szCs w:val="18"/>
                        </w:rPr>
                        <w:t>Fuente: Secretaría de</w:t>
                      </w:r>
                      <w:r>
                        <w:rPr>
                          <w:rFonts w:ascii="Arial" w:hAnsi="Arial" w:cs="Arial"/>
                          <w:color w:val="000000" w:themeColor="dark1"/>
                          <w:sz w:val="18"/>
                          <w:szCs w:val="18"/>
                          <w:lang w:val="es-ES"/>
                        </w:rPr>
                        <w:t xml:space="preserve"> Administración</w:t>
                      </w:r>
                      <w:r>
                        <w:rPr>
                          <w:rFonts w:ascii="Arial" w:hAnsi="Arial" w:cs="Arial"/>
                          <w:color w:val="000000" w:themeColor="dark1"/>
                          <w:sz w:val="18"/>
                          <w:szCs w:val="18"/>
                        </w:rPr>
                        <w:t xml:space="preserve"> Finanzas.</w:t>
                      </w:r>
                    </w:p>
                    <w:p w:rsidR="00984778" w:rsidRDefault="00984778" w:rsidP="00984778">
                      <w:pPr>
                        <w:pStyle w:val="NormalWeb"/>
                        <w:spacing w:before="0" w:beforeAutospacing="0" w:after="0" w:afterAutospacing="0"/>
                      </w:pPr>
                      <w:r>
                        <w:rPr>
                          <w:rFonts w:ascii="Arial" w:hAnsi="Arial" w:cs="Arial"/>
                          <w:color w:val="000000" w:themeColor="dark1"/>
                          <w:sz w:val="18"/>
                          <w:szCs w:val="18"/>
                        </w:rPr>
                        <w:t>Cifras definitivas 2024.</w:t>
                      </w:r>
                    </w:p>
                  </w:txbxContent>
                </v:textbox>
              </v:shape>
            </w:pict>
          </mc:Fallback>
        </mc:AlternateContent>
      </w:r>
      <w:r w:rsidRPr="00856018">
        <w:rPr>
          <w:noProof/>
          <w:lang w:eastAsia="es-MX"/>
        </w:rPr>
        <w:drawing>
          <wp:inline distT="0" distB="0" distL="0" distR="0" wp14:anchorId="0DF26A34" wp14:editId="27E0FC66">
            <wp:extent cx="4549775" cy="235712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0412" cy="2357450"/>
                    </a:xfrm>
                    <a:prstGeom prst="rect">
                      <a:avLst/>
                    </a:prstGeom>
                    <a:noFill/>
                    <a:ln>
                      <a:noFill/>
                    </a:ln>
                  </pic:spPr>
                </pic:pic>
              </a:graphicData>
            </a:graphic>
          </wp:inline>
        </w:drawing>
      </w:r>
    </w:p>
    <w:p w:rsidR="00984778" w:rsidRPr="009F04F9" w:rsidRDefault="00984778" w:rsidP="00984778">
      <w:pPr>
        <w:spacing w:line="240" w:lineRule="auto"/>
        <w:jc w:val="center"/>
        <w:rPr>
          <w:rFonts w:ascii="Arial" w:hAnsi="Arial" w:cs="Arial"/>
          <w:sz w:val="24"/>
          <w:szCs w:val="24"/>
        </w:rPr>
      </w:pPr>
      <w:r w:rsidRPr="003B3EB7">
        <w:rPr>
          <w:noProof/>
          <w:lang w:eastAsia="es-MX"/>
        </w:rPr>
        <mc:AlternateContent>
          <mc:Choice Requires="wps">
            <w:drawing>
              <wp:anchor distT="0" distB="0" distL="114300" distR="114300" simplePos="0" relativeHeight="251658752" behindDoc="0" locked="0" layoutInCell="1" allowOverlap="1" wp14:anchorId="7D3F8EAC" wp14:editId="0A51507A">
                <wp:simplePos x="0" y="0"/>
                <wp:positionH relativeFrom="column">
                  <wp:posOffset>3026410</wp:posOffset>
                </wp:positionH>
                <wp:positionV relativeFrom="paragraph">
                  <wp:posOffset>1978660</wp:posOffset>
                </wp:positionV>
                <wp:extent cx="2753360" cy="495300"/>
                <wp:effectExtent l="0" t="0" r="0" b="0"/>
                <wp:wrapNone/>
                <wp:docPr id="5" name="2 CuadroTexto"/>
                <wp:cNvGraphicFramePr/>
                <a:graphic xmlns:a="http://schemas.openxmlformats.org/drawingml/2006/main">
                  <a:graphicData uri="http://schemas.microsoft.com/office/word/2010/wordprocessingShape">
                    <wps:wsp>
                      <wps:cNvSpPr txBox="1"/>
                      <wps:spPr>
                        <a:xfrm>
                          <a:off x="0" y="0"/>
                          <a:ext cx="275336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984778" w:rsidRDefault="00984778" w:rsidP="00984778">
                            <w:pPr>
                              <w:pStyle w:val="NormalWeb"/>
                              <w:spacing w:before="0" w:beforeAutospacing="0" w:after="0" w:afterAutospacing="0"/>
                            </w:pPr>
                            <w:r>
                              <w:rPr>
                                <w:rFonts w:ascii="Arial" w:hAnsi="Arial" w:cs="Arial"/>
                                <w:color w:val="000000" w:themeColor="dark1"/>
                                <w:sz w:val="18"/>
                                <w:szCs w:val="18"/>
                              </w:rPr>
                              <w:t>Fuente: Secretaría de</w:t>
                            </w:r>
                            <w:r>
                              <w:rPr>
                                <w:rFonts w:ascii="Arial" w:hAnsi="Arial" w:cs="Arial"/>
                                <w:color w:val="000000" w:themeColor="dark1"/>
                                <w:sz w:val="18"/>
                                <w:szCs w:val="18"/>
                                <w:lang w:val="es-ES"/>
                              </w:rPr>
                              <w:t xml:space="preserve"> Administración y</w:t>
                            </w:r>
                            <w:r>
                              <w:rPr>
                                <w:rFonts w:ascii="Arial" w:hAnsi="Arial" w:cs="Arial"/>
                                <w:color w:val="000000" w:themeColor="dark1"/>
                                <w:sz w:val="18"/>
                                <w:szCs w:val="18"/>
                              </w:rPr>
                              <w:t xml:space="preserve"> Finanzas.</w:t>
                            </w:r>
                          </w:p>
                          <w:p w:rsidR="00984778" w:rsidRDefault="00984778" w:rsidP="00984778">
                            <w:pPr>
                              <w:pStyle w:val="NormalWeb"/>
                              <w:spacing w:before="0" w:beforeAutospacing="0" w:after="0" w:afterAutospacing="0"/>
                            </w:pPr>
                            <w:r>
                              <w:rPr>
                                <w:rFonts w:ascii="Arial" w:hAnsi="Arial" w:cs="Arial"/>
                                <w:color w:val="000000" w:themeColor="dark1"/>
                                <w:sz w:val="18"/>
                                <w:szCs w:val="18"/>
                              </w:rPr>
                              <w:t>Cifras definitivas 2023 y 202</w:t>
                            </w:r>
                            <w:r>
                              <w:rPr>
                                <w:rFonts w:ascii="Arial" w:hAnsi="Arial" w:cs="Arial"/>
                                <w:color w:val="000000" w:themeColor="dark1"/>
                                <w:sz w:val="18"/>
                                <w:szCs w:val="18"/>
                                <w:lang w:val="es-ES"/>
                              </w:rPr>
                              <w:t>4</w:t>
                            </w:r>
                            <w:r>
                              <w:rPr>
                                <w:rFonts w:ascii="Arial" w:hAnsi="Arial" w:cs="Arial"/>
                                <w:color w:val="000000" w:themeColor="dark1"/>
                                <w:sz w:val="18"/>
                                <w:szCs w:val="18"/>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D3F8EAC" id="_x0000_s1027" type="#_x0000_t202" style="position:absolute;left:0;text-align:left;margin-left:238.3pt;margin-top:155.8pt;width:216.8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" filled="f" stroked="f">
                <v:textbox>
                  <w:txbxContent>
                    <w:p w:rsidR="00984778" w:rsidRDefault="00984778" w:rsidP="00984778">
                      <w:pPr>
                        <w:pStyle w:val="NormalWeb"/>
                        <w:spacing w:before="0" w:beforeAutospacing="0" w:after="0" w:afterAutospacing="0"/>
                      </w:pPr>
                      <w:r>
                        <w:rPr>
                          <w:rFonts w:ascii="Arial" w:hAnsi="Arial" w:cs="Arial"/>
                          <w:color w:val="000000" w:themeColor="dark1"/>
                          <w:sz w:val="18"/>
                          <w:szCs w:val="18"/>
                        </w:rPr>
                        <w:t>Fuente: Secretaría de</w:t>
                      </w:r>
                      <w:r>
                        <w:rPr>
                          <w:rFonts w:ascii="Arial" w:hAnsi="Arial" w:cs="Arial"/>
                          <w:color w:val="000000" w:themeColor="dark1"/>
                          <w:sz w:val="18"/>
                          <w:szCs w:val="18"/>
                          <w:lang w:val="es-ES"/>
                        </w:rPr>
                        <w:t xml:space="preserve"> Administración y</w:t>
                      </w:r>
                      <w:r>
                        <w:rPr>
                          <w:rFonts w:ascii="Arial" w:hAnsi="Arial" w:cs="Arial"/>
                          <w:color w:val="000000" w:themeColor="dark1"/>
                          <w:sz w:val="18"/>
                          <w:szCs w:val="18"/>
                        </w:rPr>
                        <w:t xml:space="preserve"> Finanzas.</w:t>
                      </w:r>
                    </w:p>
                    <w:p w:rsidR="00984778" w:rsidRDefault="00984778" w:rsidP="00984778">
                      <w:pPr>
                        <w:pStyle w:val="NormalWeb"/>
                        <w:spacing w:before="0" w:beforeAutospacing="0" w:after="0" w:afterAutospacing="0"/>
                      </w:pPr>
                      <w:r>
                        <w:rPr>
                          <w:rFonts w:ascii="Arial" w:hAnsi="Arial" w:cs="Arial"/>
                          <w:color w:val="000000" w:themeColor="dark1"/>
                          <w:sz w:val="18"/>
                          <w:szCs w:val="18"/>
                        </w:rPr>
                        <w:t>Cifras definitivas 2023 y 202</w:t>
                      </w:r>
                      <w:r>
                        <w:rPr>
                          <w:rFonts w:ascii="Arial" w:hAnsi="Arial" w:cs="Arial"/>
                          <w:color w:val="000000" w:themeColor="dark1"/>
                          <w:sz w:val="18"/>
                          <w:szCs w:val="18"/>
                          <w:lang w:val="es-ES"/>
                        </w:rPr>
                        <w:t>4</w:t>
                      </w:r>
                      <w:r>
                        <w:rPr>
                          <w:rFonts w:ascii="Arial" w:hAnsi="Arial" w:cs="Arial"/>
                          <w:color w:val="000000" w:themeColor="dark1"/>
                          <w:sz w:val="18"/>
                          <w:szCs w:val="18"/>
                        </w:rPr>
                        <w:t>.</w:t>
                      </w:r>
                    </w:p>
                  </w:txbxContent>
                </v:textbox>
              </v:shape>
            </w:pict>
          </mc:Fallback>
        </mc:AlternateContent>
      </w:r>
      <w:r w:rsidRPr="00917252">
        <w:rPr>
          <w:noProof/>
          <w:lang w:eastAsia="es-MX"/>
        </w:rPr>
        <w:drawing>
          <wp:inline distT="0" distB="0" distL="0" distR="0" wp14:anchorId="6C8912B0" wp14:editId="619ED6E2">
            <wp:extent cx="3865880" cy="2377440"/>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6402" cy="2377761"/>
                    </a:xfrm>
                    <a:prstGeom prst="rect">
                      <a:avLst/>
                    </a:prstGeom>
                    <a:noFill/>
                    <a:ln>
                      <a:noFill/>
                    </a:ln>
                  </pic:spPr>
                </pic:pic>
              </a:graphicData>
            </a:graphic>
          </wp:inline>
        </w:drawing>
      </w:r>
    </w:p>
    <w:p w:rsidR="00984778" w:rsidRDefault="00984778" w:rsidP="00984778">
      <w:pPr>
        <w:spacing w:after="0" w:line="240" w:lineRule="auto"/>
        <w:jc w:val="both"/>
        <w:rPr>
          <w:rFonts w:ascii="Arial" w:hAnsi="Arial" w:cs="Arial"/>
          <w:sz w:val="24"/>
          <w:szCs w:val="24"/>
        </w:rPr>
      </w:pPr>
    </w:p>
    <w:p w:rsidR="00984778" w:rsidRPr="00984778" w:rsidRDefault="00984778" w:rsidP="00984778">
      <w:pPr>
        <w:spacing w:after="0" w:line="240" w:lineRule="auto"/>
        <w:jc w:val="both"/>
        <w:rPr>
          <w:rFonts w:ascii="Agency FB" w:hAnsi="Agency FB" w:cs="Arial"/>
          <w:sz w:val="28"/>
          <w:szCs w:val="24"/>
        </w:rPr>
      </w:pPr>
      <w:r w:rsidRPr="00984778">
        <w:rPr>
          <w:rFonts w:ascii="Agency FB" w:hAnsi="Agency FB" w:cs="Arial"/>
          <w:sz w:val="28"/>
          <w:szCs w:val="24"/>
        </w:rPr>
        <w:lastRenderedPageBreak/>
        <w:t xml:space="preserve">De los Ingresos Totales el </w:t>
      </w:r>
      <w:r w:rsidRPr="00984778">
        <w:rPr>
          <w:rFonts w:ascii="Agency FB" w:hAnsi="Agency FB" w:cs="Arial"/>
          <w:b/>
          <w:sz w:val="28"/>
          <w:szCs w:val="24"/>
        </w:rPr>
        <w:t>8.83 por ciento</w:t>
      </w:r>
      <w:r w:rsidRPr="00984778">
        <w:rPr>
          <w:rFonts w:ascii="Agency FB" w:hAnsi="Agency FB" w:cs="Arial"/>
          <w:sz w:val="28"/>
          <w:szCs w:val="24"/>
        </w:rPr>
        <w:t xml:space="preserve"> corresponde a Recursos Estatales y el </w:t>
      </w:r>
      <w:r w:rsidRPr="00984778">
        <w:rPr>
          <w:rFonts w:ascii="Agency FB" w:hAnsi="Agency FB" w:cs="Arial"/>
          <w:b/>
          <w:sz w:val="28"/>
          <w:szCs w:val="24"/>
        </w:rPr>
        <w:t>91.20 por ciento</w:t>
      </w:r>
      <w:r w:rsidRPr="00984778">
        <w:rPr>
          <w:rFonts w:ascii="Agency FB" w:hAnsi="Agency FB" w:cs="Arial"/>
          <w:sz w:val="28"/>
          <w:szCs w:val="24"/>
        </w:rPr>
        <w:t xml:space="preserve"> corresponde a Ingresos Federales, los cuales se dividen en los rubros de Participaciones con el </w:t>
      </w:r>
      <w:r w:rsidRPr="00984778">
        <w:rPr>
          <w:rFonts w:ascii="Agency FB" w:hAnsi="Agency FB" w:cs="Arial"/>
          <w:b/>
          <w:sz w:val="28"/>
          <w:szCs w:val="24"/>
        </w:rPr>
        <w:t>45.58 por ciento</w:t>
      </w:r>
      <w:r w:rsidRPr="00984778">
        <w:rPr>
          <w:rFonts w:ascii="Agency FB" w:hAnsi="Agency FB" w:cs="Arial"/>
          <w:sz w:val="28"/>
          <w:szCs w:val="24"/>
        </w:rPr>
        <w:t xml:space="preserve">, Aportaciones con el </w:t>
      </w:r>
      <w:r w:rsidRPr="00984778">
        <w:rPr>
          <w:rFonts w:ascii="Agency FB" w:hAnsi="Agency FB" w:cs="Arial"/>
          <w:b/>
          <w:sz w:val="28"/>
          <w:szCs w:val="24"/>
        </w:rPr>
        <w:t>29.73 por ciento</w:t>
      </w:r>
      <w:r w:rsidRPr="00984778">
        <w:rPr>
          <w:rFonts w:ascii="Agency FB" w:hAnsi="Agency FB" w:cs="Arial"/>
          <w:sz w:val="28"/>
          <w:szCs w:val="24"/>
        </w:rPr>
        <w:t xml:space="preserve">, Convenios con el </w:t>
      </w:r>
      <w:r w:rsidRPr="00984778">
        <w:rPr>
          <w:rFonts w:ascii="Agency FB" w:hAnsi="Agency FB" w:cs="Arial"/>
          <w:b/>
          <w:sz w:val="28"/>
          <w:szCs w:val="24"/>
        </w:rPr>
        <w:t>11.07 por ciento</w:t>
      </w:r>
      <w:r w:rsidRPr="00984778">
        <w:rPr>
          <w:rFonts w:ascii="Agency FB" w:hAnsi="Agency FB" w:cs="Arial"/>
          <w:sz w:val="28"/>
          <w:szCs w:val="24"/>
        </w:rPr>
        <w:t xml:space="preserve">, Incentivos Derivados de la Colaboración Fiscal con el </w:t>
      </w:r>
      <w:r w:rsidRPr="00984778">
        <w:rPr>
          <w:rFonts w:ascii="Agency FB" w:hAnsi="Agency FB" w:cs="Arial"/>
          <w:b/>
          <w:sz w:val="28"/>
          <w:szCs w:val="24"/>
        </w:rPr>
        <w:t>2.24 por ciento</w:t>
      </w:r>
      <w:r w:rsidRPr="00984778">
        <w:rPr>
          <w:rFonts w:ascii="Agency FB" w:hAnsi="Agency FB" w:cs="Arial"/>
          <w:sz w:val="28"/>
          <w:szCs w:val="24"/>
        </w:rPr>
        <w:t xml:space="preserve">, Fondos Distintos de Aportaciones con el </w:t>
      </w:r>
      <w:r w:rsidRPr="00984778">
        <w:rPr>
          <w:rFonts w:ascii="Agency FB" w:hAnsi="Agency FB" w:cs="Arial"/>
          <w:b/>
          <w:sz w:val="28"/>
          <w:szCs w:val="24"/>
        </w:rPr>
        <w:t>2.54 por ciento</w:t>
      </w:r>
      <w:r w:rsidRPr="00984778">
        <w:rPr>
          <w:rFonts w:ascii="Agency FB" w:hAnsi="Agency FB" w:cs="Arial"/>
          <w:sz w:val="28"/>
          <w:szCs w:val="24"/>
        </w:rPr>
        <w:t xml:space="preserve"> y Transferencias, Asignaciones, Subsidios y Subvenciones, y Pensiones y Jubilaciones con el </w:t>
      </w:r>
      <w:r w:rsidRPr="00984778">
        <w:rPr>
          <w:rFonts w:ascii="Agency FB" w:hAnsi="Agency FB" w:cs="Arial"/>
          <w:b/>
          <w:sz w:val="28"/>
          <w:szCs w:val="24"/>
        </w:rPr>
        <w:t>0.003 por ciento</w:t>
      </w:r>
      <w:r w:rsidRPr="00984778">
        <w:rPr>
          <w:rFonts w:ascii="Agency FB" w:hAnsi="Agency FB" w:cs="Arial"/>
          <w:sz w:val="28"/>
          <w:szCs w:val="24"/>
        </w:rPr>
        <w:t>.</w:t>
      </w: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r w:rsidRPr="008B1210">
        <w:rPr>
          <w:noProof/>
          <w:lang w:eastAsia="es-MX"/>
        </w:rPr>
        <w:drawing>
          <wp:inline distT="0" distB="0" distL="0" distR="0" wp14:anchorId="25A67A23" wp14:editId="7EA868FA">
            <wp:extent cx="8618220" cy="349750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8220" cy="3497509"/>
                    </a:xfrm>
                    <a:prstGeom prst="rect">
                      <a:avLst/>
                    </a:prstGeom>
                    <a:noFill/>
                    <a:ln>
                      <a:noFill/>
                    </a:ln>
                  </pic:spPr>
                </pic:pic>
              </a:graphicData>
            </a:graphic>
          </wp:inline>
        </w:drawing>
      </w: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Pr="00984778" w:rsidRDefault="00984778" w:rsidP="00984778">
      <w:pPr>
        <w:spacing w:after="0" w:line="240" w:lineRule="auto"/>
        <w:rPr>
          <w:rFonts w:ascii="Agency FB" w:hAnsi="Agency FB" w:cs="Arial"/>
          <w:b/>
          <w:sz w:val="28"/>
          <w:szCs w:val="26"/>
        </w:rPr>
      </w:pPr>
      <w:r w:rsidRPr="00984778">
        <w:rPr>
          <w:rFonts w:ascii="Agency FB" w:hAnsi="Agency FB" w:cs="Arial"/>
          <w:b/>
          <w:sz w:val="28"/>
          <w:szCs w:val="26"/>
        </w:rPr>
        <w:lastRenderedPageBreak/>
        <w:t>Ingresos Estatales</w:t>
      </w:r>
    </w:p>
    <w:p w:rsidR="00984778" w:rsidRPr="00984778" w:rsidRDefault="00984778" w:rsidP="00984778">
      <w:pPr>
        <w:spacing w:after="0" w:line="240" w:lineRule="auto"/>
        <w:rPr>
          <w:rFonts w:ascii="Agency FB" w:hAnsi="Agency FB" w:cs="Arial"/>
          <w:strike/>
          <w:sz w:val="24"/>
          <w:szCs w:val="24"/>
        </w:rPr>
      </w:pPr>
    </w:p>
    <w:p w:rsidR="00984778" w:rsidRPr="00984778" w:rsidRDefault="00984778" w:rsidP="00984778">
      <w:pPr>
        <w:spacing w:after="0" w:line="240" w:lineRule="auto"/>
        <w:jc w:val="both"/>
        <w:rPr>
          <w:rFonts w:ascii="Agency FB" w:hAnsi="Agency FB" w:cs="Arial"/>
          <w:color w:val="000000"/>
          <w:sz w:val="28"/>
          <w:szCs w:val="24"/>
        </w:rPr>
      </w:pPr>
      <w:r w:rsidRPr="00984778">
        <w:rPr>
          <w:rFonts w:ascii="Agency FB" w:hAnsi="Agency FB" w:cs="Arial"/>
          <w:color w:val="000000"/>
          <w:sz w:val="28"/>
          <w:szCs w:val="24"/>
        </w:rPr>
        <w:t xml:space="preserve">Los Ingresos Estatales recaudados al 31 de diciembre de 2024, alcanzaron la totalidad de 5 mil 942.0 millones de pesos, lo que representa un incremento del 27.8 por ciento, comparándolos con lo programado en Ley de Ingresos del Estado de Tabasco (LIET 2024), donde se tenía una expectativa de ingresos de 4 mil 648.8 millones de pesos, obteniéndose ingresos adicionales por 1 mil 301.3 millones de pesos. </w:t>
      </w:r>
    </w:p>
    <w:p w:rsidR="00984778" w:rsidRPr="00984778" w:rsidRDefault="00984778" w:rsidP="00984778">
      <w:pPr>
        <w:spacing w:after="0" w:line="240" w:lineRule="auto"/>
        <w:jc w:val="both"/>
        <w:rPr>
          <w:rFonts w:ascii="Agency FB" w:hAnsi="Agency FB" w:cs="Arial"/>
          <w:color w:val="000000"/>
          <w:sz w:val="24"/>
          <w:szCs w:val="24"/>
        </w:rPr>
      </w:pPr>
    </w:p>
    <w:p w:rsidR="00984778" w:rsidRPr="00313149" w:rsidRDefault="00984778" w:rsidP="00984778">
      <w:pPr>
        <w:spacing w:after="0" w:line="240" w:lineRule="auto"/>
        <w:jc w:val="both"/>
        <w:rPr>
          <w:rFonts w:ascii="DIN Next LT Pro Condensed" w:hAnsi="DIN Next LT Pro Condensed" w:cs="Arial"/>
          <w:color w:val="000000"/>
          <w:sz w:val="18"/>
        </w:rPr>
      </w:pPr>
    </w:p>
    <w:p w:rsidR="00984778" w:rsidRPr="00313149" w:rsidRDefault="00984778" w:rsidP="00984778">
      <w:pPr>
        <w:spacing w:after="0" w:line="240" w:lineRule="auto"/>
        <w:jc w:val="center"/>
        <w:rPr>
          <w:rFonts w:ascii="DIN Next LT Pro Condensed" w:hAnsi="DIN Next LT Pro Condensed" w:cs="Arial"/>
          <w:strike/>
          <w:color w:val="000000"/>
          <w:sz w:val="18"/>
        </w:rPr>
      </w:pPr>
      <w:r w:rsidRPr="00313149">
        <w:rPr>
          <w:noProof/>
          <w:lang w:eastAsia="es-MX"/>
        </w:rPr>
        <w:drawing>
          <wp:inline distT="0" distB="0" distL="0" distR="0" wp14:anchorId="1DD03DFA" wp14:editId="58E65CBC">
            <wp:extent cx="6859905" cy="2921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3646" cy="2922593"/>
                    </a:xfrm>
                    <a:prstGeom prst="rect">
                      <a:avLst/>
                    </a:prstGeom>
                    <a:noFill/>
                    <a:ln>
                      <a:noFill/>
                    </a:ln>
                  </pic:spPr>
                </pic:pic>
              </a:graphicData>
            </a:graphic>
          </wp:inline>
        </w:drawing>
      </w:r>
    </w:p>
    <w:p w:rsidR="00984778" w:rsidRPr="00313149" w:rsidRDefault="00984778" w:rsidP="00984778">
      <w:pPr>
        <w:spacing w:after="0" w:line="240" w:lineRule="auto"/>
        <w:jc w:val="center"/>
        <w:rPr>
          <w:rFonts w:ascii="DIN Next LT Pro Condensed" w:hAnsi="DIN Next LT Pro Condensed" w:cs="Arial"/>
          <w:strike/>
          <w:color w:val="000000"/>
          <w:sz w:val="18"/>
        </w:rPr>
      </w:pPr>
    </w:p>
    <w:p w:rsidR="00984778" w:rsidRPr="00313149" w:rsidRDefault="00984778" w:rsidP="00984778">
      <w:pPr>
        <w:spacing w:after="0" w:line="240" w:lineRule="auto"/>
        <w:jc w:val="both"/>
        <w:rPr>
          <w:rFonts w:ascii="DIN Next LT Pro Condensed" w:hAnsi="DIN Next LT Pro Condensed" w:cs="Arial"/>
          <w:strike/>
          <w:color w:val="000000"/>
          <w:sz w:val="18"/>
        </w:rPr>
      </w:pPr>
    </w:p>
    <w:p w:rsidR="00984778" w:rsidRPr="00313149" w:rsidRDefault="00984778" w:rsidP="00984778">
      <w:pPr>
        <w:spacing w:after="0" w:line="240" w:lineRule="auto"/>
        <w:jc w:val="both"/>
        <w:rPr>
          <w:strike/>
        </w:rPr>
      </w:pPr>
      <w:r w:rsidRPr="00313149">
        <w:rPr>
          <w:strike/>
        </w:rPr>
        <w:fldChar w:fldCharType="begin"/>
      </w:r>
      <w:r w:rsidRPr="00313149">
        <w:rPr>
          <w:strike/>
        </w:rPr>
        <w:instrText xml:space="preserve"> LINK Excel.Sheet.12 "C:\\Users\\xpontesm\\Desktop\\usb\\ingresos presupuestales 2016 cuadros.xlsx" Hoja1!F4C3:F14C8 \a \f 4 \h  \* MERGEFORMAT </w:instrText>
      </w:r>
      <w:r w:rsidRPr="00313149">
        <w:rPr>
          <w:strike/>
        </w:rPr>
        <w:fldChar w:fldCharType="separate"/>
      </w:r>
    </w:p>
    <w:p w:rsidR="00984778" w:rsidRPr="00313149" w:rsidRDefault="00984778" w:rsidP="00984778">
      <w:pPr>
        <w:spacing w:after="0" w:line="240" w:lineRule="auto"/>
        <w:jc w:val="both"/>
        <w:rPr>
          <w:rFonts w:ascii="DIN Next LT Pro Condensed" w:hAnsi="DIN Next LT Pro Condensed" w:cs="Arial"/>
          <w:strike/>
          <w:color w:val="000000"/>
          <w:sz w:val="18"/>
        </w:rPr>
      </w:pPr>
      <w:r w:rsidRPr="00313149">
        <w:rPr>
          <w:rFonts w:ascii="DIN Next LT Pro Condensed" w:hAnsi="DIN Next LT Pro Condensed" w:cs="Arial"/>
          <w:strike/>
          <w:color w:val="000000"/>
          <w:sz w:val="18"/>
        </w:rPr>
        <w:fldChar w:fldCharType="end"/>
      </w:r>
    </w:p>
    <w:p w:rsidR="00984778" w:rsidRPr="00313149" w:rsidRDefault="00984778" w:rsidP="00984778">
      <w:pPr>
        <w:spacing w:after="0" w:line="240" w:lineRule="auto"/>
        <w:jc w:val="both"/>
        <w:rPr>
          <w:rFonts w:ascii="DIN Next LT Pro Condensed" w:hAnsi="DIN Next LT Pro Condensed" w:cs="Arial"/>
          <w:strike/>
          <w:color w:val="000000"/>
          <w:sz w:val="18"/>
        </w:rPr>
      </w:pPr>
    </w:p>
    <w:p w:rsidR="00984778" w:rsidRPr="00313149" w:rsidRDefault="00984778" w:rsidP="00984778">
      <w:pPr>
        <w:spacing w:after="0" w:line="240" w:lineRule="auto"/>
        <w:jc w:val="both"/>
        <w:rPr>
          <w:rFonts w:ascii="DIN Next LT Pro Condensed" w:hAnsi="DIN Next LT Pro Condensed" w:cs="Arial"/>
          <w:strike/>
          <w:color w:val="000000"/>
          <w:sz w:val="18"/>
        </w:rPr>
      </w:pPr>
    </w:p>
    <w:p w:rsidR="00984778" w:rsidRPr="00313149" w:rsidRDefault="00984778" w:rsidP="00984778">
      <w:pPr>
        <w:spacing w:after="0" w:line="240" w:lineRule="auto"/>
        <w:jc w:val="both"/>
        <w:rPr>
          <w:rFonts w:ascii="DIN Next LT Pro Condensed" w:hAnsi="DIN Next LT Pro Condensed" w:cs="Arial"/>
          <w:strike/>
          <w:color w:val="000000"/>
          <w:sz w:val="18"/>
        </w:rPr>
      </w:pPr>
    </w:p>
    <w:p w:rsidR="00984778" w:rsidRPr="00313149" w:rsidRDefault="00984778" w:rsidP="00984778">
      <w:pPr>
        <w:spacing w:after="0" w:line="240" w:lineRule="auto"/>
        <w:rPr>
          <w:strike/>
          <w:noProof/>
          <w:lang w:eastAsia="es-MX"/>
        </w:rPr>
      </w:pPr>
    </w:p>
    <w:p w:rsidR="00984778" w:rsidRPr="00313149" w:rsidRDefault="00984778" w:rsidP="00984778">
      <w:pPr>
        <w:spacing w:after="0" w:line="240" w:lineRule="auto"/>
        <w:jc w:val="center"/>
        <w:rPr>
          <w:strike/>
          <w:noProof/>
          <w:lang w:eastAsia="es-MX"/>
        </w:rPr>
      </w:pPr>
    </w:p>
    <w:p w:rsidR="00984778" w:rsidRPr="00313149" w:rsidRDefault="00984778" w:rsidP="00984778">
      <w:pPr>
        <w:spacing w:after="0" w:line="240" w:lineRule="auto"/>
        <w:jc w:val="center"/>
        <w:rPr>
          <w:strike/>
          <w:noProof/>
          <w:lang w:eastAsia="es-MX"/>
        </w:rPr>
      </w:pPr>
      <w:r w:rsidRPr="00C4525B">
        <w:rPr>
          <w:noProof/>
          <w:lang w:eastAsia="es-MX"/>
        </w:rPr>
        <w:lastRenderedPageBreak/>
        <w:drawing>
          <wp:inline distT="0" distB="0" distL="0" distR="0" wp14:anchorId="18808BFD" wp14:editId="16872DC6">
            <wp:extent cx="5664200" cy="38608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4200" cy="3860800"/>
                    </a:xfrm>
                    <a:prstGeom prst="rect">
                      <a:avLst/>
                    </a:prstGeom>
                    <a:noFill/>
                    <a:ln>
                      <a:noFill/>
                    </a:ln>
                  </pic:spPr>
                </pic:pic>
              </a:graphicData>
            </a:graphic>
          </wp:inline>
        </w:drawing>
      </w:r>
    </w:p>
    <w:p w:rsidR="00984778" w:rsidRPr="00313149" w:rsidRDefault="00984778" w:rsidP="00984778">
      <w:pPr>
        <w:spacing w:after="0" w:line="240" w:lineRule="auto"/>
        <w:rPr>
          <w:rFonts w:ascii="Agency FB" w:eastAsia="Times New Roman" w:hAnsi="Agency FB" w:cs="Calibri"/>
          <w:color w:val="000000"/>
          <w:sz w:val="20"/>
          <w:szCs w:val="20"/>
          <w:lang w:eastAsia="es-MX"/>
        </w:rPr>
      </w:pPr>
      <w:r w:rsidRPr="00313149">
        <w:rPr>
          <w:rFonts w:ascii="Agency FB" w:eastAsia="Times New Roman" w:hAnsi="Agency FB" w:cs="Calibri"/>
          <w:color w:val="000000"/>
          <w:sz w:val="20"/>
          <w:szCs w:val="20"/>
          <w:lang w:eastAsia="es-MX"/>
        </w:rPr>
        <w:t xml:space="preserve">                                                                                                          </w:t>
      </w:r>
    </w:p>
    <w:p w:rsidR="00984778" w:rsidRPr="00313149" w:rsidRDefault="00984778" w:rsidP="00984778">
      <w:pPr>
        <w:spacing w:after="0" w:line="240" w:lineRule="auto"/>
        <w:jc w:val="center"/>
        <w:rPr>
          <w:strike/>
          <w:noProof/>
          <w:lang w:eastAsia="es-MX"/>
        </w:rPr>
      </w:pPr>
    </w:p>
    <w:p w:rsidR="00984778" w:rsidRPr="00313149" w:rsidRDefault="00984778" w:rsidP="00984778">
      <w:pPr>
        <w:spacing w:after="0" w:line="240" w:lineRule="auto"/>
        <w:jc w:val="center"/>
        <w:rPr>
          <w:strike/>
          <w:noProof/>
          <w:lang w:eastAsia="es-MX"/>
        </w:rPr>
      </w:pPr>
    </w:p>
    <w:p w:rsidR="00984778" w:rsidRDefault="00984778" w:rsidP="00984778">
      <w:pPr>
        <w:spacing w:after="0" w:line="240" w:lineRule="auto"/>
        <w:jc w:val="both"/>
        <w:rPr>
          <w:rFonts w:ascii="Arial" w:hAnsi="Arial" w:cs="Arial"/>
          <w:color w:val="000000"/>
          <w:sz w:val="24"/>
          <w:szCs w:val="24"/>
        </w:rPr>
      </w:pPr>
    </w:p>
    <w:p w:rsidR="00984778" w:rsidRPr="00984778" w:rsidRDefault="00984778" w:rsidP="00984778">
      <w:pPr>
        <w:spacing w:after="0" w:line="240" w:lineRule="auto"/>
        <w:jc w:val="both"/>
        <w:rPr>
          <w:rFonts w:ascii="Agency FB" w:hAnsi="Agency FB" w:cs="Arial"/>
          <w:color w:val="000000"/>
          <w:sz w:val="28"/>
          <w:szCs w:val="24"/>
        </w:rPr>
      </w:pPr>
      <w:r w:rsidRPr="00984778">
        <w:rPr>
          <w:rFonts w:ascii="Agency FB" w:hAnsi="Agency FB" w:cs="Arial"/>
          <w:color w:val="000000"/>
          <w:sz w:val="28"/>
          <w:szCs w:val="24"/>
        </w:rPr>
        <w:t>Por su parte, los Ingresos Estatales captados al 31 de diciembre de 2024, reflejan un incremento en la recaudación del 11.71 por ciento, respecto al mismo período del 2023. Los rubros que conforman los ingresos propios, son: Impuestos, Derechos, Productos, Aprovechamientos e Ingresos por Venta de Bienes y Servicios.</w:t>
      </w:r>
    </w:p>
    <w:p w:rsidR="00984778" w:rsidRPr="00313149" w:rsidRDefault="00984778" w:rsidP="00984778">
      <w:pPr>
        <w:spacing w:after="0" w:line="240" w:lineRule="auto"/>
        <w:jc w:val="center"/>
        <w:rPr>
          <w:noProof/>
          <w:lang w:eastAsia="es-MX"/>
        </w:rPr>
      </w:pPr>
    </w:p>
    <w:p w:rsidR="00984778" w:rsidRDefault="00984778" w:rsidP="00984778">
      <w:pPr>
        <w:spacing w:after="0" w:line="240" w:lineRule="auto"/>
        <w:rPr>
          <w:noProof/>
          <w:lang w:eastAsia="es-MX"/>
        </w:rPr>
      </w:pPr>
    </w:p>
    <w:p w:rsidR="00984778" w:rsidRPr="00313149" w:rsidRDefault="00984778" w:rsidP="00984778">
      <w:pPr>
        <w:spacing w:after="0" w:line="240" w:lineRule="auto"/>
        <w:jc w:val="center"/>
        <w:rPr>
          <w:noProof/>
          <w:lang w:eastAsia="es-MX"/>
        </w:rPr>
      </w:pPr>
      <w:r w:rsidRPr="00F1446D">
        <w:rPr>
          <w:noProof/>
          <w:lang w:eastAsia="es-MX"/>
        </w:rPr>
        <w:lastRenderedPageBreak/>
        <w:drawing>
          <wp:inline distT="0" distB="0" distL="0" distR="0" wp14:anchorId="5AF3B5A2" wp14:editId="528BE43D">
            <wp:extent cx="6731000" cy="2742565"/>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2962" cy="2747439"/>
                    </a:xfrm>
                    <a:prstGeom prst="rect">
                      <a:avLst/>
                    </a:prstGeom>
                    <a:noFill/>
                    <a:ln>
                      <a:noFill/>
                    </a:ln>
                  </pic:spPr>
                </pic:pic>
              </a:graphicData>
            </a:graphic>
          </wp:inline>
        </w:drawing>
      </w:r>
    </w:p>
    <w:p w:rsidR="00984778" w:rsidRDefault="00984778" w:rsidP="00984778">
      <w:pPr>
        <w:spacing w:line="240" w:lineRule="auto"/>
        <w:jc w:val="both"/>
        <w:rPr>
          <w:rFonts w:ascii="Arial" w:hAnsi="Arial" w:cs="Arial"/>
          <w:b/>
          <w:sz w:val="24"/>
          <w:szCs w:val="24"/>
        </w:rPr>
      </w:pPr>
    </w:p>
    <w:p w:rsidR="00984778" w:rsidRDefault="00984778" w:rsidP="00984778">
      <w:pPr>
        <w:spacing w:line="240" w:lineRule="auto"/>
        <w:jc w:val="both"/>
        <w:rPr>
          <w:rFonts w:ascii="Agency FB" w:hAnsi="Agency FB" w:cs="Arial"/>
          <w:b/>
          <w:sz w:val="28"/>
          <w:szCs w:val="28"/>
        </w:rPr>
      </w:pPr>
    </w:p>
    <w:p w:rsidR="00984778" w:rsidRPr="00984778" w:rsidRDefault="00984778" w:rsidP="00984778">
      <w:pPr>
        <w:spacing w:line="240" w:lineRule="auto"/>
        <w:jc w:val="both"/>
        <w:rPr>
          <w:rFonts w:ascii="Agency FB" w:hAnsi="Agency FB" w:cs="Arial"/>
          <w:b/>
          <w:sz w:val="28"/>
          <w:szCs w:val="28"/>
        </w:rPr>
      </w:pPr>
      <w:r w:rsidRPr="00984778">
        <w:rPr>
          <w:rFonts w:ascii="Agency FB" w:hAnsi="Agency FB" w:cs="Arial"/>
          <w:b/>
          <w:sz w:val="28"/>
          <w:szCs w:val="28"/>
        </w:rPr>
        <w:t>Impuestos</w:t>
      </w:r>
    </w:p>
    <w:p w:rsidR="00984778" w:rsidRPr="00984778" w:rsidRDefault="00984778" w:rsidP="00984778">
      <w:pPr>
        <w:spacing w:line="240" w:lineRule="auto"/>
        <w:jc w:val="both"/>
        <w:rPr>
          <w:rFonts w:ascii="Agency FB" w:hAnsi="Agency FB" w:cs="Arial"/>
          <w:color w:val="000000"/>
          <w:sz w:val="28"/>
          <w:szCs w:val="28"/>
        </w:rPr>
      </w:pPr>
      <w:r w:rsidRPr="00984778">
        <w:rPr>
          <w:rFonts w:ascii="Agency FB" w:hAnsi="Agency FB" w:cs="Arial"/>
          <w:color w:val="000000"/>
          <w:sz w:val="28"/>
          <w:szCs w:val="28"/>
        </w:rPr>
        <w:t xml:space="preserve">Durante el período Enero-Diciembre 2024, en el rubro de Impuestos se obtuvieron 3 mil 071.32 millones de pesos, los cuales, en relación a lo recaudado en el mismo período del ejercicio 2023, de 2 mil 961.60 millones, representan un aumento en la recaudación 109.72 millones de pesos, equivalentes a 3.70 por ciento. Observándose que este aumento es originado por el por el cobro del Impuesto sobre Honorarios por actividades profesionales y ejercicios lucrativos no gravados por la ley del IVA; el impuesto sobre actos, contratos e instrumentos notariales; el Impuesto Sobre Nóminas de Contribuyentes Generales; entre otros. </w:t>
      </w:r>
    </w:p>
    <w:p w:rsidR="00984778" w:rsidRPr="00984778" w:rsidRDefault="00984778" w:rsidP="00984778">
      <w:pPr>
        <w:spacing w:line="240" w:lineRule="auto"/>
        <w:jc w:val="both"/>
        <w:rPr>
          <w:rFonts w:ascii="Agency FB" w:hAnsi="Agency FB" w:cs="Arial"/>
          <w:color w:val="000000"/>
          <w:sz w:val="28"/>
          <w:szCs w:val="28"/>
        </w:rPr>
      </w:pPr>
      <w:r w:rsidRPr="00984778">
        <w:rPr>
          <w:rFonts w:ascii="Agency FB" w:hAnsi="Agency FB" w:cs="Arial"/>
          <w:color w:val="000000"/>
          <w:sz w:val="28"/>
          <w:szCs w:val="28"/>
        </w:rPr>
        <w:t xml:space="preserve">En comparación con lo programado en LIET 2024 para el cuarto trimestre, que fueron 2 mil 741.47 millones de pesos, se refleja un incremento del 12.03 por ciento en este período, donde se recaudaron ingresos por 3 mil 071.32 millones de pesos, que significan un aumento en la recaudación por 329.85 millones de pesos. Los principales rubros de recaudación que destacaron en este período respecto a lo proyectado en LIET 2024 son: Impuesto sobre Honorarios por actividades profesionales y ejercicios lucrativos no gravados por la ley del IVA; el Impuesto sobre Actos, Contratos e Instrumentos </w:t>
      </w:r>
      <w:r w:rsidRPr="00984778">
        <w:rPr>
          <w:rFonts w:ascii="Agency FB" w:hAnsi="Agency FB" w:cs="Arial"/>
          <w:color w:val="000000"/>
          <w:sz w:val="28"/>
          <w:szCs w:val="28"/>
        </w:rPr>
        <w:lastRenderedPageBreak/>
        <w:t>Notariales; el impuestos sobre el traslado de dominio de bienes usados; el Impuesto por la Venta Final de Alcoholes y el Impuesto Sobre Nóminas; entre otros.</w:t>
      </w:r>
    </w:p>
    <w:p w:rsidR="00984778" w:rsidRPr="00984778" w:rsidRDefault="00984778" w:rsidP="00984778">
      <w:pPr>
        <w:spacing w:line="240" w:lineRule="auto"/>
        <w:jc w:val="both"/>
        <w:rPr>
          <w:rFonts w:ascii="Agency FB" w:hAnsi="Agency FB" w:cs="Arial"/>
          <w:color w:val="000000"/>
          <w:sz w:val="28"/>
          <w:szCs w:val="28"/>
        </w:rPr>
      </w:pPr>
      <w:r w:rsidRPr="00984778">
        <w:rPr>
          <w:rFonts w:ascii="Agency FB" w:hAnsi="Agency FB" w:cs="Arial"/>
          <w:color w:val="000000"/>
          <w:sz w:val="28"/>
          <w:szCs w:val="28"/>
        </w:rPr>
        <w:t>Lo anterior, se logró gracias a las diversas acciones emprendidas en los programas de control de obligaciones y la estrecha vigilancia a los contribuyentes omisos e incumplidos.</w:t>
      </w:r>
    </w:p>
    <w:p w:rsidR="00984778" w:rsidRPr="00984778" w:rsidRDefault="00984778" w:rsidP="00984778">
      <w:pPr>
        <w:spacing w:after="0" w:line="240" w:lineRule="auto"/>
        <w:jc w:val="both"/>
        <w:rPr>
          <w:rFonts w:ascii="Agency FB" w:hAnsi="Agency FB" w:cs="Arial"/>
          <w:color w:val="000000"/>
          <w:sz w:val="28"/>
          <w:szCs w:val="28"/>
        </w:rPr>
      </w:pPr>
      <w:r w:rsidRPr="00984778">
        <w:rPr>
          <w:rFonts w:ascii="Agency FB" w:hAnsi="Agency FB" w:cs="Arial"/>
          <w:color w:val="000000"/>
          <w:sz w:val="28"/>
          <w:szCs w:val="28"/>
        </w:rPr>
        <w:t xml:space="preserve">Los cuatro principales rubros de recaudación son: </w:t>
      </w:r>
    </w:p>
    <w:p w:rsidR="00984778" w:rsidRPr="00984778" w:rsidRDefault="00984778" w:rsidP="00984778">
      <w:pPr>
        <w:spacing w:after="0" w:line="240" w:lineRule="auto"/>
        <w:jc w:val="both"/>
        <w:rPr>
          <w:rFonts w:ascii="Agency FB" w:hAnsi="Agency FB" w:cs="Arial"/>
          <w:color w:val="000000"/>
          <w:sz w:val="28"/>
          <w:szCs w:val="28"/>
        </w:rPr>
      </w:pPr>
    </w:p>
    <w:p w:rsidR="00984778" w:rsidRPr="00984778" w:rsidRDefault="00984778" w:rsidP="00984778">
      <w:pPr>
        <w:pStyle w:val="Prrafodelista"/>
        <w:numPr>
          <w:ilvl w:val="0"/>
          <w:numId w:val="3"/>
        </w:numPr>
        <w:spacing w:after="0" w:line="240" w:lineRule="auto"/>
        <w:jc w:val="both"/>
        <w:rPr>
          <w:rFonts w:ascii="Agency FB" w:hAnsi="Agency FB" w:cs="Arial"/>
          <w:color w:val="000000"/>
          <w:sz w:val="28"/>
          <w:szCs w:val="28"/>
        </w:rPr>
      </w:pPr>
      <w:r w:rsidRPr="00984778">
        <w:rPr>
          <w:rFonts w:ascii="Agency FB" w:hAnsi="Agency FB" w:cs="Arial"/>
          <w:color w:val="000000"/>
          <w:sz w:val="28"/>
          <w:szCs w:val="28"/>
        </w:rPr>
        <w:t xml:space="preserve">Impuesto Sobre Nóminas (ISN); </w:t>
      </w:r>
    </w:p>
    <w:p w:rsidR="00984778" w:rsidRPr="00984778" w:rsidRDefault="00984778" w:rsidP="00984778">
      <w:pPr>
        <w:pStyle w:val="Prrafodelista"/>
        <w:numPr>
          <w:ilvl w:val="0"/>
          <w:numId w:val="3"/>
        </w:numPr>
        <w:spacing w:after="0" w:line="240" w:lineRule="auto"/>
        <w:jc w:val="both"/>
        <w:rPr>
          <w:rFonts w:ascii="Agency FB" w:hAnsi="Agency FB" w:cs="Arial"/>
          <w:color w:val="000000"/>
          <w:sz w:val="28"/>
          <w:szCs w:val="28"/>
        </w:rPr>
      </w:pPr>
      <w:r w:rsidRPr="00984778">
        <w:rPr>
          <w:rFonts w:ascii="Agency FB" w:hAnsi="Agency FB" w:cs="Arial"/>
          <w:color w:val="000000"/>
          <w:sz w:val="28"/>
          <w:szCs w:val="28"/>
        </w:rPr>
        <w:t>Impuesto sobre Loterías, Rifas y Sorteos y concursos de toda clase.</w:t>
      </w:r>
    </w:p>
    <w:p w:rsidR="00984778" w:rsidRPr="00984778" w:rsidRDefault="00984778" w:rsidP="00984778">
      <w:pPr>
        <w:pStyle w:val="Prrafodelista"/>
        <w:numPr>
          <w:ilvl w:val="0"/>
          <w:numId w:val="3"/>
        </w:numPr>
        <w:spacing w:after="0" w:line="240" w:lineRule="auto"/>
        <w:jc w:val="both"/>
        <w:rPr>
          <w:rFonts w:ascii="Agency FB" w:hAnsi="Agency FB" w:cs="Arial"/>
          <w:color w:val="000000"/>
          <w:sz w:val="28"/>
          <w:szCs w:val="28"/>
        </w:rPr>
      </w:pPr>
      <w:r w:rsidRPr="00984778">
        <w:rPr>
          <w:rFonts w:ascii="Agency FB" w:hAnsi="Agency FB" w:cs="Arial"/>
          <w:color w:val="000000"/>
          <w:sz w:val="28"/>
          <w:szCs w:val="28"/>
        </w:rPr>
        <w:t xml:space="preserve">Impuesto a los Actos, Contratos e Instrumentos Notariales; </w:t>
      </w:r>
    </w:p>
    <w:p w:rsidR="00984778" w:rsidRPr="00984778" w:rsidRDefault="00984778" w:rsidP="00984778">
      <w:pPr>
        <w:pStyle w:val="Prrafodelista"/>
        <w:numPr>
          <w:ilvl w:val="0"/>
          <w:numId w:val="3"/>
        </w:numPr>
        <w:spacing w:after="0" w:line="240" w:lineRule="auto"/>
        <w:jc w:val="both"/>
        <w:rPr>
          <w:rFonts w:ascii="Agency FB" w:hAnsi="Agency FB" w:cs="Arial"/>
          <w:color w:val="000000"/>
          <w:sz w:val="28"/>
          <w:szCs w:val="28"/>
        </w:rPr>
      </w:pPr>
      <w:r w:rsidRPr="00984778">
        <w:rPr>
          <w:rFonts w:ascii="Agency FB" w:hAnsi="Agency FB" w:cs="Arial"/>
          <w:color w:val="000000"/>
          <w:sz w:val="28"/>
          <w:szCs w:val="28"/>
        </w:rPr>
        <w:t xml:space="preserve">Impuesto Sobre Traslado de Dominio de Bienes Muebles usado; </w:t>
      </w:r>
    </w:p>
    <w:p w:rsidR="00984778" w:rsidRPr="00984778" w:rsidRDefault="00984778" w:rsidP="00984778">
      <w:pPr>
        <w:pStyle w:val="Prrafodelista"/>
        <w:spacing w:after="0" w:line="240" w:lineRule="auto"/>
        <w:jc w:val="both"/>
        <w:rPr>
          <w:rFonts w:ascii="Agency FB" w:hAnsi="Agency FB" w:cs="Arial"/>
          <w:color w:val="000000"/>
          <w:sz w:val="28"/>
          <w:szCs w:val="28"/>
        </w:rPr>
      </w:pPr>
    </w:p>
    <w:p w:rsidR="00984778" w:rsidRPr="00984778" w:rsidRDefault="00984778" w:rsidP="00984778">
      <w:pPr>
        <w:spacing w:after="0" w:line="240" w:lineRule="auto"/>
        <w:jc w:val="both"/>
        <w:rPr>
          <w:rFonts w:ascii="Agency FB" w:hAnsi="Agency FB" w:cs="Arial"/>
          <w:color w:val="000000"/>
          <w:sz w:val="28"/>
          <w:szCs w:val="28"/>
        </w:rPr>
      </w:pPr>
      <w:r w:rsidRPr="00984778">
        <w:rPr>
          <w:rFonts w:ascii="Agency FB" w:hAnsi="Agency FB" w:cs="Arial"/>
          <w:color w:val="000000"/>
          <w:sz w:val="28"/>
          <w:szCs w:val="28"/>
        </w:rPr>
        <w:t>Los cuales, contribuyeron con 96.60 por ciento del total en este rubro.</w:t>
      </w:r>
    </w:p>
    <w:p w:rsidR="00984778" w:rsidRPr="00984778" w:rsidRDefault="00984778" w:rsidP="00984778">
      <w:pPr>
        <w:spacing w:after="0" w:line="240" w:lineRule="auto"/>
        <w:jc w:val="both"/>
        <w:rPr>
          <w:rFonts w:ascii="Agency FB" w:hAnsi="Agency FB" w:cs="Arial"/>
          <w:color w:val="000000"/>
          <w:sz w:val="28"/>
          <w:szCs w:val="28"/>
        </w:rPr>
      </w:pPr>
    </w:p>
    <w:p w:rsidR="00984778" w:rsidRPr="00313149" w:rsidRDefault="00984778" w:rsidP="00984778">
      <w:pPr>
        <w:spacing w:after="0" w:line="240" w:lineRule="auto"/>
        <w:jc w:val="center"/>
        <w:rPr>
          <w:rFonts w:ascii="Arial" w:hAnsi="Arial" w:cs="Arial"/>
          <w:color w:val="000000"/>
          <w:sz w:val="24"/>
          <w:szCs w:val="24"/>
        </w:rPr>
      </w:pPr>
      <w:r w:rsidRPr="003C1CAF">
        <w:rPr>
          <w:noProof/>
          <w:lang w:eastAsia="es-MX"/>
        </w:rPr>
        <w:drawing>
          <wp:inline distT="0" distB="0" distL="0" distR="0" wp14:anchorId="5BBFD093" wp14:editId="68B17E20">
            <wp:extent cx="4356100" cy="1778000"/>
            <wp:effectExtent l="0" t="0" r="635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6100" cy="1778000"/>
                    </a:xfrm>
                    <a:prstGeom prst="rect">
                      <a:avLst/>
                    </a:prstGeom>
                    <a:noFill/>
                    <a:ln>
                      <a:noFill/>
                    </a:ln>
                  </pic:spPr>
                </pic:pic>
              </a:graphicData>
            </a:graphic>
          </wp:inline>
        </w:drawing>
      </w:r>
    </w:p>
    <w:p w:rsidR="00984778" w:rsidRPr="00313149" w:rsidRDefault="00984778" w:rsidP="00984778">
      <w:pPr>
        <w:spacing w:after="0" w:line="240" w:lineRule="auto"/>
        <w:jc w:val="center"/>
        <w:rPr>
          <w:rFonts w:ascii="DIN Next LT Pro Condensed" w:hAnsi="DIN Next LT Pro Condensed" w:cs="Arial"/>
          <w:bCs/>
          <w:strike/>
        </w:rPr>
      </w:pPr>
      <w:r w:rsidRPr="00313149">
        <w:rPr>
          <w:rFonts w:ascii="DIN Next LT Pro Condensed" w:hAnsi="DIN Next LT Pro Condensed" w:cs="Arial"/>
          <w:bCs/>
          <w:strike/>
          <w:noProof/>
          <w:lang w:eastAsia="es-MX"/>
        </w:rPr>
        <mc:AlternateContent>
          <mc:Choice Requires="wps">
            <w:drawing>
              <wp:anchor distT="0" distB="0" distL="114300" distR="114300" simplePos="0" relativeHeight="251660800" behindDoc="0" locked="0" layoutInCell="1" allowOverlap="1" wp14:anchorId="7C4092F3" wp14:editId="545261BF">
                <wp:simplePos x="0" y="0"/>
                <wp:positionH relativeFrom="column">
                  <wp:posOffset>1917602</wp:posOffset>
                </wp:positionH>
                <wp:positionV relativeFrom="paragraph">
                  <wp:posOffset>24528</wp:posOffset>
                </wp:positionV>
                <wp:extent cx="2832100" cy="451485"/>
                <wp:effectExtent l="0" t="0" r="25400" b="27940"/>
                <wp:wrapNone/>
                <wp:docPr id="1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451485"/>
                        </a:xfrm>
                        <a:prstGeom prst="rect">
                          <a:avLst/>
                        </a:prstGeom>
                        <a:solidFill>
                          <a:srgbClr val="FFFFFF"/>
                        </a:solidFill>
                        <a:ln w="9525">
                          <a:solidFill>
                            <a:srgbClr val="FFFFFF"/>
                          </a:solidFill>
                          <a:miter lim="800000"/>
                          <a:headEnd/>
                          <a:tailEnd/>
                        </a:ln>
                      </wps:spPr>
                      <wps:txbx>
                        <w:txbxContent>
                          <w:p w:rsidR="00984778" w:rsidRPr="0055508B" w:rsidRDefault="00984778" w:rsidP="00984778">
                            <w:pPr>
                              <w:spacing w:after="0" w:line="240" w:lineRule="auto"/>
                              <w:jc w:val="both"/>
                              <w:rPr>
                                <w:rFonts w:ascii="Arial" w:hAnsi="Arial" w:cs="Arial"/>
                                <w:sz w:val="16"/>
                                <w:szCs w:val="16"/>
                                <w:lang w:val="es-ES"/>
                              </w:rPr>
                            </w:pPr>
                            <w:r>
                              <w:rPr>
                                <w:rFonts w:ascii="Arial" w:hAnsi="Arial" w:cs="Arial"/>
                                <w:sz w:val="16"/>
                                <w:szCs w:val="16"/>
                                <w:lang w:val="es-ES"/>
                              </w:rPr>
                              <w:t xml:space="preserve">Fuente: Secretaría de Administración y </w:t>
                            </w:r>
                            <w:r w:rsidRPr="0055508B">
                              <w:rPr>
                                <w:rFonts w:ascii="Arial" w:hAnsi="Arial" w:cs="Arial"/>
                                <w:sz w:val="16"/>
                                <w:szCs w:val="16"/>
                                <w:lang w:val="es-ES"/>
                              </w:rPr>
                              <w:t>Finanzas</w:t>
                            </w:r>
                          </w:p>
                          <w:p w:rsidR="00984778" w:rsidRPr="0055508B" w:rsidRDefault="00984778" w:rsidP="00984778">
                            <w:pPr>
                              <w:spacing w:after="0" w:line="240" w:lineRule="auto"/>
                              <w:jc w:val="both"/>
                              <w:rPr>
                                <w:rFonts w:ascii="Arial" w:hAnsi="Arial" w:cs="Arial"/>
                                <w:sz w:val="16"/>
                                <w:szCs w:val="16"/>
                                <w:lang w:val="es-ES"/>
                              </w:rPr>
                            </w:pPr>
                            <w:r>
                              <w:rPr>
                                <w:rFonts w:ascii="Arial" w:hAnsi="Arial" w:cs="Arial"/>
                                <w:sz w:val="16"/>
                                <w:szCs w:val="16"/>
                                <w:lang w:val="es-ES"/>
                              </w:rPr>
                              <w:tab/>
                              <w:t>Cifras definitivas 2024</w:t>
                            </w:r>
                            <w:r w:rsidRPr="0055508B">
                              <w:rPr>
                                <w:rFonts w:ascii="Arial" w:hAnsi="Arial" w:cs="Arial"/>
                                <w:sz w:val="16"/>
                                <w:szCs w:val="16"/>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4092F3" id="Cuadro de texto 7" o:spid="_x0000_s1028" type="#_x0000_t202" style="position:absolute;left:0;text-align:left;margin-left:151pt;margin-top:1.95pt;width:223pt;height:35.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" strokecolor="white">
                <v:textbox style="mso-fit-shape-to-text:t">
                  <w:txbxContent>
                    <w:p w:rsidR="00984778" w:rsidRPr="0055508B" w:rsidRDefault="00984778" w:rsidP="00984778">
                      <w:pPr>
                        <w:spacing w:after="0" w:line="240" w:lineRule="auto"/>
                        <w:jc w:val="both"/>
                        <w:rPr>
                          <w:rFonts w:ascii="Arial" w:hAnsi="Arial" w:cs="Arial"/>
                          <w:sz w:val="16"/>
                          <w:szCs w:val="16"/>
                          <w:lang w:val="es-ES"/>
                        </w:rPr>
                      </w:pPr>
                      <w:r>
                        <w:rPr>
                          <w:rFonts w:ascii="Arial" w:hAnsi="Arial" w:cs="Arial"/>
                          <w:sz w:val="16"/>
                          <w:szCs w:val="16"/>
                          <w:lang w:val="es-ES"/>
                        </w:rPr>
                        <w:t xml:space="preserve">Fuente: Secretaría de Administración y </w:t>
                      </w:r>
                      <w:r w:rsidRPr="0055508B">
                        <w:rPr>
                          <w:rFonts w:ascii="Arial" w:hAnsi="Arial" w:cs="Arial"/>
                          <w:sz w:val="16"/>
                          <w:szCs w:val="16"/>
                          <w:lang w:val="es-ES"/>
                        </w:rPr>
                        <w:t>Finanzas</w:t>
                      </w:r>
                    </w:p>
                    <w:p w:rsidR="00984778" w:rsidRPr="0055508B" w:rsidRDefault="00984778" w:rsidP="00984778">
                      <w:pPr>
                        <w:spacing w:after="0" w:line="240" w:lineRule="auto"/>
                        <w:jc w:val="both"/>
                        <w:rPr>
                          <w:rFonts w:ascii="Arial" w:hAnsi="Arial" w:cs="Arial"/>
                          <w:sz w:val="16"/>
                          <w:szCs w:val="16"/>
                          <w:lang w:val="es-ES"/>
                        </w:rPr>
                      </w:pPr>
                      <w:r>
                        <w:rPr>
                          <w:rFonts w:ascii="Arial" w:hAnsi="Arial" w:cs="Arial"/>
                          <w:sz w:val="16"/>
                          <w:szCs w:val="16"/>
                          <w:lang w:val="es-ES"/>
                        </w:rPr>
                        <w:tab/>
                        <w:t>Cifras definitivas 2024</w:t>
                      </w:r>
                      <w:r w:rsidRPr="0055508B">
                        <w:rPr>
                          <w:rFonts w:ascii="Arial" w:hAnsi="Arial" w:cs="Arial"/>
                          <w:sz w:val="16"/>
                          <w:szCs w:val="16"/>
                          <w:lang w:val="es-ES"/>
                        </w:rPr>
                        <w:t>.</w:t>
                      </w:r>
                    </w:p>
                  </w:txbxContent>
                </v:textbox>
              </v:shape>
            </w:pict>
          </mc:Fallback>
        </mc:AlternateContent>
      </w:r>
    </w:p>
    <w:p w:rsidR="00984778" w:rsidRPr="00313149" w:rsidRDefault="00984778" w:rsidP="00984778">
      <w:pPr>
        <w:spacing w:line="240" w:lineRule="auto"/>
        <w:jc w:val="both"/>
        <w:rPr>
          <w:rFonts w:ascii="Arial" w:hAnsi="Arial" w:cs="Arial"/>
          <w:b/>
          <w:sz w:val="24"/>
          <w:szCs w:val="24"/>
        </w:rPr>
      </w:pPr>
    </w:p>
    <w:p w:rsidR="00984778" w:rsidRDefault="00984778" w:rsidP="00984778">
      <w:pPr>
        <w:spacing w:line="240" w:lineRule="auto"/>
        <w:jc w:val="both"/>
        <w:rPr>
          <w:rFonts w:ascii="Agency FB" w:hAnsi="Agency FB" w:cs="Arial"/>
          <w:b/>
          <w:sz w:val="28"/>
          <w:szCs w:val="24"/>
        </w:rPr>
      </w:pPr>
    </w:p>
    <w:p w:rsidR="00984778" w:rsidRDefault="00984778" w:rsidP="00984778">
      <w:pPr>
        <w:spacing w:line="240" w:lineRule="auto"/>
        <w:jc w:val="both"/>
        <w:rPr>
          <w:rFonts w:ascii="Agency FB" w:hAnsi="Agency FB" w:cs="Arial"/>
          <w:b/>
          <w:sz w:val="28"/>
          <w:szCs w:val="24"/>
        </w:rPr>
      </w:pPr>
    </w:p>
    <w:p w:rsidR="00984778" w:rsidRPr="00984778" w:rsidRDefault="00984778" w:rsidP="00984778">
      <w:pPr>
        <w:spacing w:line="240" w:lineRule="auto"/>
        <w:jc w:val="both"/>
        <w:rPr>
          <w:rFonts w:ascii="Agency FB" w:hAnsi="Agency FB" w:cs="Arial"/>
          <w:b/>
          <w:sz w:val="28"/>
          <w:szCs w:val="24"/>
        </w:rPr>
      </w:pPr>
      <w:r w:rsidRPr="00984778">
        <w:rPr>
          <w:rFonts w:ascii="Agency FB" w:hAnsi="Agency FB" w:cs="Arial"/>
          <w:b/>
          <w:sz w:val="28"/>
          <w:szCs w:val="24"/>
        </w:rPr>
        <w:lastRenderedPageBreak/>
        <w:t>Derechos</w:t>
      </w:r>
    </w:p>
    <w:p w:rsidR="00984778" w:rsidRPr="00984778" w:rsidRDefault="00984778" w:rsidP="00984778">
      <w:pPr>
        <w:spacing w:line="240" w:lineRule="auto"/>
        <w:jc w:val="both"/>
        <w:rPr>
          <w:rFonts w:ascii="Agency FB" w:hAnsi="Agency FB" w:cs="Arial"/>
          <w:color w:val="000000"/>
          <w:sz w:val="28"/>
          <w:szCs w:val="24"/>
        </w:rPr>
      </w:pPr>
      <w:r w:rsidRPr="00984778">
        <w:rPr>
          <w:rFonts w:ascii="Agency FB" w:hAnsi="Agency FB" w:cs="Arial"/>
          <w:color w:val="000000"/>
          <w:sz w:val="28"/>
          <w:szCs w:val="24"/>
        </w:rPr>
        <w:t>Al cuarto trimestre de 2024, en relación a los Ingresos por Derechos, la recaudación fue de 1 mil 631.43 millones de pesos, que en comparación con los 1 mil 507.26 millones de pesos del año anterior, representa un incremento de 124.17 millones de pesos, equivalentes a 8.24 por ciento, originado principalmente por los servicios prestados por Dependencias y Órganos Desconcentrados, tales como: los prestados por la Secretaria de Gobierno, relacionado con la Dirección General del Registro Público de la Propiedad y del Comercio con 187.75 millones de pesos; la aplicación de la Ley que Regula la Venta, Distribución y Consumo de Bebidas Alcohólicas con 174.68 millones de pesos; y por el Registro de Vehículos particulares con 412.70 millones de pesos, la Secretaría de Educación del Estado con 39.08 millones de pesos; la Secretaría de la Función Pública con 9.17 millones de pesos; Servicios Prestados por los Organismos Públicos Descentralizados con 351.34 millones de pesos; entre otros.</w:t>
      </w:r>
    </w:p>
    <w:p w:rsidR="00984778" w:rsidRPr="00313149" w:rsidRDefault="00984778" w:rsidP="00984778">
      <w:pPr>
        <w:spacing w:line="240" w:lineRule="auto"/>
        <w:jc w:val="both"/>
        <w:rPr>
          <w:rFonts w:ascii="Arial" w:hAnsi="Arial" w:cs="Arial"/>
          <w:color w:val="000000"/>
          <w:sz w:val="24"/>
          <w:szCs w:val="24"/>
        </w:rPr>
      </w:pPr>
    </w:p>
    <w:p w:rsidR="00984778" w:rsidRPr="00313149" w:rsidRDefault="00984778" w:rsidP="00984778">
      <w:pPr>
        <w:spacing w:line="240" w:lineRule="auto"/>
        <w:jc w:val="center"/>
        <w:rPr>
          <w:rFonts w:ascii="Arial" w:hAnsi="Arial" w:cs="Arial"/>
          <w:color w:val="000000"/>
          <w:sz w:val="24"/>
          <w:szCs w:val="24"/>
        </w:rPr>
      </w:pPr>
      <w:r w:rsidRPr="000514E0">
        <w:rPr>
          <w:rFonts w:ascii="Calibri" w:eastAsia="Times New Roman" w:hAnsi="Calibri" w:cs="Calibri"/>
          <w:noProof/>
          <w:color w:val="000000"/>
          <w:lang w:eastAsia="es-MX"/>
        </w:rPr>
        <w:drawing>
          <wp:inline distT="0" distB="0" distL="0" distR="0" wp14:anchorId="777CC4C2" wp14:editId="089547A8">
            <wp:extent cx="4572000" cy="2812752"/>
            <wp:effectExtent l="0" t="0" r="0"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a:extLst>
                        <a:ext uri="{28A0092B-C50C-407E-A947-70E740481C1C}">
                          <a14:useLocalDpi xmlns:a14="http://schemas.microsoft.com/office/drawing/2010/main" val="0"/>
                        </a:ext>
                      </a:extLst>
                    </a:blip>
                    <a:srcRect r="14531"/>
                    <a:stretch/>
                  </pic:blipFill>
                  <pic:spPr bwMode="auto">
                    <a:xfrm>
                      <a:off x="0" y="0"/>
                      <a:ext cx="4572000" cy="2812752"/>
                    </a:xfrm>
                    <a:prstGeom prst="rect">
                      <a:avLst/>
                    </a:prstGeom>
                    <a:noFill/>
                    <a:ln>
                      <a:noFill/>
                    </a:ln>
                    <a:extLst>
                      <a:ext uri="{53640926-AAD7-44D8-BBD7-CCE9431645EC}">
                        <a14:shadowObscured xmlns:a14="http://schemas.microsoft.com/office/drawing/2010/main"/>
                      </a:ext>
                    </a:extLst>
                  </pic:spPr>
                </pic:pic>
              </a:graphicData>
            </a:graphic>
          </wp:inline>
        </w:drawing>
      </w:r>
      <w:r w:rsidRPr="00A35057">
        <w:rPr>
          <w:rFonts w:ascii="Arial" w:hAnsi="Arial" w:cs="Arial"/>
          <w:color w:val="000000"/>
          <w:sz w:val="24"/>
          <w:szCs w:val="24"/>
        </w:rPr>
        <w:t xml:space="preserve"> </w:t>
      </w:r>
    </w:p>
    <w:p w:rsidR="00984778" w:rsidRPr="00313149" w:rsidRDefault="00984778" w:rsidP="00984778">
      <w:pPr>
        <w:spacing w:line="240" w:lineRule="auto"/>
        <w:rPr>
          <w:rFonts w:ascii="Arial" w:hAnsi="Arial" w:cs="Arial"/>
          <w:color w:val="000000"/>
          <w:sz w:val="24"/>
          <w:szCs w:val="24"/>
        </w:rPr>
      </w:pPr>
    </w:p>
    <w:p w:rsidR="00984778" w:rsidRPr="00984778" w:rsidRDefault="00984778" w:rsidP="00984778">
      <w:pPr>
        <w:spacing w:line="240" w:lineRule="auto"/>
        <w:jc w:val="both"/>
        <w:rPr>
          <w:rFonts w:ascii="Agency FB" w:hAnsi="Agency FB" w:cs="Arial"/>
          <w:color w:val="000000"/>
          <w:sz w:val="28"/>
          <w:szCs w:val="28"/>
        </w:rPr>
      </w:pPr>
      <w:r w:rsidRPr="00984778">
        <w:rPr>
          <w:rFonts w:ascii="Agency FB" w:hAnsi="Agency FB" w:cs="Arial"/>
          <w:color w:val="000000"/>
          <w:sz w:val="28"/>
          <w:szCs w:val="28"/>
        </w:rPr>
        <w:lastRenderedPageBreak/>
        <w:t>Con relación a este Rubro, es importante mencionar que del presupuesto inicial en LIET 2024, que fue estimado por la cantidad de 1 mil 297.71 millones de pesos, que en comparación, con lo Recaudado al cierre del mes de Diciembre 2024, fue de 1 mil 631.43 millones de pesos, se obtuvo un incremento por 333.72 millones de pesos, equivalentes al 25.72 por ciento; originado principalmente por los ingresos originados por los servicios prestados por Dependencias y Órganos Desconcentrados, tales como: los prestados por la Secretaría de Gobierno, relacionados con la Dirección General del Registro Público de la Propiedad y del Comercio con 187.75 millones de pesos; los servicios prestados por la Secretaría de Seguridad y Protección Ciudadana, relacionados con La Dirección General de la Policía Estatal de Caminos con 157.53 millones de pesos, los servicios prestados por la Secretaría de Finanzas, relacionados con: la aplicación de la ley que regula la venta, distribución y consumo de bebidas alcohólicas con 174.68 millones de pesos y el Registro de Vehículos Particulares con 412.70 millones de pesos; la Secretaría de Ordenamiento Territorial y Obras Públicas, relacionados con: la Dirección General de Obras Públicas con 39.32 millones de pesos, entre otros.</w:t>
      </w:r>
    </w:p>
    <w:p w:rsidR="00984778" w:rsidRPr="00984778" w:rsidRDefault="00984778" w:rsidP="00984778">
      <w:pPr>
        <w:pStyle w:val="Textoindependiente"/>
        <w:jc w:val="left"/>
        <w:rPr>
          <w:rFonts w:ascii="Agency FB" w:hAnsi="Agency FB" w:cs="Arial"/>
          <w:b/>
          <w:color w:val="000000"/>
          <w:sz w:val="28"/>
          <w:szCs w:val="28"/>
        </w:rPr>
      </w:pPr>
      <w:r w:rsidRPr="00984778">
        <w:rPr>
          <w:rFonts w:ascii="Agency FB" w:hAnsi="Agency FB" w:cs="Arial"/>
          <w:b/>
          <w:color w:val="000000"/>
          <w:sz w:val="28"/>
          <w:szCs w:val="28"/>
        </w:rPr>
        <w:t>Productos y Aprovechamientos.</w:t>
      </w:r>
    </w:p>
    <w:p w:rsidR="00984778" w:rsidRPr="00984778" w:rsidRDefault="00984778" w:rsidP="00984778">
      <w:pPr>
        <w:spacing w:after="0" w:line="240" w:lineRule="auto"/>
        <w:jc w:val="both"/>
        <w:rPr>
          <w:rFonts w:ascii="Agency FB" w:hAnsi="Agency FB" w:cs="Arial"/>
          <w:sz w:val="28"/>
          <w:szCs w:val="28"/>
        </w:rPr>
      </w:pPr>
      <w:r w:rsidRPr="00984778">
        <w:rPr>
          <w:rFonts w:ascii="Agency FB" w:hAnsi="Agency FB" w:cs="Arial"/>
          <w:sz w:val="28"/>
          <w:szCs w:val="28"/>
        </w:rPr>
        <w:t>Al 31 de diciembre del 2024, los ingresos por los rubros de Productos y Aprovechamientos, reflejaron un incremento de 45.74 por ciento, que significan 388.95 millones de pesos, debido a que en este ejercicio ingresaron 1 mil 239.32 millones de pesos, mientras que en 2023 se recaudaron 850.37 millones de pesos. Este incremento es debido, a los productos financieros derivados de productos financieros (1112) y otros aprovechamientos.</w:t>
      </w:r>
    </w:p>
    <w:p w:rsidR="00984778" w:rsidRPr="00984778" w:rsidRDefault="00984778" w:rsidP="00984778">
      <w:pPr>
        <w:spacing w:after="0" w:line="240" w:lineRule="auto"/>
        <w:jc w:val="both"/>
        <w:rPr>
          <w:rFonts w:ascii="Agency FB" w:hAnsi="Agency FB" w:cs="Arial"/>
          <w:sz w:val="28"/>
          <w:szCs w:val="28"/>
        </w:rPr>
      </w:pPr>
    </w:p>
    <w:p w:rsidR="00984778" w:rsidRPr="00984778" w:rsidRDefault="00984778" w:rsidP="00984778">
      <w:pPr>
        <w:spacing w:after="0" w:line="240" w:lineRule="auto"/>
        <w:jc w:val="both"/>
        <w:rPr>
          <w:rFonts w:ascii="Agency FB" w:hAnsi="Agency FB" w:cs="Arial"/>
          <w:sz w:val="28"/>
          <w:szCs w:val="28"/>
        </w:rPr>
      </w:pPr>
      <w:r w:rsidRPr="00984778">
        <w:rPr>
          <w:rFonts w:ascii="Agency FB" w:hAnsi="Agency FB" w:cs="Arial"/>
          <w:sz w:val="28"/>
          <w:szCs w:val="28"/>
        </w:rPr>
        <w:t>Existe un incremento del 103.29 por ciento con respecto a la LIET 2024, ya que en el rubro de Productos se recaudó en este periodo 428.87 millones de pesos, contra 227.03 millones de pesos estimados para el mismo período; lo que representa un aumento de 88.91 por ciento, originados principalmente en el Rubro de Productos, por los productos financieros de inversiones temporales con 86.7 millones de pesos y los productos financieros (1112) con 291.83; asimismo, en el Rubro de Aprovechamientos se recaudó en este periodo 810.44 millones de pesos, contra 382.59 millones de pesos estimados para el mismo período, existe un incremento de 427,84 millones de pesos, originado principalmente por los ingresos recaudados por  otros Aprovechamientos.</w:t>
      </w:r>
    </w:p>
    <w:p w:rsidR="00984778" w:rsidRPr="00984778" w:rsidRDefault="00984778" w:rsidP="00984778">
      <w:pPr>
        <w:tabs>
          <w:tab w:val="left" w:pos="3782"/>
        </w:tabs>
        <w:spacing w:after="0" w:line="240" w:lineRule="auto"/>
        <w:jc w:val="both"/>
        <w:rPr>
          <w:rFonts w:ascii="Agency FB" w:hAnsi="Agency FB" w:cs="Arial"/>
          <w:sz w:val="28"/>
          <w:szCs w:val="28"/>
        </w:rPr>
      </w:pPr>
    </w:p>
    <w:p w:rsidR="00984778" w:rsidRPr="00313149" w:rsidRDefault="00984778" w:rsidP="00984778">
      <w:pPr>
        <w:tabs>
          <w:tab w:val="left" w:pos="3782"/>
        </w:tabs>
        <w:spacing w:after="0" w:line="240" w:lineRule="auto"/>
        <w:jc w:val="center"/>
        <w:rPr>
          <w:rFonts w:ascii="Arial" w:hAnsi="Arial" w:cs="Arial"/>
          <w:sz w:val="24"/>
          <w:szCs w:val="24"/>
        </w:rPr>
      </w:pPr>
      <w:r w:rsidRPr="003A632F">
        <w:rPr>
          <w:noProof/>
          <w:lang w:eastAsia="es-MX"/>
        </w:rPr>
        <w:lastRenderedPageBreak/>
        <w:drawing>
          <wp:inline distT="0" distB="0" distL="0" distR="0" wp14:anchorId="61EAB133" wp14:editId="039CE213">
            <wp:extent cx="4860000" cy="297661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a:extLst>
                        <a:ext uri="{28A0092B-C50C-407E-A947-70E740481C1C}">
                          <a14:useLocalDpi xmlns:a14="http://schemas.microsoft.com/office/drawing/2010/main" val="0"/>
                        </a:ext>
                      </a:extLst>
                    </a:blip>
                    <a:srcRect r="14150"/>
                    <a:stretch/>
                  </pic:blipFill>
                  <pic:spPr bwMode="auto">
                    <a:xfrm>
                      <a:off x="0" y="0"/>
                      <a:ext cx="4860000" cy="2976615"/>
                    </a:xfrm>
                    <a:prstGeom prst="rect">
                      <a:avLst/>
                    </a:prstGeom>
                    <a:noFill/>
                    <a:ln>
                      <a:noFill/>
                    </a:ln>
                    <a:extLst>
                      <a:ext uri="{53640926-AAD7-44D8-BBD7-CCE9431645EC}">
                        <a14:shadowObscured xmlns:a14="http://schemas.microsoft.com/office/drawing/2010/main"/>
                      </a:ext>
                    </a:extLst>
                  </pic:spPr>
                </pic:pic>
              </a:graphicData>
            </a:graphic>
          </wp:inline>
        </w:drawing>
      </w:r>
    </w:p>
    <w:p w:rsidR="00984778" w:rsidRPr="00313149" w:rsidRDefault="00984778" w:rsidP="00984778">
      <w:pPr>
        <w:tabs>
          <w:tab w:val="left" w:pos="3782"/>
        </w:tabs>
        <w:spacing w:after="0" w:line="240" w:lineRule="auto"/>
        <w:jc w:val="center"/>
        <w:rPr>
          <w:rFonts w:ascii="Arial" w:hAnsi="Arial" w:cs="Arial"/>
          <w:sz w:val="24"/>
          <w:szCs w:val="24"/>
        </w:rPr>
      </w:pPr>
      <w:r>
        <w:rPr>
          <w:rFonts w:ascii="Arial" w:hAnsi="Arial" w:cs="Arial"/>
          <w:sz w:val="24"/>
          <w:szCs w:val="24"/>
        </w:rPr>
        <w:t xml:space="preserve"> </w:t>
      </w:r>
    </w:p>
    <w:p w:rsidR="00984778" w:rsidRPr="00984778" w:rsidRDefault="00984778" w:rsidP="00984778">
      <w:pPr>
        <w:spacing w:after="0" w:line="240" w:lineRule="auto"/>
        <w:rPr>
          <w:rFonts w:ascii="Agency FB" w:hAnsi="Agency FB" w:cs="Arial"/>
          <w:b/>
          <w:sz w:val="28"/>
          <w:szCs w:val="28"/>
        </w:rPr>
      </w:pPr>
      <w:r w:rsidRPr="00984778">
        <w:rPr>
          <w:rFonts w:ascii="Agency FB" w:hAnsi="Agency FB" w:cs="Arial"/>
          <w:b/>
          <w:sz w:val="28"/>
          <w:szCs w:val="28"/>
        </w:rPr>
        <w:t>Ingresos Federales</w:t>
      </w:r>
    </w:p>
    <w:p w:rsidR="00984778" w:rsidRPr="00984778" w:rsidRDefault="00984778" w:rsidP="00984778">
      <w:pPr>
        <w:spacing w:after="0" w:line="240" w:lineRule="auto"/>
        <w:rPr>
          <w:rFonts w:ascii="Agency FB" w:hAnsi="Agency FB" w:cs="Arial"/>
          <w:b/>
          <w:sz w:val="28"/>
          <w:szCs w:val="28"/>
        </w:rPr>
      </w:pPr>
    </w:p>
    <w:p w:rsidR="00984778" w:rsidRPr="00984778" w:rsidRDefault="00984778" w:rsidP="00984778">
      <w:pPr>
        <w:spacing w:after="0" w:line="240" w:lineRule="auto"/>
        <w:jc w:val="both"/>
        <w:rPr>
          <w:rFonts w:ascii="Agency FB" w:hAnsi="Agency FB" w:cs="Arial"/>
          <w:sz w:val="28"/>
          <w:szCs w:val="28"/>
        </w:rPr>
      </w:pPr>
      <w:r w:rsidRPr="00984778">
        <w:rPr>
          <w:rFonts w:ascii="Agency FB" w:hAnsi="Agency FB" w:cs="Arial"/>
          <w:sz w:val="28"/>
          <w:szCs w:val="28"/>
        </w:rPr>
        <w:t xml:space="preserve">Los Ingresos Federales 2024 fueron 61,332.6 millones de pesos, que comparados con los 59,954.3 millones de pesos estimados en Ley de Ingresos del Estado para el ejercicio 2024, reflejan un incremento de 1,378.3 millones de pesos, lo que significa 2.3 por ciento adicional, mismo que se integra por: Participaciones con 50.0 por ciento, Aportaciones con 32.6 por ciento, Convenios con 12.1 por ciento, Incentivos Derivados de la Colaboración Fiscal con 2.5 por ciento, Fondos Distintos de Aportaciones con 2.8 por ciento y el rubro de Transferencias, Asignaciones, Subsidios y Subvenciones, y Pensiones y Jubilaciones con un 0.03 por ciento, representando un 91.2 por ciento en relación a los ingresos totales del Estado. </w:t>
      </w:r>
    </w:p>
    <w:p w:rsidR="00984778" w:rsidRPr="00984778" w:rsidRDefault="00984778" w:rsidP="00984778">
      <w:pPr>
        <w:spacing w:after="0" w:line="240" w:lineRule="auto"/>
        <w:jc w:val="both"/>
        <w:rPr>
          <w:rFonts w:ascii="Agency FB" w:hAnsi="Agency FB" w:cs="Arial"/>
          <w:sz w:val="28"/>
          <w:szCs w:val="28"/>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bookmarkStart w:id="0" w:name="_GoBack"/>
      <w:r w:rsidRPr="009D04D7">
        <w:rPr>
          <w:noProof/>
          <w:lang w:eastAsia="es-MX"/>
        </w:rPr>
        <w:lastRenderedPageBreak/>
        <w:drawing>
          <wp:inline distT="0" distB="0" distL="0" distR="0" wp14:anchorId="34999FA3" wp14:editId="048DF48E">
            <wp:extent cx="8576294" cy="329837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89032" cy="3303270"/>
                    </a:xfrm>
                    <a:prstGeom prst="rect">
                      <a:avLst/>
                    </a:prstGeom>
                    <a:noFill/>
                    <a:ln>
                      <a:noFill/>
                    </a:ln>
                  </pic:spPr>
                </pic:pic>
              </a:graphicData>
            </a:graphic>
          </wp:inline>
        </w:drawing>
      </w:r>
      <w:bookmarkEnd w:id="0"/>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Default="00984778" w:rsidP="00984778">
      <w:pPr>
        <w:spacing w:after="0" w:line="240" w:lineRule="auto"/>
        <w:jc w:val="both"/>
        <w:rPr>
          <w:rFonts w:ascii="Arial" w:hAnsi="Arial" w:cs="Arial"/>
          <w:sz w:val="24"/>
          <w:szCs w:val="24"/>
        </w:rPr>
      </w:pPr>
    </w:p>
    <w:p w:rsidR="00984778" w:rsidRPr="009F04F9" w:rsidRDefault="00984778" w:rsidP="00984778">
      <w:pPr>
        <w:spacing w:after="0" w:line="240" w:lineRule="auto"/>
        <w:jc w:val="both"/>
        <w:rPr>
          <w:rFonts w:ascii="Arial" w:hAnsi="Arial" w:cs="Arial"/>
          <w:sz w:val="24"/>
          <w:szCs w:val="24"/>
        </w:rPr>
      </w:pP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center"/>
        <w:rPr>
          <w:rFonts w:ascii="Arial" w:eastAsia="ヒラギノ角ゴ Pro W3" w:hAnsi="Arial" w:cs="Arial"/>
          <w:b/>
          <w:sz w:val="24"/>
          <w:szCs w:val="24"/>
          <w:lang w:eastAsia="es-CO"/>
        </w:rPr>
      </w:pPr>
      <w:r w:rsidRPr="009D207A">
        <w:rPr>
          <w:noProof/>
          <w:lang w:eastAsia="es-MX"/>
        </w:rPr>
        <w:lastRenderedPageBreak/>
        <w:drawing>
          <wp:inline distT="0" distB="0" distL="0" distR="0" wp14:anchorId="54EB91E0" wp14:editId="6C48113E">
            <wp:extent cx="6073157" cy="353441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5537" cy="3541615"/>
                    </a:xfrm>
                    <a:prstGeom prst="rect">
                      <a:avLst/>
                    </a:prstGeom>
                    <a:noFill/>
                    <a:ln>
                      <a:noFill/>
                    </a:ln>
                  </pic:spPr>
                </pic:pic>
              </a:graphicData>
            </a:graphic>
          </wp:inline>
        </w:drawing>
      </w: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ヒラギノ角ゴ Pro W3" w:hAnsi="Arial" w:cs="Arial"/>
          <w:b/>
          <w:sz w:val="24"/>
          <w:szCs w:val="24"/>
          <w:lang w:eastAsia="es-CO"/>
        </w:rPr>
      </w:pP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ヒラギノ角ゴ Pro W3" w:hAnsi="Arial" w:cs="Arial"/>
          <w:b/>
          <w:sz w:val="24"/>
          <w:szCs w:val="24"/>
          <w:lang w:eastAsia="es-CO"/>
        </w:rPr>
      </w:pP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ヒラギノ角ゴ Pro W3" w:hAnsi="Arial" w:cs="Arial"/>
          <w:b/>
          <w:sz w:val="24"/>
          <w:szCs w:val="24"/>
          <w:lang w:eastAsia="es-CO"/>
        </w:rPr>
      </w:pP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ヒラギノ角ゴ Pro W3" w:hAnsi="Arial" w:cs="Arial"/>
          <w:b/>
          <w:sz w:val="24"/>
          <w:szCs w:val="24"/>
          <w:lang w:eastAsia="es-CO"/>
        </w:rPr>
      </w:pP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ヒラギノ角ゴ Pro W3" w:hAnsi="Agency FB" w:cs="Arial"/>
          <w:b/>
          <w:sz w:val="28"/>
          <w:szCs w:val="28"/>
          <w:lang w:eastAsia="es-CO"/>
        </w:rPr>
      </w:pPr>
      <w:r w:rsidRPr="00984778">
        <w:rPr>
          <w:rFonts w:ascii="Agency FB" w:eastAsia="ヒラギノ角ゴ Pro W3" w:hAnsi="Agency FB" w:cs="Arial"/>
          <w:b/>
          <w:sz w:val="28"/>
          <w:szCs w:val="28"/>
          <w:lang w:eastAsia="es-CO"/>
        </w:rPr>
        <w:t xml:space="preserve">Participaciones </w:t>
      </w: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ヒラギノ角ゴ Pro W3" w:hAnsi="Agency FB" w:cs="Arial"/>
          <w:b/>
          <w:sz w:val="28"/>
          <w:szCs w:val="28"/>
          <w:lang w:eastAsia="es-CO"/>
        </w:rPr>
      </w:pPr>
    </w:p>
    <w:p w:rsidR="00984778" w:rsidRPr="00984778" w:rsidRDefault="00984778" w:rsidP="00984778">
      <w:pPr>
        <w:spacing w:after="0" w:line="240" w:lineRule="auto"/>
        <w:jc w:val="both"/>
        <w:rPr>
          <w:rFonts w:ascii="Agency FB" w:hAnsi="Agency FB" w:cs="Arial"/>
          <w:sz w:val="28"/>
          <w:szCs w:val="28"/>
        </w:rPr>
      </w:pPr>
      <w:r w:rsidRPr="00984778">
        <w:rPr>
          <w:rFonts w:ascii="Agency FB" w:eastAsia="ヒラギノ角ゴ Pro W3" w:hAnsi="Agency FB" w:cs="Arial"/>
          <w:sz w:val="28"/>
          <w:szCs w:val="28"/>
          <w:lang w:eastAsia="es-CO"/>
        </w:rPr>
        <w:t xml:space="preserve">Comparando los ingresos de </w:t>
      </w:r>
      <w:r w:rsidRPr="00984778">
        <w:rPr>
          <w:rFonts w:ascii="Agency FB" w:hAnsi="Agency FB" w:cs="Arial"/>
          <w:sz w:val="28"/>
          <w:szCs w:val="28"/>
        </w:rPr>
        <w:t xml:space="preserve">Participaciones recibidos al 31 de diciembre de 2024, los cuales ascendieron a 30,665.1 millones de pesos, contra lo presupuestado en Ley de Ingresos del Estado de Tabasco, en la cual se estimó 30,182.5 millones de pesos, se observa un incremento de 482.5 millones de pesos que representan un 1.60 por ciento, esto se debió principalmente a que el Fondo General de Participaciones muestra mayores ingresos de los programados por 618.8 millones de pesos y del Fondo de Fiscalización y Recaudación por 8.0 millones de pesos. </w:t>
      </w:r>
    </w:p>
    <w:p w:rsidR="00984778" w:rsidRPr="00984778" w:rsidRDefault="00984778" w:rsidP="00984778">
      <w:pPr>
        <w:spacing w:after="0" w:line="240" w:lineRule="auto"/>
        <w:jc w:val="both"/>
        <w:rPr>
          <w:rFonts w:ascii="Agency FB" w:hAnsi="Agency FB" w:cs="Arial"/>
          <w:sz w:val="28"/>
          <w:szCs w:val="28"/>
        </w:rPr>
      </w:pP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sz w:val="28"/>
          <w:szCs w:val="28"/>
          <w:lang w:eastAsia="es-MX"/>
        </w:rPr>
      </w:pPr>
      <w:r w:rsidRPr="00984778">
        <w:rPr>
          <w:rFonts w:ascii="Agency FB" w:eastAsia="Times New Roman" w:hAnsi="Agency FB" w:cs="Arial"/>
          <w:b/>
          <w:sz w:val="28"/>
          <w:szCs w:val="28"/>
          <w:lang w:eastAsia="es-MX"/>
        </w:rPr>
        <w:lastRenderedPageBreak/>
        <w:t>Aportaciones</w:t>
      </w: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sz w:val="28"/>
          <w:szCs w:val="28"/>
          <w:lang w:eastAsia="es-MX"/>
        </w:rPr>
      </w:pPr>
    </w:p>
    <w:p w:rsidR="00984778" w:rsidRPr="00984778" w:rsidRDefault="00984778" w:rsidP="00984778">
      <w:pPr>
        <w:spacing w:after="0" w:line="240" w:lineRule="auto"/>
        <w:jc w:val="both"/>
        <w:rPr>
          <w:rFonts w:ascii="Agency FB" w:eastAsia="Times New Roman" w:hAnsi="Agency FB" w:cs="Arial"/>
          <w:sz w:val="28"/>
          <w:szCs w:val="28"/>
          <w:lang w:eastAsia="es-MX"/>
        </w:rPr>
      </w:pPr>
      <w:r w:rsidRPr="00984778">
        <w:rPr>
          <w:rFonts w:ascii="Agency FB" w:eastAsia="Times New Roman" w:hAnsi="Agency FB" w:cs="Arial"/>
          <w:sz w:val="28"/>
          <w:szCs w:val="28"/>
          <w:lang w:eastAsia="es-MX"/>
        </w:rPr>
        <w:t>Los Ingresos de Aportaciones recibidos al 31 de diciembre de 2024, alcanzaron 20,001.7 millones de pesos que en comparación con los 21,100.4 millones de pesos estimados en la Ley de Ingresos del Estado de Tabasco, presenta un decremento de 5.2 por ciento, es decir 1,098.6 millones de pesos, este decremento se origina principalmente por la reclasificación del Fondo de Aportaciones para los servicios de Salud (FASSA), que registro menos ingresos de los programados por 1,256.4 millones y que se transfirieron al rubro de Convenios de Entidades No Sectorizadas y algunos otros fondos que tuvieron incrementos como el Fondo de Aportaciones para la Nómina Educativa y Gastos Operativo (FONE) por 951.9 Millones de pesos.</w:t>
      </w:r>
    </w:p>
    <w:p w:rsidR="00984778" w:rsidRPr="00984778" w:rsidRDefault="00984778" w:rsidP="00984778">
      <w:pPr>
        <w:spacing w:after="0" w:line="240" w:lineRule="auto"/>
        <w:jc w:val="both"/>
        <w:rPr>
          <w:rFonts w:ascii="Agency FB" w:eastAsia="Times New Roman" w:hAnsi="Agency FB" w:cs="Arial"/>
          <w:sz w:val="28"/>
          <w:szCs w:val="28"/>
          <w:lang w:eastAsia="es-MX"/>
        </w:rPr>
      </w:pPr>
    </w:p>
    <w:p w:rsidR="00984778" w:rsidRPr="00984778" w:rsidRDefault="00984778" w:rsidP="00984778">
      <w:pPr>
        <w:spacing w:after="0" w:line="240" w:lineRule="auto"/>
        <w:jc w:val="both"/>
        <w:rPr>
          <w:rFonts w:ascii="Agency FB" w:eastAsia="Times New Roman" w:hAnsi="Agency FB" w:cs="Arial"/>
          <w:b/>
          <w:sz w:val="28"/>
          <w:szCs w:val="28"/>
          <w:lang w:eastAsia="es-MX"/>
        </w:rPr>
      </w:pPr>
      <w:r w:rsidRPr="00984778">
        <w:rPr>
          <w:rFonts w:ascii="Agency FB" w:eastAsia="Times New Roman" w:hAnsi="Agency FB" w:cs="Arial"/>
          <w:b/>
          <w:sz w:val="28"/>
          <w:szCs w:val="28"/>
          <w:lang w:eastAsia="es-MX"/>
        </w:rPr>
        <w:t>Convenios</w:t>
      </w:r>
    </w:p>
    <w:p w:rsidR="00984778" w:rsidRPr="00984778" w:rsidRDefault="00984778" w:rsidP="00984778">
      <w:pPr>
        <w:spacing w:after="0" w:line="240" w:lineRule="auto"/>
        <w:jc w:val="both"/>
        <w:rPr>
          <w:rFonts w:ascii="Agency FB" w:eastAsia="Times New Roman" w:hAnsi="Agency FB" w:cs="Arial"/>
          <w:b/>
          <w:sz w:val="28"/>
          <w:szCs w:val="28"/>
          <w:lang w:eastAsia="es-MX"/>
        </w:rPr>
      </w:pPr>
    </w:p>
    <w:p w:rsidR="00984778" w:rsidRPr="00984778" w:rsidRDefault="00984778" w:rsidP="00984778">
      <w:pPr>
        <w:spacing w:after="0" w:line="240" w:lineRule="auto"/>
        <w:jc w:val="both"/>
        <w:rPr>
          <w:rFonts w:ascii="Agency FB" w:eastAsia="Times New Roman" w:hAnsi="Agency FB" w:cs="Arial"/>
          <w:sz w:val="28"/>
          <w:szCs w:val="28"/>
          <w:shd w:val="clear" w:color="auto" w:fill="FFFF00"/>
          <w:lang w:eastAsia="es-MX"/>
        </w:rPr>
      </w:pPr>
      <w:r w:rsidRPr="00984778">
        <w:rPr>
          <w:rFonts w:ascii="Agency FB" w:eastAsia="Times New Roman" w:hAnsi="Agency FB" w:cs="Arial"/>
          <w:sz w:val="28"/>
          <w:szCs w:val="28"/>
          <w:lang w:eastAsia="es-MX"/>
        </w:rPr>
        <w:t>Los ingresos reales de Convenios del año 2024 alcanzaron 7,444.8 millones de pesos que comparados contra los 5,947.8 millones de pesos estimados en Ley de Ingresos del Estado de Tabasco, obtuvo un incremento del 25.1 por ciento, lo que significa un aumento de 1,497.0 millones de pesos, causado por el Ramo de Educación por 1,870.9 millones y algunos decrementos en otros convenios como los Convenios de Medio Ambiente y Recursos Naturales por un monto de 188.1 Millones de pesos.</w:t>
      </w:r>
    </w:p>
    <w:p w:rsidR="00984778" w:rsidRPr="00984778" w:rsidRDefault="00984778" w:rsidP="00984778">
      <w:pPr>
        <w:spacing w:after="0" w:line="240" w:lineRule="auto"/>
        <w:jc w:val="both"/>
        <w:rPr>
          <w:rFonts w:ascii="Agency FB" w:eastAsia="Times New Roman" w:hAnsi="Agency FB" w:cs="Arial"/>
          <w:sz w:val="28"/>
          <w:szCs w:val="28"/>
          <w:shd w:val="clear" w:color="auto" w:fill="FFFF00"/>
          <w:lang w:eastAsia="es-MX"/>
        </w:rPr>
      </w:pPr>
    </w:p>
    <w:p w:rsidR="00984778" w:rsidRPr="00984778" w:rsidRDefault="00984778" w:rsidP="00984778">
      <w:pPr>
        <w:spacing w:after="0" w:line="240" w:lineRule="auto"/>
        <w:jc w:val="both"/>
        <w:rPr>
          <w:rFonts w:ascii="Agency FB" w:eastAsia="Times New Roman" w:hAnsi="Agency FB" w:cs="Arial"/>
          <w:b/>
          <w:sz w:val="28"/>
          <w:szCs w:val="28"/>
          <w:lang w:eastAsia="es-MX"/>
        </w:rPr>
      </w:pPr>
      <w:r w:rsidRPr="00984778">
        <w:rPr>
          <w:rFonts w:ascii="Agency FB" w:eastAsia="Times New Roman" w:hAnsi="Agency FB" w:cs="Arial"/>
          <w:b/>
          <w:sz w:val="28"/>
          <w:szCs w:val="28"/>
          <w:lang w:eastAsia="es-MX"/>
        </w:rPr>
        <w:t>Incentivos Derivados de la Colaboración Fiscal</w:t>
      </w:r>
    </w:p>
    <w:p w:rsidR="00984778" w:rsidRPr="00984778" w:rsidRDefault="00984778" w:rsidP="00984778">
      <w:pPr>
        <w:spacing w:after="0" w:line="240" w:lineRule="auto"/>
        <w:jc w:val="both"/>
        <w:rPr>
          <w:rFonts w:ascii="Agency FB" w:eastAsia="Times New Roman" w:hAnsi="Agency FB" w:cs="Arial"/>
          <w:b/>
          <w:sz w:val="28"/>
          <w:szCs w:val="28"/>
          <w:lang w:eastAsia="es-MX"/>
        </w:rPr>
      </w:pP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8"/>
          <w:lang w:eastAsia="es-MX"/>
        </w:rPr>
      </w:pPr>
      <w:r w:rsidRPr="00984778">
        <w:rPr>
          <w:rFonts w:ascii="Agency FB" w:eastAsia="Times New Roman" w:hAnsi="Agency FB" w:cs="Arial"/>
          <w:sz w:val="28"/>
          <w:szCs w:val="28"/>
          <w:lang w:eastAsia="es-MX"/>
        </w:rPr>
        <w:t>En relación al rubro de Incentivos Derivados de la Colaboración Fiscal, se obtuvieron ingresos por 1,508.2  millones de pesos al cuarto trimestre del 2024, lo que representa un incremento del 46.0 por ciento, comparado contra los 1,032.4 millones de pesos estimados en Ley de Ingresos del Estado de Tabasco, por un monto de 475.7 millones de pesos. Los cuales se originan principalmente por los ingresos de los incentivos reintegrados por la TESOFE, por un monto de 370.5 millones de pesos derivados de los incentivos por fiscalización concurrente y de los cobros de créditos fiscales, así como, por el Impuesto Especial sobre la Producción y Servicios por la Venta Final de Gasolina y Diésel (IEPS), por 107.3 millones de pesos, entre otros.</w:t>
      </w: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8"/>
          <w:lang w:eastAsia="es-MX"/>
        </w:rPr>
      </w:pP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8"/>
          <w:lang w:eastAsia="es-MX"/>
        </w:rPr>
      </w:pPr>
    </w:p>
    <w:p w:rsid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8"/>
          <w:lang w:eastAsia="es-MX"/>
        </w:rPr>
      </w:pP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8"/>
          <w:lang w:eastAsia="es-MX"/>
        </w:rPr>
      </w:pP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8"/>
          <w:lang w:eastAsia="es-MX"/>
        </w:rPr>
      </w:pP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8"/>
          <w:lang w:val="es-ES" w:eastAsia="es-MX"/>
        </w:rPr>
      </w:pPr>
      <w:r w:rsidRPr="00984778">
        <w:rPr>
          <w:rFonts w:ascii="Agency FB" w:eastAsia="Times New Roman" w:hAnsi="Agency FB" w:cs="Arial"/>
          <w:b/>
          <w:noProof/>
          <w:sz w:val="28"/>
          <w:szCs w:val="28"/>
          <w:lang w:val="es-ES" w:eastAsia="es-MX"/>
        </w:rPr>
        <w:lastRenderedPageBreak/>
        <w:t>Fondos Distintos de Aportaciones</w:t>
      </w: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8"/>
          <w:lang w:val="es-ES" w:eastAsia="es-MX"/>
        </w:rPr>
      </w:pP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noProof/>
          <w:sz w:val="28"/>
          <w:szCs w:val="28"/>
          <w:lang w:val="es-ES" w:eastAsia="es-MX"/>
        </w:rPr>
      </w:pPr>
      <w:r w:rsidRPr="00984778">
        <w:rPr>
          <w:rFonts w:ascii="Agency FB" w:eastAsia="Times New Roman" w:hAnsi="Agency FB" w:cs="Arial"/>
          <w:noProof/>
          <w:sz w:val="28"/>
          <w:szCs w:val="28"/>
          <w:lang w:val="es-ES" w:eastAsia="es-MX"/>
        </w:rPr>
        <w:t>Al cierre del ejercicio fiscal 2024, este rubro obtuvo ingresos por 1,710.8 millones de pesos, que respecto a la estimación programada en la Ley de Ingresos del Estado por 1,689.7 millones de pesos, muestra un incremento del 1.2 por ciento, debido a que el Fondo para Entidades Federativas y Municipios Productores de Hidrocarburos obtuvo ingresos adicionales por 21.0 millones de pesos.</w:t>
      </w: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8"/>
          <w:lang w:val="es-ES" w:eastAsia="es-MX"/>
        </w:rPr>
      </w:pP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8"/>
          <w:lang w:val="es-ES" w:eastAsia="es-MX"/>
        </w:rPr>
      </w:pPr>
      <w:r w:rsidRPr="00984778">
        <w:rPr>
          <w:rFonts w:ascii="Agency FB" w:eastAsia="Times New Roman" w:hAnsi="Agency FB" w:cs="Arial"/>
          <w:b/>
          <w:noProof/>
          <w:sz w:val="28"/>
          <w:szCs w:val="28"/>
          <w:lang w:val="es-ES" w:eastAsia="es-MX"/>
        </w:rPr>
        <w:t>Transferencias, Asignaciones, Subsidios y Subvenciones, y Pensiones y Jubilaciones</w:t>
      </w:r>
    </w:p>
    <w:p w:rsidR="00984778" w:rsidRPr="00984778" w:rsidRDefault="00984778" w:rsidP="00984778">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noProof/>
          <w:sz w:val="28"/>
          <w:szCs w:val="28"/>
          <w:lang w:val="es-ES" w:eastAsia="es-MX"/>
        </w:rPr>
      </w:pPr>
    </w:p>
    <w:p w:rsidR="00984778" w:rsidRPr="00984778" w:rsidRDefault="00984778" w:rsidP="00984778">
      <w:pPr>
        <w:spacing w:after="0" w:line="240" w:lineRule="auto"/>
        <w:jc w:val="both"/>
        <w:rPr>
          <w:rFonts w:ascii="Agency FB" w:eastAsia="Times New Roman" w:hAnsi="Agency FB" w:cs="Arial"/>
          <w:sz w:val="28"/>
          <w:szCs w:val="28"/>
          <w:lang w:eastAsia="es-MX"/>
        </w:rPr>
      </w:pPr>
      <w:r w:rsidRPr="00984778">
        <w:rPr>
          <w:rFonts w:ascii="Agency FB" w:eastAsia="Times New Roman" w:hAnsi="Agency FB" w:cs="Arial"/>
          <w:sz w:val="28"/>
          <w:szCs w:val="28"/>
          <w:lang w:eastAsia="es-MX"/>
        </w:rPr>
        <w:t>Al cierre del ejercicio 2024, este rubro obtuvo ingresos por 1.7 millones de pesos, lo que representa un aumento del 47.7 por ciento respecto a lo estimado en la Ley de Ingresos del Estado, del cual se tenía una expectativa de 1.2 millones de pesos, donde se recibieron recursos del Programa Armonización Contable.</w:t>
      </w:r>
    </w:p>
    <w:p w:rsidR="00984778" w:rsidRPr="00984778" w:rsidRDefault="00984778" w:rsidP="00984778">
      <w:pPr>
        <w:spacing w:after="0" w:line="240" w:lineRule="auto"/>
        <w:jc w:val="both"/>
        <w:rPr>
          <w:rFonts w:ascii="Agency FB" w:eastAsia="Times New Roman" w:hAnsi="Agency FB" w:cs="Arial"/>
          <w:sz w:val="28"/>
          <w:szCs w:val="28"/>
          <w:lang w:eastAsia="es-MX"/>
        </w:rPr>
      </w:pPr>
    </w:p>
    <w:p w:rsidR="00984778" w:rsidRPr="00984778" w:rsidRDefault="00984778" w:rsidP="00984778">
      <w:pPr>
        <w:spacing w:after="0" w:line="240" w:lineRule="auto"/>
        <w:jc w:val="both"/>
        <w:rPr>
          <w:rFonts w:ascii="Agency FB" w:eastAsia="Times New Roman" w:hAnsi="Agency FB" w:cs="Arial"/>
          <w:b/>
          <w:noProof/>
          <w:sz w:val="28"/>
          <w:szCs w:val="28"/>
          <w:lang w:val="es-ES" w:eastAsia="es-MX"/>
        </w:rPr>
      </w:pPr>
      <w:r w:rsidRPr="00984778">
        <w:rPr>
          <w:rFonts w:ascii="Agency FB" w:eastAsia="Times New Roman" w:hAnsi="Agency FB" w:cs="Arial"/>
          <w:b/>
          <w:noProof/>
          <w:sz w:val="28"/>
          <w:szCs w:val="28"/>
          <w:lang w:val="es-ES" w:eastAsia="es-MX"/>
        </w:rPr>
        <w:t>Ingresos Derivados de Financiamiento</w:t>
      </w:r>
    </w:p>
    <w:p w:rsidR="00984778" w:rsidRPr="00984778" w:rsidRDefault="00984778" w:rsidP="00984778">
      <w:pPr>
        <w:spacing w:after="0" w:line="240" w:lineRule="auto"/>
        <w:jc w:val="both"/>
        <w:rPr>
          <w:rFonts w:ascii="Agency FB" w:eastAsia="Times New Roman" w:hAnsi="Agency FB" w:cs="Arial"/>
          <w:b/>
          <w:noProof/>
          <w:sz w:val="28"/>
          <w:szCs w:val="28"/>
          <w:lang w:val="es-ES" w:eastAsia="es-MX"/>
        </w:rPr>
      </w:pPr>
    </w:p>
    <w:p w:rsidR="00984778" w:rsidRPr="00984778" w:rsidRDefault="00984778" w:rsidP="00984778">
      <w:pPr>
        <w:tabs>
          <w:tab w:val="left" w:pos="3969"/>
        </w:tabs>
        <w:spacing w:after="0" w:line="240" w:lineRule="auto"/>
        <w:jc w:val="both"/>
        <w:rPr>
          <w:rFonts w:ascii="Agency FB" w:eastAsia="Times New Roman" w:hAnsi="Agency FB" w:cs="Arial"/>
          <w:noProof/>
          <w:sz w:val="28"/>
          <w:szCs w:val="28"/>
          <w:lang w:val="es-ES" w:eastAsia="es-MX"/>
        </w:rPr>
      </w:pPr>
      <w:r w:rsidRPr="00984778">
        <w:rPr>
          <w:rFonts w:ascii="Agency FB" w:hAnsi="Agency FB" w:cs="Arial"/>
          <w:sz w:val="28"/>
          <w:szCs w:val="28"/>
        </w:rPr>
        <w:t>Al cuarto trimestre de 2024, el Gobierno del Estado, a través de la Secretaría de Finanzas, no contrató Ingresos Derivados de Financiamiento.</w:t>
      </w:r>
    </w:p>
    <w:p w:rsidR="00984778" w:rsidRDefault="00984778" w:rsidP="00A54BAB">
      <w:pPr>
        <w:spacing w:after="0" w:line="240" w:lineRule="auto"/>
        <w:jc w:val="both"/>
        <w:rPr>
          <w:rFonts w:ascii="Agency FB" w:hAnsi="Agency FB" w:cs="Arial"/>
          <w:sz w:val="28"/>
          <w:szCs w:val="28"/>
        </w:rPr>
      </w:pPr>
    </w:p>
    <w:p w:rsidR="00984778" w:rsidRPr="00AD0C35" w:rsidRDefault="00984778" w:rsidP="00A54BAB">
      <w:pPr>
        <w:spacing w:after="0" w:line="240" w:lineRule="auto"/>
        <w:jc w:val="both"/>
        <w:rPr>
          <w:rFonts w:ascii="Agency FB" w:hAnsi="Agency FB" w:cs="Arial"/>
          <w:sz w:val="28"/>
          <w:szCs w:val="28"/>
        </w:rPr>
      </w:pPr>
    </w:p>
    <w:sectPr w:rsidR="00984778" w:rsidRPr="00AD0C35" w:rsidSect="006568B6">
      <w:headerReference w:type="default" r:id="rId19"/>
      <w:footerReference w:type="default" r:id="rId20"/>
      <w:pgSz w:w="15840" w:h="12240" w:orient="landscape" w:code="1"/>
      <w:pgMar w:top="55" w:right="1134" w:bottom="709" w:left="1134" w:header="425" w:footer="6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21" w:rsidRDefault="00284A21" w:rsidP="009E3A0E">
      <w:pPr>
        <w:spacing w:after="0" w:line="240" w:lineRule="auto"/>
      </w:pPr>
      <w:r>
        <w:separator/>
      </w:r>
    </w:p>
  </w:endnote>
  <w:endnote w:type="continuationSeparator" w:id="0">
    <w:p w:rsidR="00284A21" w:rsidRDefault="00284A21" w:rsidP="009E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DIN Next LT Pro Condensed">
    <w:panose1 w:val="020B0506020203050203"/>
    <w:charset w:val="00"/>
    <w:family w:val="swiss"/>
    <w:pitch w:val="variable"/>
    <w:sig w:usb0="A00000AF" w:usb1="5000205B" w:usb2="00000000" w:usb3="00000000" w:csb0="0000009B" w:csb1="00000000"/>
  </w:font>
  <w:font w:name="ヒラギノ角ゴ Pro W3">
    <w:altName w:val="Arial Unicode MS"/>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C7" w:rsidRPr="00012415" w:rsidRDefault="002103C7">
    <w:pPr>
      <w:pStyle w:val="Piedepgina"/>
      <w:rPr>
        <w:rFonts w:ascii="Arial" w:hAnsi="Arial" w:cs="Arial"/>
        <w:b/>
        <w:sz w:val="24"/>
        <w:szCs w:val="24"/>
      </w:rPr>
    </w:pPr>
    <w:r>
      <w:rPr>
        <w:rFonts w:ascii="Arial" w:hAnsi="Arial" w:cs="Arial"/>
        <w:b/>
        <w:sz w:val="24"/>
        <w:szCs w:val="24"/>
      </w:rPr>
      <w:t>____</w:t>
    </w:r>
    <w:r w:rsidRPr="00012415">
      <w:rPr>
        <w:rFonts w:ascii="Arial" w:hAnsi="Arial" w:cs="Arial"/>
        <w:b/>
        <w:sz w:val="24"/>
        <w:szCs w:val="24"/>
      </w:rPr>
      <w:t>_________________________________________________________________</w:t>
    </w:r>
    <w:r>
      <w:rPr>
        <w:rFonts w:ascii="Arial" w:hAnsi="Arial" w:cs="Arial"/>
        <w:b/>
        <w:sz w:val="24"/>
        <w:szCs w:val="24"/>
      </w:rPr>
      <w:t>________________________________</w:t>
    </w:r>
  </w:p>
  <w:p w:rsidR="002103C7" w:rsidRDefault="002103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21" w:rsidRDefault="00284A21" w:rsidP="009E3A0E">
      <w:pPr>
        <w:spacing w:after="0" w:line="240" w:lineRule="auto"/>
      </w:pPr>
      <w:r>
        <w:separator/>
      </w:r>
    </w:p>
  </w:footnote>
  <w:footnote w:type="continuationSeparator" w:id="0">
    <w:p w:rsidR="00284A21" w:rsidRDefault="00284A21" w:rsidP="009E3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C7" w:rsidRDefault="00984778">
    <w:pPr>
      <w:pStyle w:val="Encabezado"/>
    </w:pPr>
    <w:r>
      <w:rPr>
        <w:noProof/>
        <w:lang w:eastAsia="es-MX"/>
      </w:rPr>
      <w:drawing>
        <wp:anchor distT="0" distB="0" distL="114300" distR="114300" simplePos="0" relativeHeight="251655680" behindDoc="0" locked="0" layoutInCell="1" allowOverlap="1">
          <wp:simplePos x="0" y="0"/>
          <wp:positionH relativeFrom="column">
            <wp:posOffset>7861935</wp:posOffset>
          </wp:positionH>
          <wp:positionV relativeFrom="paragraph">
            <wp:posOffset>2540</wp:posOffset>
          </wp:positionV>
          <wp:extent cx="1143000" cy="49582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a pub-2024 (1).jpg"/>
                  <pic:cNvPicPr/>
                </pic:nvPicPr>
                <pic:blipFill>
                  <a:blip r:embed="rId1">
                    <a:extLst>
                      <a:ext uri="{28A0092B-C50C-407E-A947-70E740481C1C}">
                        <a14:useLocalDpi xmlns:a14="http://schemas.microsoft.com/office/drawing/2010/main" val="0"/>
                      </a:ext>
                    </a:extLst>
                  </a:blip>
                  <a:stretch>
                    <a:fillRect/>
                  </a:stretch>
                </pic:blipFill>
                <pic:spPr>
                  <a:xfrm>
                    <a:off x="0" y="0"/>
                    <a:ext cx="1143000" cy="495822"/>
                  </a:xfrm>
                  <a:prstGeom prst="rect">
                    <a:avLst/>
                  </a:prstGeom>
                </pic:spPr>
              </pic:pic>
            </a:graphicData>
          </a:graphic>
          <wp14:sizeRelH relativeFrom="margin">
            <wp14:pctWidth>0</wp14:pctWidth>
          </wp14:sizeRelH>
          <wp14:sizeRelV relativeFrom="margin">
            <wp14:pctHeight>0</wp14:pctHeight>
          </wp14:sizeRelV>
        </wp:anchor>
      </w:drawing>
    </w:r>
  </w:p>
  <w:p w:rsidR="002103C7" w:rsidRDefault="002103C7">
    <w:pPr>
      <w:pStyle w:val="Encabezado"/>
    </w:pPr>
  </w:p>
  <w:p w:rsidR="002103C7" w:rsidRPr="00FF251B" w:rsidRDefault="00FF251B" w:rsidP="00FF251B">
    <w:pPr>
      <w:jc w:val="center"/>
      <w:rPr>
        <w:rFonts w:ascii="DIN Next LT Pro Condensed" w:hAnsi="DIN Next LT Pro Condensed" w:cs="Arial"/>
        <w:b/>
        <w:sz w:val="24"/>
        <w:szCs w:val="32"/>
      </w:rPr>
    </w:pPr>
    <w:r w:rsidRPr="006568B6">
      <w:rPr>
        <w:rFonts w:ascii="DIN Next LT Pro Condensed" w:hAnsi="DIN Next LT Pro Condensed" w:cs="Arial"/>
        <w:b/>
        <w:noProof/>
        <w:sz w:val="32"/>
        <w:szCs w:val="32"/>
        <w:lang w:eastAsia="es-MX"/>
      </w:rPr>
      <mc:AlternateContent>
        <mc:Choice Requires="wps">
          <w:drawing>
            <wp:anchor distT="0" distB="0" distL="114300" distR="114300" simplePos="0" relativeHeight="251655168" behindDoc="0" locked="0" layoutInCell="1" allowOverlap="1">
              <wp:simplePos x="0" y="0"/>
              <wp:positionH relativeFrom="column">
                <wp:posOffset>-120015</wp:posOffset>
              </wp:positionH>
              <wp:positionV relativeFrom="paragraph">
                <wp:posOffset>208280</wp:posOffset>
              </wp:positionV>
              <wp:extent cx="915352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9153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72ADB" id="Conector recto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9.45pt,16.4pt" to="711.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" strokecolor="black [3213]"/>
          </w:pict>
        </mc:Fallback>
      </mc:AlternateContent>
    </w:r>
    <w:r w:rsidR="002103C7" w:rsidRPr="006568B6">
      <w:rPr>
        <w:rFonts w:ascii="DIN Next LT Pro Condensed" w:hAnsi="DIN Next LT Pro Condensed" w:cs="Arial"/>
        <w:b/>
        <w:sz w:val="32"/>
        <w:szCs w:val="32"/>
      </w:rPr>
      <w:t>INGRESOS PRESUPUESTARIOS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34E3A"/>
    <w:multiLevelType w:val="hybridMultilevel"/>
    <w:tmpl w:val="A934D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A12D17"/>
    <w:multiLevelType w:val="hybridMultilevel"/>
    <w:tmpl w:val="09B6C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5E61F1"/>
    <w:multiLevelType w:val="hybridMultilevel"/>
    <w:tmpl w:val="8BE44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27"/>
    <w:rsid w:val="000049CC"/>
    <w:rsid w:val="00012415"/>
    <w:rsid w:val="00012AA4"/>
    <w:rsid w:val="00013B32"/>
    <w:rsid w:val="000170AE"/>
    <w:rsid w:val="000202FC"/>
    <w:rsid w:val="00021256"/>
    <w:rsid w:val="00026F4D"/>
    <w:rsid w:val="0003082E"/>
    <w:rsid w:val="00032EDC"/>
    <w:rsid w:val="0004687F"/>
    <w:rsid w:val="0005262A"/>
    <w:rsid w:val="00053D7D"/>
    <w:rsid w:val="000611AA"/>
    <w:rsid w:val="00074007"/>
    <w:rsid w:val="00080451"/>
    <w:rsid w:val="00081005"/>
    <w:rsid w:val="0008601C"/>
    <w:rsid w:val="000862C7"/>
    <w:rsid w:val="00092323"/>
    <w:rsid w:val="000B09CA"/>
    <w:rsid w:val="000B1591"/>
    <w:rsid w:val="000B2639"/>
    <w:rsid w:val="000C22DF"/>
    <w:rsid w:val="000D04CC"/>
    <w:rsid w:val="000D26FE"/>
    <w:rsid w:val="000D6F24"/>
    <w:rsid w:val="00104179"/>
    <w:rsid w:val="0011313E"/>
    <w:rsid w:val="001179F7"/>
    <w:rsid w:val="00120C39"/>
    <w:rsid w:val="001229A0"/>
    <w:rsid w:val="0013160B"/>
    <w:rsid w:val="00172AFB"/>
    <w:rsid w:val="00180351"/>
    <w:rsid w:val="00190482"/>
    <w:rsid w:val="0019136B"/>
    <w:rsid w:val="0019620A"/>
    <w:rsid w:val="00197598"/>
    <w:rsid w:val="001A1E6A"/>
    <w:rsid w:val="001A2D6F"/>
    <w:rsid w:val="001A4C03"/>
    <w:rsid w:val="001A5EDF"/>
    <w:rsid w:val="001B158C"/>
    <w:rsid w:val="001B5D0F"/>
    <w:rsid w:val="001D24B9"/>
    <w:rsid w:val="002103C7"/>
    <w:rsid w:val="002104B2"/>
    <w:rsid w:val="00215D00"/>
    <w:rsid w:val="00230FB0"/>
    <w:rsid w:val="00256494"/>
    <w:rsid w:val="002564F5"/>
    <w:rsid w:val="00260CC2"/>
    <w:rsid w:val="0026181E"/>
    <w:rsid w:val="002668D5"/>
    <w:rsid w:val="00266D61"/>
    <w:rsid w:val="00276D68"/>
    <w:rsid w:val="00284A21"/>
    <w:rsid w:val="00296DB5"/>
    <w:rsid w:val="002A4150"/>
    <w:rsid w:val="002A7C88"/>
    <w:rsid w:val="002B2EA4"/>
    <w:rsid w:val="002B48F6"/>
    <w:rsid w:val="002B66A6"/>
    <w:rsid w:val="002D032B"/>
    <w:rsid w:val="002D6060"/>
    <w:rsid w:val="002E35F4"/>
    <w:rsid w:val="003013AC"/>
    <w:rsid w:val="003019F6"/>
    <w:rsid w:val="00306F70"/>
    <w:rsid w:val="003154B7"/>
    <w:rsid w:val="00327D7E"/>
    <w:rsid w:val="00340B27"/>
    <w:rsid w:val="00344A26"/>
    <w:rsid w:val="003575B3"/>
    <w:rsid w:val="00366689"/>
    <w:rsid w:val="0037237C"/>
    <w:rsid w:val="003937C6"/>
    <w:rsid w:val="003C3F16"/>
    <w:rsid w:val="003D2732"/>
    <w:rsid w:val="003D4755"/>
    <w:rsid w:val="003F0C6A"/>
    <w:rsid w:val="003F0DF5"/>
    <w:rsid w:val="0040279C"/>
    <w:rsid w:val="00410700"/>
    <w:rsid w:val="00434A55"/>
    <w:rsid w:val="00453D49"/>
    <w:rsid w:val="00455737"/>
    <w:rsid w:val="00465B41"/>
    <w:rsid w:val="0048144B"/>
    <w:rsid w:val="00483A81"/>
    <w:rsid w:val="00492C84"/>
    <w:rsid w:val="004A10D7"/>
    <w:rsid w:val="004D0A44"/>
    <w:rsid w:val="004E51A0"/>
    <w:rsid w:val="004E6865"/>
    <w:rsid w:val="004E734C"/>
    <w:rsid w:val="004F39FB"/>
    <w:rsid w:val="004F6800"/>
    <w:rsid w:val="0050076C"/>
    <w:rsid w:val="00501ED9"/>
    <w:rsid w:val="00506773"/>
    <w:rsid w:val="00506909"/>
    <w:rsid w:val="00506CA6"/>
    <w:rsid w:val="00513D14"/>
    <w:rsid w:val="0051496F"/>
    <w:rsid w:val="005172A1"/>
    <w:rsid w:val="00524330"/>
    <w:rsid w:val="00526886"/>
    <w:rsid w:val="005332EA"/>
    <w:rsid w:val="005348CE"/>
    <w:rsid w:val="0053566A"/>
    <w:rsid w:val="00537667"/>
    <w:rsid w:val="00541609"/>
    <w:rsid w:val="0054485C"/>
    <w:rsid w:val="005477F4"/>
    <w:rsid w:val="00554696"/>
    <w:rsid w:val="0055788D"/>
    <w:rsid w:val="0056303C"/>
    <w:rsid w:val="00572792"/>
    <w:rsid w:val="005759F3"/>
    <w:rsid w:val="00577053"/>
    <w:rsid w:val="005A0734"/>
    <w:rsid w:val="005B792D"/>
    <w:rsid w:val="005C40FE"/>
    <w:rsid w:val="005C41B7"/>
    <w:rsid w:val="005C6460"/>
    <w:rsid w:val="005C7139"/>
    <w:rsid w:val="005D0837"/>
    <w:rsid w:val="006165DE"/>
    <w:rsid w:val="00621012"/>
    <w:rsid w:val="0062286F"/>
    <w:rsid w:val="00622DAC"/>
    <w:rsid w:val="00623413"/>
    <w:rsid w:val="00625E27"/>
    <w:rsid w:val="00627720"/>
    <w:rsid w:val="0063696C"/>
    <w:rsid w:val="006406EF"/>
    <w:rsid w:val="006568B6"/>
    <w:rsid w:val="00664D8E"/>
    <w:rsid w:val="00687537"/>
    <w:rsid w:val="006B09C1"/>
    <w:rsid w:val="006B0BA9"/>
    <w:rsid w:val="006B24E0"/>
    <w:rsid w:val="006D13A8"/>
    <w:rsid w:val="006D2578"/>
    <w:rsid w:val="006D7191"/>
    <w:rsid w:val="006E0A28"/>
    <w:rsid w:val="006E0F4B"/>
    <w:rsid w:val="006F03E6"/>
    <w:rsid w:val="006F55BF"/>
    <w:rsid w:val="006F7D11"/>
    <w:rsid w:val="00703A18"/>
    <w:rsid w:val="00705C50"/>
    <w:rsid w:val="00706D9A"/>
    <w:rsid w:val="00721722"/>
    <w:rsid w:val="0073178D"/>
    <w:rsid w:val="007437AF"/>
    <w:rsid w:val="00754DB3"/>
    <w:rsid w:val="007563E2"/>
    <w:rsid w:val="0076196F"/>
    <w:rsid w:val="007652F5"/>
    <w:rsid w:val="00771A30"/>
    <w:rsid w:val="007B3C86"/>
    <w:rsid w:val="007B3DC2"/>
    <w:rsid w:val="007C21CF"/>
    <w:rsid w:val="007C70A4"/>
    <w:rsid w:val="007D22C6"/>
    <w:rsid w:val="007F0455"/>
    <w:rsid w:val="00811AD4"/>
    <w:rsid w:val="00813118"/>
    <w:rsid w:val="0081563F"/>
    <w:rsid w:val="008173D6"/>
    <w:rsid w:val="00817903"/>
    <w:rsid w:val="008220C0"/>
    <w:rsid w:val="00826ADD"/>
    <w:rsid w:val="00833AF0"/>
    <w:rsid w:val="00871455"/>
    <w:rsid w:val="0087333E"/>
    <w:rsid w:val="00874E89"/>
    <w:rsid w:val="008755E5"/>
    <w:rsid w:val="008765E0"/>
    <w:rsid w:val="00887BCE"/>
    <w:rsid w:val="00891C69"/>
    <w:rsid w:val="008A4BAD"/>
    <w:rsid w:val="008B4C51"/>
    <w:rsid w:val="008C3675"/>
    <w:rsid w:val="008C5E15"/>
    <w:rsid w:val="008D35DF"/>
    <w:rsid w:val="008E565E"/>
    <w:rsid w:val="008F008B"/>
    <w:rsid w:val="008F0754"/>
    <w:rsid w:val="008F4B67"/>
    <w:rsid w:val="008F7321"/>
    <w:rsid w:val="009145F7"/>
    <w:rsid w:val="009179EF"/>
    <w:rsid w:val="009276FA"/>
    <w:rsid w:val="00932208"/>
    <w:rsid w:val="00934D76"/>
    <w:rsid w:val="00936771"/>
    <w:rsid w:val="009373E7"/>
    <w:rsid w:val="00941514"/>
    <w:rsid w:val="00941F53"/>
    <w:rsid w:val="009579CE"/>
    <w:rsid w:val="00962683"/>
    <w:rsid w:val="00967AC0"/>
    <w:rsid w:val="009774A3"/>
    <w:rsid w:val="00984778"/>
    <w:rsid w:val="009942E3"/>
    <w:rsid w:val="00995BC9"/>
    <w:rsid w:val="00997BB4"/>
    <w:rsid w:val="009A435C"/>
    <w:rsid w:val="009C7A1F"/>
    <w:rsid w:val="009E1670"/>
    <w:rsid w:val="009E3A0E"/>
    <w:rsid w:val="009F017F"/>
    <w:rsid w:val="009F04F9"/>
    <w:rsid w:val="009F20E4"/>
    <w:rsid w:val="00A01CA8"/>
    <w:rsid w:val="00A07923"/>
    <w:rsid w:val="00A1116B"/>
    <w:rsid w:val="00A11B7F"/>
    <w:rsid w:val="00A1578D"/>
    <w:rsid w:val="00A22FC9"/>
    <w:rsid w:val="00A25534"/>
    <w:rsid w:val="00A50FFD"/>
    <w:rsid w:val="00A51836"/>
    <w:rsid w:val="00A54BAB"/>
    <w:rsid w:val="00A6365F"/>
    <w:rsid w:val="00A90222"/>
    <w:rsid w:val="00AB300F"/>
    <w:rsid w:val="00AB31E8"/>
    <w:rsid w:val="00AB789D"/>
    <w:rsid w:val="00AC1196"/>
    <w:rsid w:val="00AC37B6"/>
    <w:rsid w:val="00AC6AF7"/>
    <w:rsid w:val="00AD0C35"/>
    <w:rsid w:val="00AE20F3"/>
    <w:rsid w:val="00AE2A1F"/>
    <w:rsid w:val="00AF037F"/>
    <w:rsid w:val="00AF194A"/>
    <w:rsid w:val="00B153D5"/>
    <w:rsid w:val="00B52F36"/>
    <w:rsid w:val="00B62D5D"/>
    <w:rsid w:val="00B87C39"/>
    <w:rsid w:val="00BA5509"/>
    <w:rsid w:val="00BC1C41"/>
    <w:rsid w:val="00BC4D5E"/>
    <w:rsid w:val="00BD29BB"/>
    <w:rsid w:val="00C009D5"/>
    <w:rsid w:val="00C0605D"/>
    <w:rsid w:val="00C2470C"/>
    <w:rsid w:val="00C24C6C"/>
    <w:rsid w:val="00C25344"/>
    <w:rsid w:val="00C36F18"/>
    <w:rsid w:val="00C4329B"/>
    <w:rsid w:val="00C53957"/>
    <w:rsid w:val="00C56D8C"/>
    <w:rsid w:val="00C56F60"/>
    <w:rsid w:val="00C628FE"/>
    <w:rsid w:val="00C6646A"/>
    <w:rsid w:val="00C66A66"/>
    <w:rsid w:val="00C81E02"/>
    <w:rsid w:val="00C84E44"/>
    <w:rsid w:val="00C86462"/>
    <w:rsid w:val="00C92BFB"/>
    <w:rsid w:val="00CA05BB"/>
    <w:rsid w:val="00CA3DD9"/>
    <w:rsid w:val="00CB62AC"/>
    <w:rsid w:val="00CB768B"/>
    <w:rsid w:val="00CC07A3"/>
    <w:rsid w:val="00CC1360"/>
    <w:rsid w:val="00CC4B24"/>
    <w:rsid w:val="00CE12BC"/>
    <w:rsid w:val="00CE1FF5"/>
    <w:rsid w:val="00CE2C6A"/>
    <w:rsid w:val="00CF6C61"/>
    <w:rsid w:val="00D026E2"/>
    <w:rsid w:val="00D44A5B"/>
    <w:rsid w:val="00D5385E"/>
    <w:rsid w:val="00D64B65"/>
    <w:rsid w:val="00D6603F"/>
    <w:rsid w:val="00D7336C"/>
    <w:rsid w:val="00D75E78"/>
    <w:rsid w:val="00D80C33"/>
    <w:rsid w:val="00D932BE"/>
    <w:rsid w:val="00D94177"/>
    <w:rsid w:val="00D94DE8"/>
    <w:rsid w:val="00DA7BC5"/>
    <w:rsid w:val="00DD4885"/>
    <w:rsid w:val="00DE1843"/>
    <w:rsid w:val="00DF25E9"/>
    <w:rsid w:val="00E00721"/>
    <w:rsid w:val="00E00783"/>
    <w:rsid w:val="00E00F7B"/>
    <w:rsid w:val="00E41690"/>
    <w:rsid w:val="00E435AC"/>
    <w:rsid w:val="00E43B61"/>
    <w:rsid w:val="00E517C8"/>
    <w:rsid w:val="00E62595"/>
    <w:rsid w:val="00EA27F0"/>
    <w:rsid w:val="00EC008C"/>
    <w:rsid w:val="00EC1DB7"/>
    <w:rsid w:val="00ED2691"/>
    <w:rsid w:val="00EE315A"/>
    <w:rsid w:val="00EF0291"/>
    <w:rsid w:val="00F267F7"/>
    <w:rsid w:val="00F364C8"/>
    <w:rsid w:val="00F4251E"/>
    <w:rsid w:val="00F46D6F"/>
    <w:rsid w:val="00F505A1"/>
    <w:rsid w:val="00F523DE"/>
    <w:rsid w:val="00F6120E"/>
    <w:rsid w:val="00F662AE"/>
    <w:rsid w:val="00F6765D"/>
    <w:rsid w:val="00F71ECC"/>
    <w:rsid w:val="00F770F6"/>
    <w:rsid w:val="00F77CE1"/>
    <w:rsid w:val="00F84D1F"/>
    <w:rsid w:val="00F94E4F"/>
    <w:rsid w:val="00FC5C98"/>
    <w:rsid w:val="00FF251B"/>
    <w:rsid w:val="00FF5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9CD4C9-832A-4DAC-A1A9-533C3394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5E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E27"/>
    <w:rPr>
      <w:rFonts w:ascii="Tahoma" w:hAnsi="Tahoma" w:cs="Tahoma"/>
      <w:sz w:val="16"/>
      <w:szCs w:val="16"/>
    </w:rPr>
  </w:style>
  <w:style w:type="paragraph" w:styleId="Encabezado">
    <w:name w:val="header"/>
    <w:basedOn w:val="Normal"/>
    <w:link w:val="EncabezadoCar"/>
    <w:uiPriority w:val="99"/>
    <w:unhideWhenUsed/>
    <w:rsid w:val="009E3A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A0E"/>
  </w:style>
  <w:style w:type="paragraph" w:styleId="Piedepgina">
    <w:name w:val="footer"/>
    <w:basedOn w:val="Normal"/>
    <w:link w:val="PiedepginaCar"/>
    <w:uiPriority w:val="99"/>
    <w:unhideWhenUsed/>
    <w:rsid w:val="009E3A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A0E"/>
  </w:style>
  <w:style w:type="paragraph" w:styleId="Prrafodelista">
    <w:name w:val="List Paragraph"/>
    <w:basedOn w:val="Normal"/>
    <w:link w:val="PrrafodelistaCar"/>
    <w:uiPriority w:val="34"/>
    <w:qFormat/>
    <w:rsid w:val="005477F4"/>
    <w:pPr>
      <w:ind w:left="720"/>
      <w:contextualSpacing/>
    </w:pPr>
    <w:rPr>
      <w:rFonts w:ascii="Calibri" w:eastAsia="Calibri" w:hAnsi="Calibri" w:cs="Times New Roman"/>
    </w:rPr>
  </w:style>
  <w:style w:type="character" w:customStyle="1" w:styleId="PrrafodelistaCar">
    <w:name w:val="Párrafo de lista Car"/>
    <w:link w:val="Prrafodelista"/>
    <w:uiPriority w:val="34"/>
    <w:locked/>
    <w:rsid w:val="005477F4"/>
    <w:rPr>
      <w:rFonts w:ascii="Calibri" w:eastAsia="Calibri" w:hAnsi="Calibri" w:cs="Times New Roman"/>
    </w:rPr>
  </w:style>
  <w:style w:type="character" w:customStyle="1" w:styleId="NormalWebCar">
    <w:name w:val="Normal (Web) Car"/>
    <w:link w:val="NormalWeb"/>
    <w:uiPriority w:val="99"/>
    <w:locked/>
    <w:rsid w:val="00962683"/>
    <w:rPr>
      <w:rFonts w:ascii="Times New Roman" w:hAnsi="Times New Roman" w:cs="Times New Roman"/>
      <w:sz w:val="24"/>
      <w:szCs w:val="24"/>
      <w:lang w:val="x-none" w:eastAsia="x-none"/>
    </w:rPr>
  </w:style>
  <w:style w:type="paragraph" w:styleId="NormalWeb">
    <w:name w:val="Normal (Web)"/>
    <w:basedOn w:val="Normal"/>
    <w:link w:val="NormalWebCar"/>
    <w:uiPriority w:val="99"/>
    <w:unhideWhenUsed/>
    <w:rsid w:val="00962683"/>
    <w:pPr>
      <w:spacing w:before="100" w:beforeAutospacing="1" w:after="100" w:afterAutospacing="1" w:line="240" w:lineRule="auto"/>
    </w:pPr>
    <w:rPr>
      <w:rFonts w:ascii="Times New Roman" w:hAnsi="Times New Roman" w:cs="Times New Roman"/>
      <w:sz w:val="24"/>
      <w:szCs w:val="24"/>
      <w:lang w:val="x-none" w:eastAsia="x-none"/>
    </w:rPr>
  </w:style>
  <w:style w:type="paragraph" w:styleId="Textoindependiente">
    <w:name w:val="Body Text"/>
    <w:basedOn w:val="Normal"/>
    <w:link w:val="TextoindependienteCar1"/>
    <w:uiPriority w:val="99"/>
    <w:unhideWhenUsed/>
    <w:rsid w:val="00826ADD"/>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uiPriority w:val="99"/>
    <w:semiHidden/>
    <w:rsid w:val="00826ADD"/>
  </w:style>
  <w:style w:type="character" w:customStyle="1" w:styleId="TextoindependienteCar1">
    <w:name w:val="Texto independiente Car1"/>
    <w:link w:val="Textoindependiente"/>
    <w:uiPriority w:val="99"/>
    <w:locked/>
    <w:rsid w:val="00826ADD"/>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6888">
      <w:bodyDiv w:val="1"/>
      <w:marLeft w:val="0"/>
      <w:marRight w:val="0"/>
      <w:marTop w:val="0"/>
      <w:marBottom w:val="0"/>
      <w:divBdr>
        <w:top w:val="none" w:sz="0" w:space="0" w:color="auto"/>
        <w:left w:val="none" w:sz="0" w:space="0" w:color="auto"/>
        <w:bottom w:val="none" w:sz="0" w:space="0" w:color="auto"/>
        <w:right w:val="none" w:sz="0" w:space="0" w:color="auto"/>
      </w:divBdr>
    </w:div>
    <w:div w:id="70279316">
      <w:bodyDiv w:val="1"/>
      <w:marLeft w:val="0"/>
      <w:marRight w:val="0"/>
      <w:marTop w:val="0"/>
      <w:marBottom w:val="0"/>
      <w:divBdr>
        <w:top w:val="none" w:sz="0" w:space="0" w:color="auto"/>
        <w:left w:val="none" w:sz="0" w:space="0" w:color="auto"/>
        <w:bottom w:val="none" w:sz="0" w:space="0" w:color="auto"/>
        <w:right w:val="none" w:sz="0" w:space="0" w:color="auto"/>
      </w:divBdr>
    </w:div>
    <w:div w:id="111442391">
      <w:bodyDiv w:val="1"/>
      <w:marLeft w:val="0"/>
      <w:marRight w:val="0"/>
      <w:marTop w:val="0"/>
      <w:marBottom w:val="0"/>
      <w:divBdr>
        <w:top w:val="none" w:sz="0" w:space="0" w:color="auto"/>
        <w:left w:val="none" w:sz="0" w:space="0" w:color="auto"/>
        <w:bottom w:val="none" w:sz="0" w:space="0" w:color="auto"/>
        <w:right w:val="none" w:sz="0" w:space="0" w:color="auto"/>
      </w:divBdr>
    </w:div>
    <w:div w:id="139150668">
      <w:bodyDiv w:val="1"/>
      <w:marLeft w:val="0"/>
      <w:marRight w:val="0"/>
      <w:marTop w:val="0"/>
      <w:marBottom w:val="0"/>
      <w:divBdr>
        <w:top w:val="none" w:sz="0" w:space="0" w:color="auto"/>
        <w:left w:val="none" w:sz="0" w:space="0" w:color="auto"/>
        <w:bottom w:val="none" w:sz="0" w:space="0" w:color="auto"/>
        <w:right w:val="none" w:sz="0" w:space="0" w:color="auto"/>
      </w:divBdr>
    </w:div>
    <w:div w:id="356850914">
      <w:bodyDiv w:val="1"/>
      <w:marLeft w:val="0"/>
      <w:marRight w:val="0"/>
      <w:marTop w:val="0"/>
      <w:marBottom w:val="0"/>
      <w:divBdr>
        <w:top w:val="none" w:sz="0" w:space="0" w:color="auto"/>
        <w:left w:val="none" w:sz="0" w:space="0" w:color="auto"/>
        <w:bottom w:val="none" w:sz="0" w:space="0" w:color="auto"/>
        <w:right w:val="none" w:sz="0" w:space="0" w:color="auto"/>
      </w:divBdr>
    </w:div>
    <w:div w:id="370231223">
      <w:bodyDiv w:val="1"/>
      <w:marLeft w:val="0"/>
      <w:marRight w:val="0"/>
      <w:marTop w:val="0"/>
      <w:marBottom w:val="0"/>
      <w:divBdr>
        <w:top w:val="none" w:sz="0" w:space="0" w:color="auto"/>
        <w:left w:val="none" w:sz="0" w:space="0" w:color="auto"/>
        <w:bottom w:val="none" w:sz="0" w:space="0" w:color="auto"/>
        <w:right w:val="none" w:sz="0" w:space="0" w:color="auto"/>
      </w:divBdr>
    </w:div>
    <w:div w:id="504708113">
      <w:bodyDiv w:val="1"/>
      <w:marLeft w:val="0"/>
      <w:marRight w:val="0"/>
      <w:marTop w:val="0"/>
      <w:marBottom w:val="0"/>
      <w:divBdr>
        <w:top w:val="none" w:sz="0" w:space="0" w:color="auto"/>
        <w:left w:val="none" w:sz="0" w:space="0" w:color="auto"/>
        <w:bottom w:val="none" w:sz="0" w:space="0" w:color="auto"/>
        <w:right w:val="none" w:sz="0" w:space="0" w:color="auto"/>
      </w:divBdr>
    </w:div>
    <w:div w:id="685061791">
      <w:bodyDiv w:val="1"/>
      <w:marLeft w:val="0"/>
      <w:marRight w:val="0"/>
      <w:marTop w:val="0"/>
      <w:marBottom w:val="0"/>
      <w:divBdr>
        <w:top w:val="none" w:sz="0" w:space="0" w:color="auto"/>
        <w:left w:val="none" w:sz="0" w:space="0" w:color="auto"/>
        <w:bottom w:val="none" w:sz="0" w:space="0" w:color="auto"/>
        <w:right w:val="none" w:sz="0" w:space="0" w:color="auto"/>
      </w:divBdr>
    </w:div>
    <w:div w:id="731002100">
      <w:bodyDiv w:val="1"/>
      <w:marLeft w:val="0"/>
      <w:marRight w:val="0"/>
      <w:marTop w:val="0"/>
      <w:marBottom w:val="0"/>
      <w:divBdr>
        <w:top w:val="none" w:sz="0" w:space="0" w:color="auto"/>
        <w:left w:val="none" w:sz="0" w:space="0" w:color="auto"/>
        <w:bottom w:val="none" w:sz="0" w:space="0" w:color="auto"/>
        <w:right w:val="none" w:sz="0" w:space="0" w:color="auto"/>
      </w:divBdr>
    </w:div>
    <w:div w:id="785271392">
      <w:bodyDiv w:val="1"/>
      <w:marLeft w:val="0"/>
      <w:marRight w:val="0"/>
      <w:marTop w:val="0"/>
      <w:marBottom w:val="0"/>
      <w:divBdr>
        <w:top w:val="none" w:sz="0" w:space="0" w:color="auto"/>
        <w:left w:val="none" w:sz="0" w:space="0" w:color="auto"/>
        <w:bottom w:val="none" w:sz="0" w:space="0" w:color="auto"/>
        <w:right w:val="none" w:sz="0" w:space="0" w:color="auto"/>
      </w:divBdr>
    </w:div>
    <w:div w:id="787898687">
      <w:bodyDiv w:val="1"/>
      <w:marLeft w:val="0"/>
      <w:marRight w:val="0"/>
      <w:marTop w:val="0"/>
      <w:marBottom w:val="0"/>
      <w:divBdr>
        <w:top w:val="none" w:sz="0" w:space="0" w:color="auto"/>
        <w:left w:val="none" w:sz="0" w:space="0" w:color="auto"/>
        <w:bottom w:val="none" w:sz="0" w:space="0" w:color="auto"/>
        <w:right w:val="none" w:sz="0" w:space="0" w:color="auto"/>
      </w:divBdr>
    </w:div>
    <w:div w:id="805006901">
      <w:bodyDiv w:val="1"/>
      <w:marLeft w:val="0"/>
      <w:marRight w:val="0"/>
      <w:marTop w:val="0"/>
      <w:marBottom w:val="0"/>
      <w:divBdr>
        <w:top w:val="none" w:sz="0" w:space="0" w:color="auto"/>
        <w:left w:val="none" w:sz="0" w:space="0" w:color="auto"/>
        <w:bottom w:val="none" w:sz="0" w:space="0" w:color="auto"/>
        <w:right w:val="none" w:sz="0" w:space="0" w:color="auto"/>
      </w:divBdr>
    </w:div>
    <w:div w:id="844898271">
      <w:bodyDiv w:val="1"/>
      <w:marLeft w:val="0"/>
      <w:marRight w:val="0"/>
      <w:marTop w:val="0"/>
      <w:marBottom w:val="0"/>
      <w:divBdr>
        <w:top w:val="none" w:sz="0" w:space="0" w:color="auto"/>
        <w:left w:val="none" w:sz="0" w:space="0" w:color="auto"/>
        <w:bottom w:val="none" w:sz="0" w:space="0" w:color="auto"/>
        <w:right w:val="none" w:sz="0" w:space="0" w:color="auto"/>
      </w:divBdr>
    </w:div>
    <w:div w:id="1030303762">
      <w:bodyDiv w:val="1"/>
      <w:marLeft w:val="0"/>
      <w:marRight w:val="0"/>
      <w:marTop w:val="0"/>
      <w:marBottom w:val="0"/>
      <w:divBdr>
        <w:top w:val="none" w:sz="0" w:space="0" w:color="auto"/>
        <w:left w:val="none" w:sz="0" w:space="0" w:color="auto"/>
        <w:bottom w:val="none" w:sz="0" w:space="0" w:color="auto"/>
        <w:right w:val="none" w:sz="0" w:space="0" w:color="auto"/>
      </w:divBdr>
    </w:div>
    <w:div w:id="1071583318">
      <w:bodyDiv w:val="1"/>
      <w:marLeft w:val="0"/>
      <w:marRight w:val="0"/>
      <w:marTop w:val="0"/>
      <w:marBottom w:val="0"/>
      <w:divBdr>
        <w:top w:val="none" w:sz="0" w:space="0" w:color="auto"/>
        <w:left w:val="none" w:sz="0" w:space="0" w:color="auto"/>
        <w:bottom w:val="none" w:sz="0" w:space="0" w:color="auto"/>
        <w:right w:val="none" w:sz="0" w:space="0" w:color="auto"/>
      </w:divBdr>
    </w:div>
    <w:div w:id="1151144181">
      <w:bodyDiv w:val="1"/>
      <w:marLeft w:val="0"/>
      <w:marRight w:val="0"/>
      <w:marTop w:val="0"/>
      <w:marBottom w:val="0"/>
      <w:divBdr>
        <w:top w:val="none" w:sz="0" w:space="0" w:color="auto"/>
        <w:left w:val="none" w:sz="0" w:space="0" w:color="auto"/>
        <w:bottom w:val="none" w:sz="0" w:space="0" w:color="auto"/>
        <w:right w:val="none" w:sz="0" w:space="0" w:color="auto"/>
      </w:divBdr>
    </w:div>
    <w:div w:id="1158880655">
      <w:bodyDiv w:val="1"/>
      <w:marLeft w:val="0"/>
      <w:marRight w:val="0"/>
      <w:marTop w:val="0"/>
      <w:marBottom w:val="0"/>
      <w:divBdr>
        <w:top w:val="none" w:sz="0" w:space="0" w:color="auto"/>
        <w:left w:val="none" w:sz="0" w:space="0" w:color="auto"/>
        <w:bottom w:val="none" w:sz="0" w:space="0" w:color="auto"/>
        <w:right w:val="none" w:sz="0" w:space="0" w:color="auto"/>
      </w:divBdr>
    </w:div>
    <w:div w:id="1159232060">
      <w:bodyDiv w:val="1"/>
      <w:marLeft w:val="0"/>
      <w:marRight w:val="0"/>
      <w:marTop w:val="0"/>
      <w:marBottom w:val="0"/>
      <w:divBdr>
        <w:top w:val="none" w:sz="0" w:space="0" w:color="auto"/>
        <w:left w:val="none" w:sz="0" w:space="0" w:color="auto"/>
        <w:bottom w:val="none" w:sz="0" w:space="0" w:color="auto"/>
        <w:right w:val="none" w:sz="0" w:space="0" w:color="auto"/>
      </w:divBdr>
    </w:div>
    <w:div w:id="1311400844">
      <w:bodyDiv w:val="1"/>
      <w:marLeft w:val="0"/>
      <w:marRight w:val="0"/>
      <w:marTop w:val="0"/>
      <w:marBottom w:val="0"/>
      <w:divBdr>
        <w:top w:val="none" w:sz="0" w:space="0" w:color="auto"/>
        <w:left w:val="none" w:sz="0" w:space="0" w:color="auto"/>
        <w:bottom w:val="none" w:sz="0" w:space="0" w:color="auto"/>
        <w:right w:val="none" w:sz="0" w:space="0" w:color="auto"/>
      </w:divBdr>
    </w:div>
    <w:div w:id="1312172926">
      <w:bodyDiv w:val="1"/>
      <w:marLeft w:val="0"/>
      <w:marRight w:val="0"/>
      <w:marTop w:val="0"/>
      <w:marBottom w:val="0"/>
      <w:divBdr>
        <w:top w:val="none" w:sz="0" w:space="0" w:color="auto"/>
        <w:left w:val="none" w:sz="0" w:space="0" w:color="auto"/>
        <w:bottom w:val="none" w:sz="0" w:space="0" w:color="auto"/>
        <w:right w:val="none" w:sz="0" w:space="0" w:color="auto"/>
      </w:divBdr>
    </w:div>
    <w:div w:id="1317764631">
      <w:bodyDiv w:val="1"/>
      <w:marLeft w:val="0"/>
      <w:marRight w:val="0"/>
      <w:marTop w:val="0"/>
      <w:marBottom w:val="0"/>
      <w:divBdr>
        <w:top w:val="none" w:sz="0" w:space="0" w:color="auto"/>
        <w:left w:val="none" w:sz="0" w:space="0" w:color="auto"/>
        <w:bottom w:val="none" w:sz="0" w:space="0" w:color="auto"/>
        <w:right w:val="none" w:sz="0" w:space="0" w:color="auto"/>
      </w:divBdr>
    </w:div>
    <w:div w:id="1394619171">
      <w:bodyDiv w:val="1"/>
      <w:marLeft w:val="0"/>
      <w:marRight w:val="0"/>
      <w:marTop w:val="0"/>
      <w:marBottom w:val="0"/>
      <w:divBdr>
        <w:top w:val="none" w:sz="0" w:space="0" w:color="auto"/>
        <w:left w:val="none" w:sz="0" w:space="0" w:color="auto"/>
        <w:bottom w:val="none" w:sz="0" w:space="0" w:color="auto"/>
        <w:right w:val="none" w:sz="0" w:space="0" w:color="auto"/>
      </w:divBdr>
    </w:div>
    <w:div w:id="1513451349">
      <w:bodyDiv w:val="1"/>
      <w:marLeft w:val="0"/>
      <w:marRight w:val="0"/>
      <w:marTop w:val="0"/>
      <w:marBottom w:val="0"/>
      <w:divBdr>
        <w:top w:val="none" w:sz="0" w:space="0" w:color="auto"/>
        <w:left w:val="none" w:sz="0" w:space="0" w:color="auto"/>
        <w:bottom w:val="none" w:sz="0" w:space="0" w:color="auto"/>
        <w:right w:val="none" w:sz="0" w:space="0" w:color="auto"/>
      </w:divBdr>
    </w:div>
    <w:div w:id="1540311954">
      <w:bodyDiv w:val="1"/>
      <w:marLeft w:val="0"/>
      <w:marRight w:val="0"/>
      <w:marTop w:val="0"/>
      <w:marBottom w:val="0"/>
      <w:divBdr>
        <w:top w:val="none" w:sz="0" w:space="0" w:color="auto"/>
        <w:left w:val="none" w:sz="0" w:space="0" w:color="auto"/>
        <w:bottom w:val="none" w:sz="0" w:space="0" w:color="auto"/>
        <w:right w:val="none" w:sz="0" w:space="0" w:color="auto"/>
      </w:divBdr>
    </w:div>
    <w:div w:id="1541279378">
      <w:bodyDiv w:val="1"/>
      <w:marLeft w:val="0"/>
      <w:marRight w:val="0"/>
      <w:marTop w:val="0"/>
      <w:marBottom w:val="0"/>
      <w:divBdr>
        <w:top w:val="none" w:sz="0" w:space="0" w:color="auto"/>
        <w:left w:val="none" w:sz="0" w:space="0" w:color="auto"/>
        <w:bottom w:val="none" w:sz="0" w:space="0" w:color="auto"/>
        <w:right w:val="none" w:sz="0" w:space="0" w:color="auto"/>
      </w:divBdr>
    </w:div>
    <w:div w:id="1546982497">
      <w:bodyDiv w:val="1"/>
      <w:marLeft w:val="0"/>
      <w:marRight w:val="0"/>
      <w:marTop w:val="0"/>
      <w:marBottom w:val="0"/>
      <w:divBdr>
        <w:top w:val="none" w:sz="0" w:space="0" w:color="auto"/>
        <w:left w:val="none" w:sz="0" w:space="0" w:color="auto"/>
        <w:bottom w:val="none" w:sz="0" w:space="0" w:color="auto"/>
        <w:right w:val="none" w:sz="0" w:space="0" w:color="auto"/>
      </w:divBdr>
    </w:div>
    <w:div w:id="1566837297">
      <w:bodyDiv w:val="1"/>
      <w:marLeft w:val="0"/>
      <w:marRight w:val="0"/>
      <w:marTop w:val="0"/>
      <w:marBottom w:val="0"/>
      <w:divBdr>
        <w:top w:val="none" w:sz="0" w:space="0" w:color="auto"/>
        <w:left w:val="none" w:sz="0" w:space="0" w:color="auto"/>
        <w:bottom w:val="none" w:sz="0" w:space="0" w:color="auto"/>
        <w:right w:val="none" w:sz="0" w:space="0" w:color="auto"/>
      </w:divBdr>
    </w:div>
    <w:div w:id="1658873778">
      <w:bodyDiv w:val="1"/>
      <w:marLeft w:val="0"/>
      <w:marRight w:val="0"/>
      <w:marTop w:val="0"/>
      <w:marBottom w:val="0"/>
      <w:divBdr>
        <w:top w:val="none" w:sz="0" w:space="0" w:color="auto"/>
        <w:left w:val="none" w:sz="0" w:space="0" w:color="auto"/>
        <w:bottom w:val="none" w:sz="0" w:space="0" w:color="auto"/>
        <w:right w:val="none" w:sz="0" w:space="0" w:color="auto"/>
      </w:divBdr>
    </w:div>
    <w:div w:id="1714302581">
      <w:bodyDiv w:val="1"/>
      <w:marLeft w:val="0"/>
      <w:marRight w:val="0"/>
      <w:marTop w:val="0"/>
      <w:marBottom w:val="0"/>
      <w:divBdr>
        <w:top w:val="none" w:sz="0" w:space="0" w:color="auto"/>
        <w:left w:val="none" w:sz="0" w:space="0" w:color="auto"/>
        <w:bottom w:val="none" w:sz="0" w:space="0" w:color="auto"/>
        <w:right w:val="none" w:sz="0" w:space="0" w:color="auto"/>
      </w:divBdr>
    </w:div>
    <w:div w:id="1749110168">
      <w:bodyDiv w:val="1"/>
      <w:marLeft w:val="0"/>
      <w:marRight w:val="0"/>
      <w:marTop w:val="0"/>
      <w:marBottom w:val="0"/>
      <w:divBdr>
        <w:top w:val="none" w:sz="0" w:space="0" w:color="auto"/>
        <w:left w:val="none" w:sz="0" w:space="0" w:color="auto"/>
        <w:bottom w:val="none" w:sz="0" w:space="0" w:color="auto"/>
        <w:right w:val="none" w:sz="0" w:space="0" w:color="auto"/>
      </w:divBdr>
    </w:div>
    <w:div w:id="1759013150">
      <w:bodyDiv w:val="1"/>
      <w:marLeft w:val="0"/>
      <w:marRight w:val="0"/>
      <w:marTop w:val="0"/>
      <w:marBottom w:val="0"/>
      <w:divBdr>
        <w:top w:val="none" w:sz="0" w:space="0" w:color="auto"/>
        <w:left w:val="none" w:sz="0" w:space="0" w:color="auto"/>
        <w:bottom w:val="none" w:sz="0" w:space="0" w:color="auto"/>
        <w:right w:val="none" w:sz="0" w:space="0" w:color="auto"/>
      </w:divBdr>
    </w:div>
    <w:div w:id="1776093956">
      <w:bodyDiv w:val="1"/>
      <w:marLeft w:val="0"/>
      <w:marRight w:val="0"/>
      <w:marTop w:val="0"/>
      <w:marBottom w:val="0"/>
      <w:divBdr>
        <w:top w:val="none" w:sz="0" w:space="0" w:color="auto"/>
        <w:left w:val="none" w:sz="0" w:space="0" w:color="auto"/>
        <w:bottom w:val="none" w:sz="0" w:space="0" w:color="auto"/>
        <w:right w:val="none" w:sz="0" w:space="0" w:color="auto"/>
      </w:divBdr>
    </w:div>
    <w:div w:id="1810439770">
      <w:bodyDiv w:val="1"/>
      <w:marLeft w:val="0"/>
      <w:marRight w:val="0"/>
      <w:marTop w:val="0"/>
      <w:marBottom w:val="0"/>
      <w:divBdr>
        <w:top w:val="none" w:sz="0" w:space="0" w:color="auto"/>
        <w:left w:val="none" w:sz="0" w:space="0" w:color="auto"/>
        <w:bottom w:val="none" w:sz="0" w:space="0" w:color="auto"/>
        <w:right w:val="none" w:sz="0" w:space="0" w:color="auto"/>
      </w:divBdr>
    </w:div>
    <w:div w:id="1821968570">
      <w:bodyDiv w:val="1"/>
      <w:marLeft w:val="0"/>
      <w:marRight w:val="0"/>
      <w:marTop w:val="0"/>
      <w:marBottom w:val="0"/>
      <w:divBdr>
        <w:top w:val="none" w:sz="0" w:space="0" w:color="auto"/>
        <w:left w:val="none" w:sz="0" w:space="0" w:color="auto"/>
        <w:bottom w:val="none" w:sz="0" w:space="0" w:color="auto"/>
        <w:right w:val="none" w:sz="0" w:space="0" w:color="auto"/>
      </w:divBdr>
    </w:div>
    <w:div w:id="1903445492">
      <w:bodyDiv w:val="1"/>
      <w:marLeft w:val="0"/>
      <w:marRight w:val="0"/>
      <w:marTop w:val="0"/>
      <w:marBottom w:val="0"/>
      <w:divBdr>
        <w:top w:val="none" w:sz="0" w:space="0" w:color="auto"/>
        <w:left w:val="none" w:sz="0" w:space="0" w:color="auto"/>
        <w:bottom w:val="none" w:sz="0" w:space="0" w:color="auto"/>
        <w:right w:val="none" w:sz="0" w:space="0" w:color="auto"/>
      </w:divBdr>
    </w:div>
    <w:div w:id="1905604664">
      <w:bodyDiv w:val="1"/>
      <w:marLeft w:val="0"/>
      <w:marRight w:val="0"/>
      <w:marTop w:val="0"/>
      <w:marBottom w:val="0"/>
      <w:divBdr>
        <w:top w:val="none" w:sz="0" w:space="0" w:color="auto"/>
        <w:left w:val="none" w:sz="0" w:space="0" w:color="auto"/>
        <w:bottom w:val="none" w:sz="0" w:space="0" w:color="auto"/>
        <w:right w:val="none" w:sz="0" w:space="0" w:color="auto"/>
      </w:divBdr>
    </w:div>
    <w:div w:id="1911311035">
      <w:bodyDiv w:val="1"/>
      <w:marLeft w:val="0"/>
      <w:marRight w:val="0"/>
      <w:marTop w:val="0"/>
      <w:marBottom w:val="0"/>
      <w:divBdr>
        <w:top w:val="none" w:sz="0" w:space="0" w:color="auto"/>
        <w:left w:val="none" w:sz="0" w:space="0" w:color="auto"/>
        <w:bottom w:val="none" w:sz="0" w:space="0" w:color="auto"/>
        <w:right w:val="none" w:sz="0" w:space="0" w:color="auto"/>
      </w:divBdr>
    </w:div>
    <w:div w:id="2012635809">
      <w:bodyDiv w:val="1"/>
      <w:marLeft w:val="0"/>
      <w:marRight w:val="0"/>
      <w:marTop w:val="0"/>
      <w:marBottom w:val="0"/>
      <w:divBdr>
        <w:top w:val="none" w:sz="0" w:space="0" w:color="auto"/>
        <w:left w:val="none" w:sz="0" w:space="0" w:color="auto"/>
        <w:bottom w:val="none" w:sz="0" w:space="0" w:color="auto"/>
        <w:right w:val="none" w:sz="0" w:space="0" w:color="auto"/>
      </w:divBdr>
    </w:div>
    <w:div w:id="2023513305">
      <w:bodyDiv w:val="1"/>
      <w:marLeft w:val="0"/>
      <w:marRight w:val="0"/>
      <w:marTop w:val="0"/>
      <w:marBottom w:val="0"/>
      <w:divBdr>
        <w:top w:val="none" w:sz="0" w:space="0" w:color="auto"/>
        <w:left w:val="none" w:sz="0" w:space="0" w:color="auto"/>
        <w:bottom w:val="none" w:sz="0" w:space="0" w:color="auto"/>
        <w:right w:val="none" w:sz="0" w:space="0" w:color="auto"/>
      </w:divBdr>
    </w:div>
    <w:div w:id="2038457336">
      <w:bodyDiv w:val="1"/>
      <w:marLeft w:val="0"/>
      <w:marRight w:val="0"/>
      <w:marTop w:val="0"/>
      <w:marBottom w:val="0"/>
      <w:divBdr>
        <w:top w:val="none" w:sz="0" w:space="0" w:color="auto"/>
        <w:left w:val="none" w:sz="0" w:space="0" w:color="auto"/>
        <w:bottom w:val="none" w:sz="0" w:space="0" w:color="auto"/>
        <w:right w:val="none" w:sz="0" w:space="0" w:color="auto"/>
      </w:divBdr>
    </w:div>
    <w:div w:id="20417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A23D-0958-4D09-BFF0-FF657502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1788</Words>
  <Characters>9835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Juarez Torres</dc:creator>
  <cp:lastModifiedBy>Gerardo Garcia Reyes</cp:lastModifiedBy>
  <cp:revision>24</cp:revision>
  <cp:lastPrinted>2021-04-24T21:11:00Z</cp:lastPrinted>
  <dcterms:created xsi:type="dcterms:W3CDTF">2021-02-02T17:36:00Z</dcterms:created>
  <dcterms:modified xsi:type="dcterms:W3CDTF">2025-03-21T20:30:00Z</dcterms:modified>
</cp:coreProperties>
</file>