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30849607"/>
    <w:bookmarkStart w:id="1" w:name="_GoBack"/>
    <w:bookmarkEnd w:id="1"/>
    <w:p w14:paraId="018CDDBB" w14:textId="6E5685E3" w:rsidR="00D22F0D" w:rsidRPr="00D22F0D" w:rsidRDefault="00D25BBE" w:rsidP="00D22F0D">
      <w:pPr>
        <w:pStyle w:val="Sinespaciado"/>
        <w:spacing w:before="240" w:after="240" w:line="276" w:lineRule="auto"/>
        <w:jc w:val="right"/>
        <w:outlineLvl w:val="0"/>
        <w:rPr>
          <w:rFonts w:asciiTheme="majorHAnsi" w:eastAsia="Meiryo UI" w:hAnsiTheme="majorHAnsi" w:cstheme="majorHAnsi"/>
          <w:b/>
          <w:sz w:val="24"/>
          <w:szCs w:val="24"/>
        </w:rPr>
      </w:pPr>
      <w:r w:rsidRPr="00D25BBE">
        <w:rPr>
          <w:rFonts w:asciiTheme="majorHAnsi" w:eastAsia="Meiryo UI" w:hAnsiTheme="majorHAnsi" w:cstheme="majorHAnsi"/>
          <w:b/>
          <w:noProof/>
          <w:sz w:val="24"/>
          <w:szCs w:val="24"/>
          <w:lang w:val="es-ES" w:eastAsia="es-ES" w:bidi="ar-SA"/>
        </w:rPr>
        <mc:AlternateContent>
          <mc:Choice Requires="wps">
            <w:drawing>
              <wp:anchor distT="0" distB="0" distL="114300" distR="114300" simplePos="0" relativeHeight="251663360" behindDoc="0" locked="0" layoutInCell="1" allowOverlap="1" wp14:anchorId="085B3C58" wp14:editId="1ADB3D99">
                <wp:simplePos x="0" y="0"/>
                <wp:positionH relativeFrom="column">
                  <wp:posOffset>72390</wp:posOffset>
                </wp:positionH>
                <wp:positionV relativeFrom="paragraph">
                  <wp:posOffset>24130</wp:posOffset>
                </wp:positionV>
                <wp:extent cx="1838325" cy="34861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48615"/>
                        </a:xfrm>
                        <a:prstGeom prst="rect">
                          <a:avLst/>
                        </a:prstGeom>
                        <a:noFill/>
                        <a:ln w="9525">
                          <a:noFill/>
                          <a:miter lim="800000"/>
                          <a:headEnd/>
                          <a:tailEnd/>
                        </a:ln>
                      </wps:spPr>
                      <wps:txbx>
                        <w:txbxContent>
                          <w:p w14:paraId="5E3C435E" w14:textId="250EE9DB" w:rsidR="000B4DAA" w:rsidRPr="00D25BBE" w:rsidRDefault="000B4DAA" w:rsidP="00D25BBE">
                            <w:pPr>
                              <w:jc w:val="center"/>
                              <w:rPr>
                                <w:rFonts w:asciiTheme="majorHAnsi" w:hAnsiTheme="majorHAnsi"/>
                                <w:i/>
                                <w:sz w:val="16"/>
                              </w:rPr>
                            </w:pPr>
                            <w:r w:rsidRPr="00D25BBE">
                              <w:rPr>
                                <w:rFonts w:asciiTheme="majorHAnsi" w:hAnsiTheme="majorHAnsi"/>
                                <w:i/>
                                <w:sz w:val="16"/>
                              </w:rPr>
                              <w:t>“2018, Año del V Centenario del Encuentro de Dos Mundos en Tabasco”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7pt;margin-top:1.9pt;width:144.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" filled="f" stroked="f">
                <v:textbox style="mso-fit-shape-to-text:t">
                  <w:txbxContent>
                    <w:p w14:paraId="5E3C435E" w14:textId="250EE9DB" w:rsidR="00E61371" w:rsidRPr="00D25BBE" w:rsidRDefault="00E61371" w:rsidP="00D25BBE">
                      <w:pPr>
                        <w:jc w:val="center"/>
                        <w:rPr>
                          <w:rFonts w:asciiTheme="majorHAnsi" w:hAnsiTheme="majorHAnsi"/>
                          <w:i/>
                          <w:sz w:val="16"/>
                        </w:rPr>
                      </w:pPr>
                      <w:r w:rsidRPr="00D25BBE">
                        <w:rPr>
                          <w:rFonts w:asciiTheme="majorHAnsi" w:hAnsiTheme="majorHAnsi"/>
                          <w:i/>
                          <w:sz w:val="16"/>
                        </w:rPr>
                        <w:t>“2018, Año del V Centenario del Encuentro de Dos Mundos en Tabasco”</w:t>
                      </w:r>
                    </w:p>
                  </w:txbxContent>
                </v:textbox>
              </v:shape>
            </w:pict>
          </mc:Fallback>
        </mc:AlternateContent>
      </w:r>
      <w:r w:rsidR="00D22F0D" w:rsidRPr="00D22F0D">
        <w:rPr>
          <w:rFonts w:asciiTheme="majorHAnsi" w:eastAsia="Meiryo UI" w:hAnsiTheme="majorHAnsi" w:cstheme="majorHAnsi"/>
          <w:b/>
          <w:sz w:val="24"/>
          <w:szCs w:val="24"/>
        </w:rPr>
        <w:t>Villahermosa, Tabasco a noviembre 30 de 2018</w:t>
      </w:r>
    </w:p>
    <w:p w14:paraId="1422F0CE" w14:textId="77777777" w:rsidR="00D22F0D" w:rsidRPr="00D22F0D" w:rsidRDefault="00D22F0D" w:rsidP="00D22F0D">
      <w:pPr>
        <w:pStyle w:val="Sinespaciado"/>
        <w:spacing w:line="276" w:lineRule="auto"/>
        <w:jc w:val="both"/>
        <w:outlineLvl w:val="0"/>
        <w:rPr>
          <w:rFonts w:asciiTheme="majorHAnsi" w:eastAsia="Meiryo UI" w:hAnsiTheme="majorHAnsi" w:cstheme="majorHAnsi"/>
          <w:b/>
          <w:sz w:val="24"/>
          <w:szCs w:val="24"/>
        </w:rPr>
      </w:pPr>
      <w:r w:rsidRPr="00D22F0D">
        <w:rPr>
          <w:rFonts w:asciiTheme="majorHAnsi" w:eastAsia="Meiryo UI" w:hAnsiTheme="majorHAnsi" w:cstheme="majorHAnsi"/>
          <w:b/>
          <w:sz w:val="24"/>
          <w:szCs w:val="24"/>
        </w:rPr>
        <w:t>DIP. TOMÁS BRITO LARA</w:t>
      </w:r>
    </w:p>
    <w:p w14:paraId="1B7CC636" w14:textId="77777777" w:rsidR="00D22F0D" w:rsidRPr="00D22F0D" w:rsidRDefault="00D22F0D" w:rsidP="00D22F0D">
      <w:pPr>
        <w:pStyle w:val="Sinespaciado"/>
        <w:spacing w:line="276" w:lineRule="auto"/>
        <w:jc w:val="both"/>
        <w:outlineLvl w:val="0"/>
        <w:rPr>
          <w:rFonts w:asciiTheme="majorHAnsi" w:eastAsia="Meiryo UI" w:hAnsiTheme="majorHAnsi" w:cstheme="majorHAnsi"/>
          <w:b/>
          <w:sz w:val="24"/>
          <w:szCs w:val="24"/>
        </w:rPr>
      </w:pPr>
      <w:r w:rsidRPr="00D22F0D">
        <w:rPr>
          <w:rFonts w:asciiTheme="majorHAnsi" w:eastAsia="Meiryo UI" w:hAnsiTheme="majorHAnsi" w:cstheme="majorHAnsi"/>
          <w:b/>
          <w:sz w:val="24"/>
          <w:szCs w:val="24"/>
        </w:rPr>
        <w:t>PRESIDENTE DE LA MESA DIRECTIVA DEL</w:t>
      </w:r>
    </w:p>
    <w:p w14:paraId="1CCCCD83" w14:textId="77777777" w:rsidR="00D22F0D" w:rsidRPr="00D22F0D" w:rsidRDefault="00D22F0D" w:rsidP="00D22F0D">
      <w:pPr>
        <w:pStyle w:val="Sinespaciado"/>
        <w:spacing w:line="276" w:lineRule="auto"/>
        <w:jc w:val="both"/>
        <w:outlineLvl w:val="0"/>
        <w:rPr>
          <w:rFonts w:asciiTheme="majorHAnsi" w:eastAsia="Meiryo UI" w:hAnsiTheme="majorHAnsi" w:cstheme="majorHAnsi"/>
          <w:b/>
          <w:sz w:val="24"/>
          <w:szCs w:val="24"/>
        </w:rPr>
      </w:pPr>
      <w:r w:rsidRPr="00D22F0D">
        <w:rPr>
          <w:rFonts w:asciiTheme="majorHAnsi" w:eastAsia="Meiryo UI" w:hAnsiTheme="majorHAnsi" w:cstheme="majorHAnsi"/>
          <w:b/>
          <w:sz w:val="24"/>
          <w:szCs w:val="24"/>
        </w:rPr>
        <w:t>H. CONGRESO DEL ESTADO DE TABASCO</w:t>
      </w:r>
    </w:p>
    <w:p w14:paraId="77F4EC25" w14:textId="77777777" w:rsidR="00D22F0D" w:rsidRPr="00D22F0D" w:rsidRDefault="00D22F0D" w:rsidP="00D22F0D">
      <w:pPr>
        <w:pStyle w:val="Sinespaciado"/>
        <w:spacing w:line="276" w:lineRule="auto"/>
        <w:jc w:val="both"/>
        <w:outlineLvl w:val="0"/>
        <w:rPr>
          <w:rFonts w:asciiTheme="majorHAnsi" w:eastAsia="Meiryo UI" w:hAnsiTheme="majorHAnsi" w:cstheme="majorHAnsi"/>
          <w:b/>
          <w:sz w:val="24"/>
          <w:szCs w:val="24"/>
        </w:rPr>
      </w:pPr>
      <w:r w:rsidRPr="00D22F0D">
        <w:rPr>
          <w:rFonts w:asciiTheme="majorHAnsi" w:eastAsia="Meiryo UI" w:hAnsiTheme="majorHAnsi" w:cstheme="majorHAnsi"/>
          <w:b/>
          <w:sz w:val="24"/>
          <w:szCs w:val="24"/>
        </w:rPr>
        <w:t>PRESENTE</w:t>
      </w:r>
    </w:p>
    <w:p w14:paraId="0A144FED" w14:textId="77777777" w:rsidR="00D22F0D" w:rsidRPr="00D22F0D" w:rsidRDefault="00D22F0D" w:rsidP="00D22F0D">
      <w:pPr>
        <w:pStyle w:val="Sinespaciado"/>
        <w:spacing w:line="276" w:lineRule="auto"/>
        <w:jc w:val="both"/>
        <w:rPr>
          <w:rFonts w:asciiTheme="majorHAnsi" w:eastAsia="Meiryo UI" w:hAnsiTheme="majorHAnsi" w:cstheme="majorHAnsi"/>
          <w:color w:val="000000"/>
          <w:sz w:val="24"/>
          <w:szCs w:val="24"/>
          <w:shd w:val="clear" w:color="auto" w:fill="FFFFFF"/>
        </w:rPr>
      </w:pPr>
    </w:p>
    <w:p w14:paraId="484AF85C" w14:textId="4F0BA8E9" w:rsidR="00D22F0D" w:rsidRPr="00D22F0D" w:rsidRDefault="00D22F0D" w:rsidP="00D22F0D">
      <w:pPr>
        <w:pStyle w:val="Sinespaciado"/>
        <w:spacing w:line="276" w:lineRule="auto"/>
        <w:jc w:val="both"/>
        <w:rPr>
          <w:rFonts w:asciiTheme="majorHAnsi" w:eastAsia="Meiryo UI" w:hAnsiTheme="majorHAnsi" w:cstheme="majorHAnsi"/>
          <w:sz w:val="24"/>
          <w:szCs w:val="24"/>
        </w:rPr>
      </w:pPr>
      <w:r w:rsidRPr="00D22F0D">
        <w:rPr>
          <w:rFonts w:asciiTheme="majorHAnsi" w:eastAsia="Meiryo UI" w:hAnsiTheme="majorHAnsi" w:cstheme="majorHAnsi"/>
          <w:color w:val="000000"/>
          <w:sz w:val="24"/>
          <w:szCs w:val="24"/>
          <w:shd w:val="clear" w:color="auto" w:fill="FFFFFF"/>
        </w:rPr>
        <w:t xml:space="preserve">En mi condición de </w:t>
      </w:r>
      <w:r w:rsidRPr="00D22F0D">
        <w:rPr>
          <w:rFonts w:asciiTheme="majorHAnsi" w:eastAsia="Meiryo UI" w:hAnsiTheme="majorHAnsi" w:cstheme="majorHAnsi"/>
          <w:sz w:val="24"/>
          <w:szCs w:val="24"/>
        </w:rPr>
        <w:t xml:space="preserve">Gobernador del Estado de Tabasco y en ejercicio de la facultad que me confiere el artículo 33 fracción I de la Constitución Política del Estado Libre y Soberano de Tabasco, someto a la soberanía de ese Honorable Congreso, la presente iniciativa con proyecto de Decreto por el que se expide la </w:t>
      </w:r>
      <w:r w:rsidRPr="00D22F0D">
        <w:rPr>
          <w:rFonts w:asciiTheme="majorHAnsi" w:eastAsia="Meiryo UI" w:hAnsiTheme="majorHAnsi" w:cstheme="majorHAnsi"/>
          <w:b/>
          <w:sz w:val="24"/>
          <w:szCs w:val="24"/>
        </w:rPr>
        <w:t>Ley de Ingresos del Estado de Tabasco para el Ejercicio Fiscal 2019</w:t>
      </w:r>
      <w:r w:rsidR="00F971BF">
        <w:rPr>
          <w:rFonts w:asciiTheme="majorHAnsi" w:eastAsia="Meiryo UI" w:hAnsiTheme="majorHAnsi" w:cstheme="majorHAnsi"/>
          <w:sz w:val="24"/>
          <w:szCs w:val="24"/>
        </w:rPr>
        <w:t>,</w:t>
      </w:r>
      <w:r w:rsidR="00150E5A">
        <w:rPr>
          <w:rFonts w:asciiTheme="majorHAnsi" w:eastAsia="Meiryo UI" w:hAnsiTheme="majorHAnsi" w:cstheme="majorHAnsi"/>
          <w:sz w:val="24"/>
          <w:szCs w:val="24"/>
        </w:rPr>
        <w:t xml:space="preserve"> se reforma</w:t>
      </w:r>
      <w:r w:rsidRPr="00D22F0D">
        <w:rPr>
          <w:rFonts w:asciiTheme="majorHAnsi" w:eastAsia="Meiryo UI" w:hAnsiTheme="majorHAnsi" w:cstheme="majorHAnsi"/>
          <w:sz w:val="24"/>
          <w:szCs w:val="24"/>
        </w:rPr>
        <w:t xml:space="preserve"> </w:t>
      </w:r>
      <w:r w:rsidR="00150E5A">
        <w:rPr>
          <w:rFonts w:asciiTheme="majorHAnsi" w:eastAsia="Meiryo UI" w:hAnsiTheme="majorHAnsi" w:cstheme="majorHAnsi"/>
          <w:sz w:val="24"/>
          <w:szCs w:val="24"/>
        </w:rPr>
        <w:t>el artículo 38 Bis</w:t>
      </w:r>
      <w:r w:rsidRPr="00D22F0D">
        <w:rPr>
          <w:rFonts w:asciiTheme="majorHAnsi" w:eastAsia="Meiryo UI" w:hAnsiTheme="majorHAnsi" w:cstheme="majorHAnsi"/>
          <w:sz w:val="24"/>
          <w:szCs w:val="24"/>
        </w:rPr>
        <w:t xml:space="preserve"> de la </w:t>
      </w:r>
      <w:r w:rsidRPr="00D22F0D">
        <w:rPr>
          <w:rFonts w:asciiTheme="majorHAnsi" w:eastAsia="Meiryo UI" w:hAnsiTheme="majorHAnsi" w:cstheme="majorHAnsi"/>
          <w:b/>
          <w:sz w:val="24"/>
          <w:szCs w:val="24"/>
        </w:rPr>
        <w:t xml:space="preserve">Ley de </w:t>
      </w:r>
      <w:r w:rsidR="00C23384">
        <w:rPr>
          <w:rFonts w:asciiTheme="majorHAnsi" w:eastAsia="Meiryo UI" w:hAnsiTheme="majorHAnsi" w:cstheme="majorHAnsi"/>
          <w:b/>
          <w:sz w:val="24"/>
          <w:szCs w:val="24"/>
        </w:rPr>
        <w:t>Coordinación Fiscal y Financiera del Estado de Tabasco</w:t>
      </w:r>
      <w:r w:rsidR="003020CD">
        <w:rPr>
          <w:rFonts w:asciiTheme="majorHAnsi" w:eastAsia="Meiryo UI" w:hAnsiTheme="majorHAnsi" w:cstheme="majorHAnsi"/>
          <w:b/>
          <w:sz w:val="24"/>
          <w:szCs w:val="24"/>
        </w:rPr>
        <w:t xml:space="preserve">, </w:t>
      </w:r>
      <w:r w:rsidR="003020CD" w:rsidRPr="003020CD">
        <w:rPr>
          <w:rFonts w:asciiTheme="majorHAnsi" w:eastAsia="Meiryo UI" w:hAnsiTheme="majorHAnsi" w:cstheme="majorHAnsi"/>
          <w:sz w:val="24"/>
          <w:szCs w:val="24"/>
        </w:rPr>
        <w:t>así como</w:t>
      </w:r>
      <w:r w:rsidR="003020CD">
        <w:rPr>
          <w:rFonts w:asciiTheme="majorHAnsi" w:eastAsia="Meiryo UI" w:hAnsiTheme="majorHAnsi" w:cstheme="majorHAnsi"/>
          <w:b/>
          <w:sz w:val="24"/>
          <w:szCs w:val="24"/>
        </w:rPr>
        <w:t xml:space="preserve"> </w:t>
      </w:r>
      <w:r w:rsidR="003020CD">
        <w:rPr>
          <w:rFonts w:asciiTheme="majorHAnsi" w:eastAsia="Meiryo UI" w:hAnsiTheme="majorHAnsi" w:cstheme="majorHAnsi"/>
          <w:sz w:val="24"/>
          <w:szCs w:val="24"/>
        </w:rPr>
        <w:t xml:space="preserve">se reforman, adicionan y derogan diversas disposiciones </w:t>
      </w:r>
      <w:r w:rsidR="007B0DA8">
        <w:rPr>
          <w:rFonts w:asciiTheme="majorHAnsi" w:eastAsia="Meiryo UI" w:hAnsiTheme="majorHAnsi" w:cstheme="majorHAnsi"/>
          <w:sz w:val="24"/>
          <w:szCs w:val="24"/>
        </w:rPr>
        <w:t xml:space="preserve">de la </w:t>
      </w:r>
      <w:r w:rsidR="007B0DA8" w:rsidRPr="007B0DA8">
        <w:rPr>
          <w:rFonts w:asciiTheme="majorHAnsi" w:eastAsia="Meiryo UI" w:hAnsiTheme="majorHAnsi" w:cstheme="majorHAnsi"/>
          <w:b/>
          <w:sz w:val="24"/>
          <w:szCs w:val="24"/>
        </w:rPr>
        <w:t>Ley de Hacienda del Estado de Tabasco</w:t>
      </w:r>
      <w:r w:rsidRPr="00D22F0D">
        <w:rPr>
          <w:rFonts w:asciiTheme="majorHAnsi" w:eastAsia="Meiryo UI" w:hAnsiTheme="majorHAnsi" w:cstheme="majorHAnsi"/>
          <w:sz w:val="24"/>
          <w:szCs w:val="24"/>
        </w:rPr>
        <w:t xml:space="preserve"> al tenor de los siguientes:</w:t>
      </w:r>
    </w:p>
    <w:p w14:paraId="12DF2585" w14:textId="5A570FBD" w:rsidR="00D22F0D" w:rsidRPr="00830A41" w:rsidRDefault="00D22F0D" w:rsidP="00856B5E">
      <w:pPr>
        <w:spacing w:line="360" w:lineRule="auto"/>
        <w:rPr>
          <w:rFonts w:asciiTheme="majorHAnsi" w:hAnsiTheme="majorHAnsi" w:cstheme="majorHAnsi"/>
          <w:szCs w:val="24"/>
        </w:rPr>
      </w:pPr>
    </w:p>
    <w:p w14:paraId="5903ADBC" w14:textId="5E601928" w:rsidR="00D22F0D" w:rsidRDefault="00D22F0D" w:rsidP="00D22F0D">
      <w:pPr>
        <w:spacing w:line="360" w:lineRule="auto"/>
        <w:jc w:val="center"/>
        <w:rPr>
          <w:rFonts w:asciiTheme="majorHAnsi" w:hAnsiTheme="majorHAnsi" w:cstheme="majorHAnsi"/>
          <w:b/>
          <w:szCs w:val="24"/>
        </w:rPr>
      </w:pPr>
      <w:r w:rsidRPr="00830A41">
        <w:rPr>
          <w:rFonts w:asciiTheme="majorHAnsi" w:hAnsiTheme="majorHAnsi" w:cstheme="majorHAnsi"/>
          <w:b/>
          <w:szCs w:val="24"/>
        </w:rPr>
        <w:t>CONSIDERANDOS</w:t>
      </w:r>
    </w:p>
    <w:p w14:paraId="27B1FB3C" w14:textId="77777777" w:rsidR="00CE17B0" w:rsidRPr="00830A41" w:rsidRDefault="00CE17B0" w:rsidP="00D22F0D">
      <w:pPr>
        <w:spacing w:line="360" w:lineRule="auto"/>
        <w:jc w:val="center"/>
        <w:rPr>
          <w:rFonts w:asciiTheme="majorHAnsi" w:hAnsiTheme="majorHAnsi" w:cstheme="majorHAnsi"/>
          <w:b/>
          <w:szCs w:val="24"/>
        </w:rPr>
      </w:pPr>
    </w:p>
    <w:p w14:paraId="16C9E5C2" w14:textId="212B973E" w:rsidR="00D22F0D" w:rsidRPr="00ED1CD0" w:rsidRDefault="00C23384" w:rsidP="00ED1CD0">
      <w:pPr>
        <w:spacing w:line="360" w:lineRule="auto"/>
        <w:rPr>
          <w:rFonts w:asciiTheme="majorHAnsi" w:hAnsiTheme="majorHAnsi" w:cstheme="majorHAnsi"/>
          <w:szCs w:val="24"/>
        </w:rPr>
      </w:pPr>
      <w:r>
        <w:rPr>
          <w:rFonts w:asciiTheme="majorHAnsi" w:hAnsiTheme="majorHAnsi" w:cstheme="majorHAnsi"/>
          <w:b/>
          <w:szCs w:val="24"/>
        </w:rPr>
        <w:t>PRIMERO.</w:t>
      </w:r>
      <w:r w:rsidR="00F233F8" w:rsidRPr="00F233F8">
        <w:t xml:space="preserve"> </w:t>
      </w:r>
      <w:r w:rsidR="00F233F8" w:rsidRPr="00F233F8">
        <w:rPr>
          <w:rFonts w:asciiTheme="majorHAnsi" w:hAnsiTheme="majorHAnsi" w:cstheme="majorHAnsi"/>
          <w:szCs w:val="24"/>
        </w:rPr>
        <w:t xml:space="preserve">Que para cumplir con las disposiciones </w:t>
      </w:r>
      <w:r w:rsidR="00683E55">
        <w:rPr>
          <w:rFonts w:asciiTheme="majorHAnsi" w:hAnsiTheme="majorHAnsi" w:cstheme="majorHAnsi"/>
          <w:szCs w:val="24"/>
        </w:rPr>
        <w:t xml:space="preserve">establecidas en el artículo 57 </w:t>
      </w:r>
      <w:r w:rsidR="00F233F8" w:rsidRPr="00F233F8">
        <w:rPr>
          <w:rFonts w:asciiTheme="majorHAnsi" w:hAnsiTheme="majorHAnsi" w:cstheme="majorHAnsi"/>
          <w:szCs w:val="24"/>
        </w:rPr>
        <w:t xml:space="preserve">de la </w:t>
      </w:r>
      <w:r w:rsidR="00407A69" w:rsidRPr="00407A69">
        <w:rPr>
          <w:rFonts w:asciiTheme="majorHAnsi" w:hAnsiTheme="majorHAnsi" w:cstheme="majorHAnsi"/>
          <w:szCs w:val="24"/>
        </w:rPr>
        <w:t>Ley de Ingresos sobre Hidrocarburos</w:t>
      </w:r>
      <w:r w:rsidR="00F233F8" w:rsidRPr="00F233F8">
        <w:rPr>
          <w:rFonts w:asciiTheme="majorHAnsi" w:hAnsiTheme="majorHAnsi" w:cstheme="majorHAnsi"/>
          <w:szCs w:val="24"/>
        </w:rPr>
        <w:t xml:space="preserve">, </w:t>
      </w:r>
      <w:r w:rsidR="00ED1CD0">
        <w:rPr>
          <w:rFonts w:asciiTheme="majorHAnsi" w:hAnsiTheme="majorHAnsi" w:cstheme="majorHAnsi"/>
          <w:szCs w:val="24"/>
        </w:rPr>
        <w:t xml:space="preserve">así como </w:t>
      </w:r>
      <w:r w:rsidR="00695B4F">
        <w:rPr>
          <w:rFonts w:asciiTheme="majorHAnsi" w:hAnsiTheme="majorHAnsi" w:cstheme="majorHAnsi"/>
          <w:szCs w:val="24"/>
        </w:rPr>
        <w:t>de</w:t>
      </w:r>
      <w:r w:rsidR="00ED1CD0">
        <w:rPr>
          <w:rFonts w:asciiTheme="majorHAnsi" w:hAnsiTheme="majorHAnsi" w:cstheme="majorHAnsi"/>
          <w:szCs w:val="24"/>
        </w:rPr>
        <w:t>l “</w:t>
      </w:r>
      <w:r w:rsidR="00ED1CD0" w:rsidRPr="00ED1CD0">
        <w:rPr>
          <w:rFonts w:asciiTheme="majorHAnsi" w:hAnsiTheme="majorHAnsi" w:cstheme="majorHAnsi"/>
          <w:szCs w:val="24"/>
        </w:rPr>
        <w:t>Acuerdo por el que se emiten las Reglas de Operación para la distribución y aplicación de los</w:t>
      </w:r>
      <w:r w:rsidR="00ED1CD0">
        <w:rPr>
          <w:rFonts w:asciiTheme="majorHAnsi" w:hAnsiTheme="majorHAnsi" w:cstheme="majorHAnsi"/>
          <w:szCs w:val="24"/>
        </w:rPr>
        <w:t xml:space="preserve"> </w:t>
      </w:r>
      <w:r w:rsidR="00ED1CD0" w:rsidRPr="00ED1CD0">
        <w:rPr>
          <w:rFonts w:asciiTheme="majorHAnsi" w:hAnsiTheme="majorHAnsi" w:cstheme="majorHAnsi"/>
          <w:szCs w:val="24"/>
        </w:rPr>
        <w:t>recursos del Fondo para Entidades Federativas y Municipios Productores de Hidrocarburos</w:t>
      </w:r>
      <w:r w:rsidR="00ED1CD0">
        <w:rPr>
          <w:rFonts w:asciiTheme="majorHAnsi" w:hAnsiTheme="majorHAnsi" w:cstheme="majorHAnsi"/>
          <w:szCs w:val="24"/>
        </w:rPr>
        <w:t xml:space="preserve">”, </w:t>
      </w:r>
      <w:r w:rsidR="00F233F8" w:rsidRPr="00F233F8">
        <w:rPr>
          <w:rFonts w:asciiTheme="majorHAnsi" w:hAnsiTheme="majorHAnsi" w:cstheme="majorHAnsi"/>
          <w:szCs w:val="24"/>
        </w:rPr>
        <w:t>se adiciona a la Ley de Coordinación Fiscal y Financiera del Estado de Tabasco</w:t>
      </w:r>
      <w:r w:rsidR="00407A69">
        <w:rPr>
          <w:rFonts w:asciiTheme="majorHAnsi" w:hAnsiTheme="majorHAnsi" w:cstheme="majorHAnsi"/>
          <w:szCs w:val="24"/>
        </w:rPr>
        <w:t>,</w:t>
      </w:r>
      <w:r w:rsidR="00F233F8" w:rsidRPr="00F233F8">
        <w:rPr>
          <w:rFonts w:asciiTheme="majorHAnsi" w:hAnsiTheme="majorHAnsi" w:cstheme="majorHAnsi"/>
          <w:szCs w:val="24"/>
        </w:rPr>
        <w:t xml:space="preserve"> l</w:t>
      </w:r>
      <w:r w:rsidR="00407A69">
        <w:rPr>
          <w:rFonts w:asciiTheme="majorHAnsi" w:hAnsiTheme="majorHAnsi" w:cstheme="majorHAnsi"/>
          <w:szCs w:val="24"/>
        </w:rPr>
        <w:t>a fórmula para</w:t>
      </w:r>
      <w:r w:rsidR="00F233F8" w:rsidRPr="00F233F8">
        <w:rPr>
          <w:rFonts w:asciiTheme="majorHAnsi" w:hAnsiTheme="majorHAnsi" w:cstheme="majorHAnsi"/>
          <w:szCs w:val="24"/>
        </w:rPr>
        <w:t xml:space="preserve"> </w:t>
      </w:r>
      <w:r w:rsidR="00407A69" w:rsidRPr="00407A69">
        <w:rPr>
          <w:rFonts w:asciiTheme="majorHAnsi" w:hAnsiTheme="majorHAnsi" w:cstheme="majorHAnsi"/>
          <w:szCs w:val="24"/>
        </w:rPr>
        <w:t xml:space="preserve">la distribución de los recursos del Fondo para Entidades Federativas y Municipios Productores de Hidrocarburos </w:t>
      </w:r>
      <w:r w:rsidR="005B16B1">
        <w:rPr>
          <w:rFonts w:asciiTheme="majorHAnsi" w:hAnsiTheme="majorHAnsi" w:cstheme="majorHAnsi"/>
          <w:szCs w:val="24"/>
        </w:rPr>
        <w:t>a que se refiere su artículo 38 Bis</w:t>
      </w:r>
      <w:r w:rsidR="00ED1CD0">
        <w:rPr>
          <w:rFonts w:asciiTheme="majorHAnsi" w:hAnsiTheme="majorHAnsi" w:cstheme="majorHAnsi"/>
          <w:szCs w:val="24"/>
        </w:rPr>
        <w:t>.</w:t>
      </w:r>
    </w:p>
    <w:p w14:paraId="79A33082" w14:textId="77777777" w:rsidR="00F53FBD" w:rsidRDefault="00F53FBD" w:rsidP="00C23384">
      <w:pPr>
        <w:spacing w:line="360" w:lineRule="auto"/>
        <w:rPr>
          <w:rFonts w:asciiTheme="majorHAnsi" w:hAnsiTheme="majorHAnsi" w:cstheme="majorHAnsi"/>
          <w:b/>
          <w:szCs w:val="24"/>
        </w:rPr>
      </w:pPr>
    </w:p>
    <w:p w14:paraId="09BF391C" w14:textId="21FBC347" w:rsidR="00C23384" w:rsidRPr="003371AD" w:rsidRDefault="00A13077" w:rsidP="003371AD">
      <w:pPr>
        <w:spacing w:line="360" w:lineRule="auto"/>
        <w:rPr>
          <w:rFonts w:asciiTheme="majorHAnsi" w:hAnsiTheme="majorHAnsi" w:cstheme="majorHAnsi"/>
          <w:szCs w:val="24"/>
        </w:rPr>
      </w:pPr>
      <w:r>
        <w:rPr>
          <w:rFonts w:asciiTheme="majorHAnsi" w:hAnsiTheme="majorHAnsi" w:cstheme="majorHAnsi"/>
          <w:b/>
          <w:szCs w:val="24"/>
        </w:rPr>
        <w:t xml:space="preserve">SEGUNDO. </w:t>
      </w:r>
      <w:r w:rsidR="00086FF4">
        <w:rPr>
          <w:rFonts w:asciiTheme="majorHAnsi" w:hAnsiTheme="majorHAnsi" w:cstheme="majorHAnsi"/>
          <w:szCs w:val="24"/>
        </w:rPr>
        <w:t>Que</w:t>
      </w:r>
      <w:r w:rsidR="00F53FBD" w:rsidRPr="00F53FBD">
        <w:rPr>
          <w:rFonts w:asciiTheme="majorHAnsi" w:hAnsiTheme="majorHAnsi" w:cstheme="majorHAnsi"/>
          <w:szCs w:val="24"/>
        </w:rPr>
        <w:t xml:space="preserve"> </w:t>
      </w:r>
      <w:r w:rsidR="00F73897">
        <w:rPr>
          <w:rFonts w:asciiTheme="majorHAnsi" w:hAnsiTheme="majorHAnsi" w:cstheme="majorHAnsi"/>
          <w:szCs w:val="24"/>
        </w:rPr>
        <w:t>la Ley de Hacienda vigente no prevé la expedición del duplicado de la licencia de conducir</w:t>
      </w:r>
      <w:r w:rsidR="00EC3D17">
        <w:rPr>
          <w:rFonts w:asciiTheme="majorHAnsi" w:hAnsiTheme="majorHAnsi" w:cstheme="majorHAnsi"/>
          <w:szCs w:val="24"/>
        </w:rPr>
        <w:t>,</w:t>
      </w:r>
      <w:r w:rsidR="00F73897">
        <w:rPr>
          <w:rFonts w:asciiTheme="majorHAnsi" w:hAnsiTheme="majorHAnsi" w:cstheme="majorHAnsi"/>
          <w:szCs w:val="24"/>
        </w:rPr>
        <w:t xml:space="preserve"> </w:t>
      </w:r>
      <w:r w:rsidR="002F6BEC">
        <w:rPr>
          <w:rFonts w:asciiTheme="majorHAnsi" w:hAnsiTheme="majorHAnsi" w:cstheme="majorHAnsi"/>
          <w:szCs w:val="24"/>
        </w:rPr>
        <w:t xml:space="preserve">por lo que se adiciona el cobro de ese derecho </w:t>
      </w:r>
      <w:r w:rsidR="00F73897">
        <w:rPr>
          <w:rFonts w:asciiTheme="majorHAnsi" w:hAnsiTheme="majorHAnsi" w:cstheme="majorHAnsi"/>
          <w:szCs w:val="24"/>
        </w:rPr>
        <w:t xml:space="preserve">como </w:t>
      </w:r>
      <w:r w:rsidR="002F6BEC">
        <w:rPr>
          <w:rFonts w:asciiTheme="majorHAnsi" w:hAnsiTheme="majorHAnsi" w:cstheme="majorHAnsi"/>
          <w:szCs w:val="24"/>
        </w:rPr>
        <w:t>opción</w:t>
      </w:r>
      <w:r w:rsidR="00086FF4">
        <w:rPr>
          <w:rFonts w:asciiTheme="majorHAnsi" w:hAnsiTheme="majorHAnsi" w:cstheme="majorHAnsi"/>
          <w:szCs w:val="24"/>
        </w:rPr>
        <w:t xml:space="preserve"> a los contribuyentes</w:t>
      </w:r>
      <w:r w:rsidR="00664E27">
        <w:rPr>
          <w:rFonts w:asciiTheme="majorHAnsi" w:hAnsiTheme="majorHAnsi" w:cstheme="majorHAnsi"/>
          <w:szCs w:val="24"/>
        </w:rPr>
        <w:t xml:space="preserve"> </w:t>
      </w:r>
      <w:r w:rsidR="002F6BEC">
        <w:rPr>
          <w:rFonts w:asciiTheme="majorHAnsi" w:hAnsiTheme="majorHAnsi" w:cstheme="majorHAnsi"/>
          <w:szCs w:val="24"/>
        </w:rPr>
        <w:t>que soliciten</w:t>
      </w:r>
      <w:r w:rsidR="00664E27">
        <w:rPr>
          <w:rFonts w:asciiTheme="majorHAnsi" w:hAnsiTheme="majorHAnsi" w:cstheme="majorHAnsi"/>
          <w:szCs w:val="24"/>
        </w:rPr>
        <w:t xml:space="preserve"> la reposición de la licencia en caso de</w:t>
      </w:r>
      <w:r w:rsidR="00086FF4">
        <w:rPr>
          <w:rFonts w:asciiTheme="majorHAnsi" w:hAnsiTheme="majorHAnsi" w:cstheme="majorHAnsi"/>
          <w:szCs w:val="24"/>
        </w:rPr>
        <w:t xml:space="preserve"> </w:t>
      </w:r>
      <w:r w:rsidR="00664E27" w:rsidRPr="00F53FBD">
        <w:rPr>
          <w:rFonts w:asciiTheme="majorHAnsi" w:hAnsiTheme="majorHAnsi" w:cstheme="majorHAnsi"/>
          <w:szCs w:val="24"/>
        </w:rPr>
        <w:t>robo, extravío o deterioro</w:t>
      </w:r>
      <w:r w:rsidR="00664E27">
        <w:rPr>
          <w:rFonts w:asciiTheme="majorHAnsi" w:hAnsiTheme="majorHAnsi" w:cstheme="majorHAnsi"/>
          <w:szCs w:val="24"/>
        </w:rPr>
        <w:t>.</w:t>
      </w:r>
      <w:r w:rsidR="004F1261">
        <w:rPr>
          <w:rFonts w:asciiTheme="majorHAnsi" w:hAnsiTheme="majorHAnsi" w:cstheme="majorHAnsi"/>
          <w:szCs w:val="24"/>
        </w:rPr>
        <w:t xml:space="preserve"> Asimismo, se propone la adición del cobro de</w:t>
      </w:r>
      <w:r w:rsidR="000D4606">
        <w:rPr>
          <w:rFonts w:asciiTheme="majorHAnsi" w:hAnsiTheme="majorHAnsi" w:cstheme="majorHAnsi"/>
          <w:szCs w:val="24"/>
        </w:rPr>
        <w:t xml:space="preserve"> </w:t>
      </w:r>
      <w:r w:rsidR="004F1261">
        <w:rPr>
          <w:rFonts w:asciiTheme="majorHAnsi" w:hAnsiTheme="majorHAnsi" w:cstheme="majorHAnsi"/>
          <w:szCs w:val="24"/>
        </w:rPr>
        <w:t>l</w:t>
      </w:r>
      <w:r w:rsidR="000D4606">
        <w:rPr>
          <w:rFonts w:asciiTheme="majorHAnsi" w:hAnsiTheme="majorHAnsi" w:cstheme="majorHAnsi"/>
          <w:szCs w:val="24"/>
        </w:rPr>
        <w:t>os</w:t>
      </w:r>
      <w:r w:rsidR="004F1261">
        <w:rPr>
          <w:rFonts w:asciiTheme="majorHAnsi" w:hAnsiTheme="majorHAnsi" w:cstheme="majorHAnsi"/>
          <w:szCs w:val="24"/>
        </w:rPr>
        <w:t xml:space="preserve"> derecho</w:t>
      </w:r>
      <w:r w:rsidR="000D4606">
        <w:rPr>
          <w:rFonts w:asciiTheme="majorHAnsi" w:hAnsiTheme="majorHAnsi" w:cstheme="majorHAnsi"/>
          <w:szCs w:val="24"/>
        </w:rPr>
        <w:t>s</w:t>
      </w:r>
      <w:r w:rsidR="004F1261">
        <w:rPr>
          <w:rFonts w:asciiTheme="majorHAnsi" w:hAnsiTheme="majorHAnsi" w:cstheme="majorHAnsi"/>
          <w:szCs w:val="24"/>
        </w:rPr>
        <w:t xml:space="preserve"> por la expedición </w:t>
      </w:r>
      <w:r w:rsidR="002F6BEC">
        <w:rPr>
          <w:rFonts w:asciiTheme="majorHAnsi" w:hAnsiTheme="majorHAnsi" w:cstheme="majorHAnsi"/>
          <w:szCs w:val="24"/>
        </w:rPr>
        <w:t>y</w:t>
      </w:r>
      <w:r w:rsidR="004F1261">
        <w:rPr>
          <w:rFonts w:asciiTheme="majorHAnsi" w:hAnsiTheme="majorHAnsi" w:cstheme="majorHAnsi"/>
          <w:szCs w:val="24"/>
        </w:rPr>
        <w:t xml:space="preserve"> la reimpresión de las constancias</w:t>
      </w:r>
      <w:r w:rsidR="000D4606">
        <w:rPr>
          <w:rFonts w:asciiTheme="majorHAnsi" w:hAnsiTheme="majorHAnsi" w:cstheme="majorHAnsi"/>
          <w:szCs w:val="24"/>
        </w:rPr>
        <w:t xml:space="preserve"> </w:t>
      </w:r>
      <w:r w:rsidR="002F6BEC">
        <w:rPr>
          <w:rFonts w:asciiTheme="majorHAnsi" w:hAnsiTheme="majorHAnsi" w:cstheme="majorHAnsi"/>
          <w:szCs w:val="24"/>
        </w:rPr>
        <w:t xml:space="preserve">de no inhabilitación y de no existencia de sanción </w:t>
      </w:r>
      <w:r w:rsidR="000D4606">
        <w:rPr>
          <w:rFonts w:asciiTheme="majorHAnsi" w:hAnsiTheme="majorHAnsi" w:cstheme="majorHAnsi"/>
          <w:szCs w:val="24"/>
        </w:rPr>
        <w:t>emitidas por la Fiscalía General del Estado.</w:t>
      </w:r>
      <w:r w:rsidR="00EC3D17">
        <w:rPr>
          <w:rFonts w:asciiTheme="majorHAnsi" w:hAnsiTheme="majorHAnsi" w:cstheme="majorHAnsi"/>
          <w:szCs w:val="24"/>
        </w:rPr>
        <w:t xml:space="preserve"> De igual manera, se </w:t>
      </w:r>
      <w:r w:rsidR="0054079A">
        <w:rPr>
          <w:rFonts w:asciiTheme="majorHAnsi" w:hAnsiTheme="majorHAnsi" w:cstheme="majorHAnsi"/>
          <w:szCs w:val="24"/>
        </w:rPr>
        <w:t>modifican y adicionan conceptos de</w:t>
      </w:r>
      <w:r w:rsidR="00EC3D17">
        <w:rPr>
          <w:rFonts w:asciiTheme="majorHAnsi" w:hAnsiTheme="majorHAnsi" w:cstheme="majorHAnsi"/>
          <w:szCs w:val="24"/>
        </w:rPr>
        <w:t xml:space="preserve"> la Ley</w:t>
      </w:r>
      <w:r w:rsidR="002F6BEC">
        <w:rPr>
          <w:rFonts w:asciiTheme="majorHAnsi" w:hAnsiTheme="majorHAnsi" w:cstheme="majorHAnsi"/>
          <w:szCs w:val="24"/>
        </w:rPr>
        <w:t xml:space="preserve"> de Hacienda</w:t>
      </w:r>
      <w:r w:rsidR="00EC3D17">
        <w:rPr>
          <w:rFonts w:asciiTheme="majorHAnsi" w:hAnsiTheme="majorHAnsi" w:cstheme="majorHAnsi"/>
          <w:szCs w:val="24"/>
        </w:rPr>
        <w:t xml:space="preserve"> </w:t>
      </w:r>
      <w:r w:rsidR="003371AD">
        <w:rPr>
          <w:rFonts w:asciiTheme="majorHAnsi" w:hAnsiTheme="majorHAnsi" w:cstheme="majorHAnsi"/>
          <w:szCs w:val="24"/>
        </w:rPr>
        <w:t xml:space="preserve">en los términos </w:t>
      </w:r>
      <w:r w:rsidR="00EC3D17">
        <w:rPr>
          <w:rFonts w:asciiTheme="majorHAnsi" w:hAnsiTheme="majorHAnsi" w:cstheme="majorHAnsi"/>
          <w:szCs w:val="24"/>
        </w:rPr>
        <w:t xml:space="preserve">que </w:t>
      </w:r>
      <w:r w:rsidR="003371AD">
        <w:rPr>
          <w:rFonts w:asciiTheme="majorHAnsi" w:hAnsiTheme="majorHAnsi" w:cstheme="majorHAnsi"/>
          <w:szCs w:val="24"/>
        </w:rPr>
        <w:t xml:space="preserve">fueron </w:t>
      </w:r>
      <w:r w:rsidR="00EC3D17">
        <w:rPr>
          <w:rFonts w:asciiTheme="majorHAnsi" w:hAnsiTheme="majorHAnsi" w:cstheme="majorHAnsi"/>
          <w:szCs w:val="24"/>
        </w:rPr>
        <w:t xml:space="preserve">aprobados por los órganos de </w:t>
      </w:r>
      <w:r w:rsidR="00EC3D17">
        <w:rPr>
          <w:rFonts w:asciiTheme="majorHAnsi" w:hAnsiTheme="majorHAnsi" w:cstheme="majorHAnsi"/>
          <w:szCs w:val="24"/>
        </w:rPr>
        <w:lastRenderedPageBreak/>
        <w:t>gobierno de los organismos públicos descentralizados</w:t>
      </w:r>
      <w:r w:rsidR="003371AD">
        <w:rPr>
          <w:rFonts w:asciiTheme="majorHAnsi" w:hAnsiTheme="majorHAnsi" w:cstheme="majorHAnsi"/>
          <w:szCs w:val="24"/>
        </w:rPr>
        <w:t xml:space="preserve"> siguientes: Colegio de Estudios Científicos y Tecnológicos del Estado d</w:t>
      </w:r>
      <w:r w:rsidR="003371AD" w:rsidRPr="003371AD">
        <w:rPr>
          <w:rFonts w:asciiTheme="majorHAnsi" w:hAnsiTheme="majorHAnsi" w:cstheme="majorHAnsi"/>
          <w:szCs w:val="24"/>
        </w:rPr>
        <w:t>e Tabasco</w:t>
      </w:r>
      <w:r w:rsidR="00EC3D17">
        <w:rPr>
          <w:rFonts w:asciiTheme="majorHAnsi" w:hAnsiTheme="majorHAnsi" w:cstheme="majorHAnsi"/>
          <w:szCs w:val="24"/>
        </w:rPr>
        <w:t xml:space="preserve">, </w:t>
      </w:r>
      <w:r w:rsidR="003371AD" w:rsidRPr="003371AD">
        <w:rPr>
          <w:rFonts w:asciiTheme="majorHAnsi" w:hAnsiTheme="majorHAnsi" w:cstheme="majorHAnsi"/>
          <w:szCs w:val="24"/>
        </w:rPr>
        <w:t>Cole</w:t>
      </w:r>
      <w:r w:rsidR="003371AD">
        <w:rPr>
          <w:rFonts w:asciiTheme="majorHAnsi" w:hAnsiTheme="majorHAnsi" w:cstheme="majorHAnsi"/>
          <w:szCs w:val="24"/>
        </w:rPr>
        <w:t>gio de Bachilleres d</w:t>
      </w:r>
      <w:r w:rsidR="003371AD" w:rsidRPr="003371AD">
        <w:rPr>
          <w:rFonts w:asciiTheme="majorHAnsi" w:hAnsiTheme="majorHAnsi" w:cstheme="majorHAnsi"/>
          <w:szCs w:val="24"/>
        </w:rPr>
        <w:t>e Tabasco</w:t>
      </w:r>
      <w:r w:rsidR="0054079A">
        <w:rPr>
          <w:rFonts w:asciiTheme="majorHAnsi" w:hAnsiTheme="majorHAnsi" w:cstheme="majorHAnsi"/>
          <w:szCs w:val="24"/>
        </w:rPr>
        <w:t xml:space="preserve">, </w:t>
      </w:r>
      <w:r w:rsidR="003371AD">
        <w:rPr>
          <w:rFonts w:asciiTheme="majorHAnsi" w:hAnsiTheme="majorHAnsi" w:cstheme="majorHAnsi"/>
          <w:szCs w:val="24"/>
        </w:rPr>
        <w:t>Instituto Estatal de Cultura</w:t>
      </w:r>
      <w:r w:rsidR="0054079A">
        <w:rPr>
          <w:rFonts w:asciiTheme="majorHAnsi" w:hAnsiTheme="majorHAnsi" w:cstheme="majorHAnsi"/>
          <w:szCs w:val="24"/>
        </w:rPr>
        <w:t xml:space="preserve">, </w:t>
      </w:r>
      <w:r w:rsidR="005B16B1">
        <w:rPr>
          <w:rFonts w:asciiTheme="majorHAnsi" w:hAnsiTheme="majorHAnsi" w:cstheme="majorHAnsi"/>
          <w:szCs w:val="24"/>
        </w:rPr>
        <w:t>Instituto Tecnológico Superior de l</w:t>
      </w:r>
      <w:r w:rsidR="005B16B1" w:rsidRPr="005B16B1">
        <w:rPr>
          <w:rFonts w:asciiTheme="majorHAnsi" w:hAnsiTheme="majorHAnsi" w:cstheme="majorHAnsi"/>
          <w:szCs w:val="24"/>
        </w:rPr>
        <w:t>os Ríos</w:t>
      </w:r>
      <w:r w:rsidR="003371AD">
        <w:rPr>
          <w:rFonts w:asciiTheme="majorHAnsi" w:hAnsiTheme="majorHAnsi" w:cstheme="majorHAnsi"/>
          <w:szCs w:val="24"/>
        </w:rPr>
        <w:t xml:space="preserve"> </w:t>
      </w:r>
      <w:r w:rsidR="0054079A">
        <w:rPr>
          <w:rFonts w:asciiTheme="majorHAnsi" w:hAnsiTheme="majorHAnsi" w:cstheme="majorHAnsi"/>
          <w:szCs w:val="24"/>
        </w:rPr>
        <w:t xml:space="preserve">y </w:t>
      </w:r>
      <w:r w:rsidR="003371AD">
        <w:rPr>
          <w:rFonts w:asciiTheme="majorHAnsi" w:hAnsiTheme="majorHAnsi" w:cstheme="majorHAnsi"/>
          <w:szCs w:val="24"/>
        </w:rPr>
        <w:t>de la Universidad Popular de la Chontalpa</w:t>
      </w:r>
      <w:r w:rsidR="0054079A">
        <w:rPr>
          <w:rFonts w:asciiTheme="majorHAnsi" w:hAnsiTheme="majorHAnsi" w:cstheme="majorHAnsi"/>
          <w:szCs w:val="24"/>
        </w:rPr>
        <w:t>.</w:t>
      </w:r>
    </w:p>
    <w:p w14:paraId="12F375C3" w14:textId="77777777" w:rsidR="00F53FBD" w:rsidRDefault="00F53FBD" w:rsidP="00856B5E">
      <w:pPr>
        <w:spacing w:line="360" w:lineRule="auto"/>
        <w:rPr>
          <w:rFonts w:asciiTheme="majorHAnsi" w:hAnsiTheme="majorHAnsi" w:cstheme="majorHAnsi"/>
          <w:b/>
          <w:szCs w:val="24"/>
        </w:rPr>
      </w:pPr>
    </w:p>
    <w:p w14:paraId="509D4C46" w14:textId="294275C7" w:rsidR="000238E8" w:rsidRPr="00830A41" w:rsidRDefault="00F53FBD" w:rsidP="00856B5E">
      <w:pPr>
        <w:spacing w:line="360" w:lineRule="auto"/>
        <w:rPr>
          <w:rFonts w:asciiTheme="majorHAnsi" w:hAnsiTheme="majorHAnsi" w:cstheme="majorHAnsi"/>
          <w:szCs w:val="24"/>
        </w:rPr>
      </w:pPr>
      <w:r>
        <w:rPr>
          <w:rFonts w:asciiTheme="majorHAnsi" w:hAnsiTheme="majorHAnsi" w:cstheme="majorHAnsi"/>
          <w:b/>
          <w:szCs w:val="24"/>
        </w:rPr>
        <w:t>TERCERO</w:t>
      </w:r>
      <w:r w:rsidR="00D22F0D" w:rsidRPr="00830A41">
        <w:rPr>
          <w:rFonts w:asciiTheme="majorHAnsi" w:hAnsiTheme="majorHAnsi" w:cstheme="majorHAnsi"/>
          <w:b/>
          <w:szCs w:val="24"/>
        </w:rPr>
        <w:t>.</w:t>
      </w:r>
      <w:r w:rsidR="00D22F0D" w:rsidRPr="00830A41">
        <w:rPr>
          <w:rFonts w:asciiTheme="majorHAnsi" w:hAnsiTheme="majorHAnsi" w:cstheme="majorHAnsi"/>
          <w:szCs w:val="24"/>
        </w:rPr>
        <w:t xml:space="preserve"> Que e</w:t>
      </w:r>
      <w:r w:rsidR="000238E8" w:rsidRPr="00830A41">
        <w:rPr>
          <w:rFonts w:asciiTheme="majorHAnsi" w:hAnsiTheme="majorHAnsi" w:cstheme="majorHAnsi"/>
          <w:szCs w:val="24"/>
        </w:rPr>
        <w:t>n cumplimiento a lo dispues</w:t>
      </w:r>
      <w:r w:rsidR="00856B5E" w:rsidRPr="00830A41">
        <w:rPr>
          <w:rFonts w:asciiTheme="majorHAnsi" w:hAnsiTheme="majorHAnsi" w:cstheme="majorHAnsi"/>
          <w:szCs w:val="24"/>
        </w:rPr>
        <w:t xml:space="preserve">to por el </w:t>
      </w:r>
      <w:r w:rsidR="00935D38">
        <w:rPr>
          <w:rFonts w:asciiTheme="majorHAnsi" w:hAnsiTheme="majorHAnsi" w:cstheme="majorHAnsi"/>
          <w:szCs w:val="24"/>
        </w:rPr>
        <w:t>a</w:t>
      </w:r>
      <w:r w:rsidR="00856B5E" w:rsidRPr="00830A41">
        <w:rPr>
          <w:rFonts w:asciiTheme="majorHAnsi" w:hAnsiTheme="majorHAnsi" w:cstheme="majorHAnsi"/>
          <w:szCs w:val="24"/>
        </w:rPr>
        <w:t xml:space="preserve">rtículo 13 </w:t>
      </w:r>
      <w:r w:rsidR="000238E8" w:rsidRPr="00830A41">
        <w:rPr>
          <w:rFonts w:asciiTheme="majorHAnsi" w:hAnsiTheme="majorHAnsi" w:cstheme="majorHAnsi"/>
          <w:szCs w:val="24"/>
        </w:rPr>
        <w:t xml:space="preserve">de la Ley de Presupuesto y Responsabilidad Hacendaria del Estado de Tabasco y sus Municipios, </w:t>
      </w:r>
      <w:r w:rsidR="00935D38">
        <w:rPr>
          <w:rFonts w:asciiTheme="majorHAnsi" w:hAnsiTheme="majorHAnsi" w:cstheme="majorHAnsi"/>
          <w:szCs w:val="24"/>
        </w:rPr>
        <w:t>para la elaboración de</w:t>
      </w:r>
      <w:r w:rsidR="00935D38" w:rsidRPr="00935D38">
        <w:rPr>
          <w:rFonts w:asciiTheme="majorHAnsi" w:hAnsiTheme="majorHAnsi" w:cstheme="majorHAnsi"/>
          <w:szCs w:val="24"/>
        </w:rPr>
        <w:t xml:space="preserve"> la iniciativa de Ley de Ingresos del Estado de Tabasco para el Ejercicio Fiscal 201</w:t>
      </w:r>
      <w:r w:rsidR="00935D38">
        <w:rPr>
          <w:rFonts w:asciiTheme="majorHAnsi" w:hAnsiTheme="majorHAnsi" w:cstheme="majorHAnsi"/>
          <w:szCs w:val="24"/>
        </w:rPr>
        <w:t>9</w:t>
      </w:r>
      <w:r w:rsidR="00935D38" w:rsidRPr="00935D38">
        <w:rPr>
          <w:rFonts w:asciiTheme="majorHAnsi" w:hAnsiTheme="majorHAnsi" w:cstheme="majorHAnsi"/>
          <w:szCs w:val="24"/>
        </w:rPr>
        <w:t>, se tomaron en c</w:t>
      </w:r>
      <w:r w:rsidR="002C36E3">
        <w:rPr>
          <w:rFonts w:asciiTheme="majorHAnsi" w:hAnsiTheme="majorHAnsi" w:cstheme="majorHAnsi"/>
          <w:szCs w:val="24"/>
        </w:rPr>
        <w:t>onsideración los criterios generales de política</w:t>
      </w:r>
      <w:r w:rsidR="00935D38" w:rsidRPr="00935D38">
        <w:rPr>
          <w:rFonts w:asciiTheme="majorHAnsi" w:hAnsiTheme="majorHAnsi" w:cstheme="majorHAnsi"/>
          <w:szCs w:val="24"/>
        </w:rPr>
        <w:t xml:space="preserve"> económica</w:t>
      </w:r>
      <w:r w:rsidR="002C36E3">
        <w:rPr>
          <w:rFonts w:asciiTheme="majorHAnsi" w:hAnsiTheme="majorHAnsi" w:cstheme="majorHAnsi"/>
          <w:szCs w:val="24"/>
        </w:rPr>
        <w:t xml:space="preserve"> </w:t>
      </w:r>
      <w:r w:rsidR="00935D38" w:rsidRPr="00935D38">
        <w:rPr>
          <w:rFonts w:asciiTheme="majorHAnsi" w:hAnsiTheme="majorHAnsi" w:cstheme="majorHAnsi"/>
          <w:szCs w:val="24"/>
        </w:rPr>
        <w:t>siguientes:</w:t>
      </w:r>
    </w:p>
    <w:p w14:paraId="584D2FFC" w14:textId="77777777" w:rsidR="00436611" w:rsidRPr="00830A41" w:rsidRDefault="00436611" w:rsidP="00D3126D">
      <w:pPr>
        <w:rPr>
          <w:rFonts w:asciiTheme="majorHAnsi" w:hAnsiTheme="majorHAnsi" w:cstheme="majorHAnsi"/>
          <w:b/>
          <w:szCs w:val="24"/>
        </w:rPr>
      </w:pPr>
    </w:p>
    <w:p w14:paraId="6E706E74" w14:textId="2086293D" w:rsidR="000238E8" w:rsidRPr="00830A41" w:rsidRDefault="003F5595" w:rsidP="003F5595">
      <w:pPr>
        <w:rPr>
          <w:rFonts w:asciiTheme="majorHAnsi" w:hAnsiTheme="majorHAnsi" w:cstheme="majorHAnsi"/>
          <w:b/>
          <w:szCs w:val="24"/>
        </w:rPr>
      </w:pPr>
      <w:r w:rsidRPr="00830A41">
        <w:rPr>
          <w:rFonts w:asciiTheme="majorHAnsi" w:hAnsiTheme="majorHAnsi" w:cstheme="majorHAnsi"/>
          <w:b/>
          <w:szCs w:val="24"/>
        </w:rPr>
        <w:t xml:space="preserve">I. </w:t>
      </w:r>
      <w:r w:rsidR="000238E8" w:rsidRPr="00830A41">
        <w:rPr>
          <w:rFonts w:asciiTheme="majorHAnsi" w:hAnsiTheme="majorHAnsi" w:cstheme="majorHAnsi"/>
          <w:b/>
          <w:szCs w:val="24"/>
        </w:rPr>
        <w:t>ENTORNO ECONÓMICO</w:t>
      </w:r>
    </w:p>
    <w:p w14:paraId="2436B88E" w14:textId="77777777" w:rsidR="007124A5" w:rsidRPr="00830A41" w:rsidRDefault="007124A5" w:rsidP="00D3126D">
      <w:pPr>
        <w:rPr>
          <w:rFonts w:asciiTheme="majorHAnsi" w:hAnsiTheme="majorHAnsi" w:cstheme="majorHAnsi"/>
          <w:b/>
          <w:szCs w:val="24"/>
          <w:highlight w:val="yellow"/>
        </w:rPr>
      </w:pPr>
    </w:p>
    <w:p w14:paraId="775D204A" w14:textId="77777777" w:rsidR="00D55CFB" w:rsidRPr="00830A41" w:rsidRDefault="00D55CFB" w:rsidP="00D55CFB">
      <w:pPr>
        <w:spacing w:line="276" w:lineRule="auto"/>
        <w:rPr>
          <w:rFonts w:asciiTheme="majorHAnsi" w:hAnsiTheme="majorHAnsi" w:cstheme="majorHAnsi"/>
          <w:b/>
          <w:szCs w:val="24"/>
        </w:rPr>
      </w:pPr>
      <w:r w:rsidRPr="00830A41">
        <w:rPr>
          <w:rFonts w:asciiTheme="majorHAnsi" w:hAnsiTheme="majorHAnsi" w:cstheme="majorHAnsi"/>
          <w:b/>
          <w:szCs w:val="24"/>
        </w:rPr>
        <w:t>ENTORNO INTERNACIONAL</w:t>
      </w:r>
    </w:p>
    <w:p w14:paraId="4AACBDAE" w14:textId="77777777" w:rsidR="00D55CFB" w:rsidRPr="00830A41" w:rsidRDefault="00D55CFB" w:rsidP="00D55CFB">
      <w:pPr>
        <w:spacing w:line="276" w:lineRule="auto"/>
        <w:rPr>
          <w:rFonts w:asciiTheme="majorHAnsi" w:hAnsiTheme="majorHAnsi" w:cstheme="majorHAnsi"/>
          <w:b/>
          <w:szCs w:val="24"/>
          <w:highlight w:val="lightGray"/>
        </w:rPr>
      </w:pPr>
    </w:p>
    <w:p w14:paraId="5FF58D5B"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r w:rsidRPr="00830A41">
        <w:rPr>
          <w:rFonts w:asciiTheme="majorHAnsi" w:hAnsiTheme="majorHAnsi" w:cstheme="majorHAnsi"/>
          <w:szCs w:val="24"/>
          <w:lang w:val="es-MX" w:eastAsia="es-MX"/>
        </w:rPr>
        <w:t>El crecimiento mundial se moderó en el primer semestre de 2018, con sorpresas negativas en torno a la actividad en varias grandes economías avanzadas. Tras el rápido crecimiento registrado en 2017, los volúmenes del comercio internacional y la producción industrial se han desacelerado, y algunos indicadores de alta frecuencia han bajado.</w:t>
      </w:r>
    </w:p>
    <w:p w14:paraId="6A3CD165" w14:textId="77777777" w:rsidR="00D55CFB" w:rsidRPr="00830A41" w:rsidRDefault="00D55CFB" w:rsidP="00D55CFB">
      <w:pPr>
        <w:autoSpaceDE w:val="0"/>
        <w:autoSpaceDN w:val="0"/>
        <w:adjustRightInd w:val="0"/>
        <w:spacing w:line="276" w:lineRule="auto"/>
        <w:rPr>
          <w:rFonts w:asciiTheme="majorHAnsi" w:hAnsiTheme="majorHAnsi" w:cstheme="majorHAnsi"/>
          <w:szCs w:val="24"/>
          <w:lang w:val="es-MX" w:eastAsia="es-MX"/>
        </w:rPr>
      </w:pPr>
    </w:p>
    <w:p w14:paraId="3A39FAC4" w14:textId="77777777" w:rsidR="00D55CFB" w:rsidRPr="00830A41" w:rsidRDefault="00D55CFB" w:rsidP="00D55CFB">
      <w:pPr>
        <w:autoSpaceDE w:val="0"/>
        <w:autoSpaceDN w:val="0"/>
        <w:adjustRightInd w:val="0"/>
        <w:spacing w:line="276" w:lineRule="auto"/>
        <w:jc w:val="left"/>
        <w:rPr>
          <w:rFonts w:asciiTheme="majorHAnsi" w:hAnsiTheme="majorHAnsi" w:cstheme="majorHAnsi"/>
          <w:b/>
          <w:bCs/>
          <w:szCs w:val="24"/>
          <w:lang w:val="es-MX" w:eastAsia="es-MX"/>
        </w:rPr>
      </w:pPr>
      <w:r w:rsidRPr="00830A41">
        <w:rPr>
          <w:rFonts w:asciiTheme="majorHAnsi" w:hAnsiTheme="majorHAnsi" w:cstheme="majorHAnsi"/>
          <w:b/>
          <w:bCs/>
          <w:szCs w:val="24"/>
          <w:lang w:val="es-MX" w:eastAsia="es-MX"/>
        </w:rPr>
        <w:t>Perspectivas de crecimiento mundial</w:t>
      </w:r>
    </w:p>
    <w:p w14:paraId="5D55FA55" w14:textId="77777777" w:rsidR="00D55CFB" w:rsidRPr="00830A41" w:rsidRDefault="00D55CFB" w:rsidP="00D55CFB">
      <w:pPr>
        <w:autoSpaceDE w:val="0"/>
        <w:autoSpaceDN w:val="0"/>
        <w:adjustRightInd w:val="0"/>
        <w:spacing w:line="360" w:lineRule="auto"/>
        <w:jc w:val="left"/>
        <w:rPr>
          <w:rFonts w:asciiTheme="majorHAnsi" w:hAnsiTheme="majorHAnsi" w:cstheme="majorHAnsi"/>
          <w:b/>
          <w:bCs/>
          <w:szCs w:val="24"/>
          <w:lang w:val="es-MX" w:eastAsia="es-MX"/>
        </w:rPr>
      </w:pPr>
    </w:p>
    <w:p w14:paraId="46717382" w14:textId="63D8FEEB"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r w:rsidRPr="00830A41">
        <w:rPr>
          <w:rFonts w:asciiTheme="majorHAnsi" w:hAnsiTheme="majorHAnsi" w:cstheme="majorHAnsi"/>
          <w:szCs w:val="24"/>
          <w:lang w:val="es-MX" w:eastAsia="es-MX"/>
        </w:rPr>
        <w:t xml:space="preserve">Se proyecta un crecimiento mundial de 3,7 por ciento en 2018 y 2019, es decir, 0,2 puntos porcentuales por debajo de lo previsto en el informe WEO de abril de 2018, aunque bastante por encima del nivel registrado durante 2012–16. Las diferencias entre las perspectivas de los distintos países y regiones son notables. Se prevé que el crecimiento mundial se mantenga constante en 3,7 por ciento en 2020, dado que el menor crecimiento de las economías avanzadas, resultante del retiro del estímulo fiscal en Estados Unidos y los menguantes efectos favorables generados por la demanda estadounidense hacia los socios comerciales, se ve compensado por un repunte del crecimiento de las economías de mercados emergentes y en desarrollo. A partir de entonces, se proyecta que el crecimiento mundial se desacelerará 3,6 por ciento para </w:t>
      </w:r>
      <w:r w:rsidRPr="00830A41">
        <w:rPr>
          <w:rFonts w:asciiTheme="majorHAnsi" w:hAnsiTheme="majorHAnsi" w:cstheme="majorHAnsi"/>
          <w:szCs w:val="24"/>
          <w:lang w:val="es-MX" w:eastAsia="es-MX"/>
        </w:rPr>
        <w:lastRenderedPageBreak/>
        <w:t>2022–23, en gran parte como reflejo de una moderación del crecimiento de las economías avanzadas hacia el nivel potencial de ese grupo.</w:t>
      </w:r>
    </w:p>
    <w:p w14:paraId="096919E5"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p>
    <w:p w14:paraId="20132D9A"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r w:rsidRPr="00830A41">
        <w:rPr>
          <w:rFonts w:asciiTheme="majorHAnsi" w:hAnsiTheme="majorHAnsi" w:cstheme="majorHAnsi"/>
          <w:szCs w:val="24"/>
          <w:lang w:val="es-MX" w:eastAsia="es-MX"/>
        </w:rPr>
        <w:t>En las economías avanzadas, el crecimiento permanecerá muy por encima del nivel de tendencia, ubicándose en 2,4 por ciento en 2018, antes de moderarse a 2,1 por ciento en 2019. El pronóstico para ambos años es 0,1 punto porcentual menor que el informe WEO de abril de 2018. En 2018, ante los resultados menos favorables de lo esperado en el primer semestre del año, se revisaron a la baja las proyecciones para la zona del euro y el Reino Unido. En 2019, se prevé que las medidas comerciales recientes afecten la actividad económica, especialmente en Estados Unidos, donde el pronóstico de crecimiento para 2019 se revisó a la baja en 0,2 puntos porcentuales. Se prevé que el crecimiento disminuya a 1,8 por ciento en 2020 a medida que comience a retirarse el estímulo fiscal en Estados Unidos y el crecimiento de la zona del euro se modere hacia su potencial de mediano plazo. Se proyecta que el crecimiento caerá más tarde a 1,4 por ciento al continuar desacelerándose el crecimiento de la población en edad de trabajar y mantenerse moderado el crecimiento de la productividad.</w:t>
      </w:r>
    </w:p>
    <w:p w14:paraId="1AC92465"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p>
    <w:p w14:paraId="3185FA0E" w14:textId="77777777" w:rsidR="00D55CFB" w:rsidRPr="00B84162" w:rsidRDefault="00D55CFB" w:rsidP="00D55CFB">
      <w:pPr>
        <w:autoSpaceDE w:val="0"/>
        <w:autoSpaceDN w:val="0"/>
        <w:adjustRightInd w:val="0"/>
        <w:spacing w:line="360" w:lineRule="auto"/>
        <w:rPr>
          <w:szCs w:val="24"/>
          <w:lang w:val="es-MX" w:eastAsia="es-MX"/>
        </w:rPr>
      </w:pPr>
      <w:r w:rsidRPr="00830A41">
        <w:rPr>
          <w:rFonts w:asciiTheme="majorHAnsi" w:hAnsiTheme="majorHAnsi" w:cstheme="majorHAnsi"/>
          <w:szCs w:val="24"/>
          <w:lang w:val="es-MX" w:eastAsia="es-MX"/>
        </w:rPr>
        <w:t xml:space="preserve">Dado que la expansión continúa a ritmo vigoroso en las economías emergentes de Asia —pese a una revisión a la baja de 0,3 puntos porcentuales del pronóstico de crecimiento para 2019, que obedece mayormente a las medidas comerciales anunciadas recientemente— y la actividad se está afianzando en los países exportadores de materias primas, se prevé que el crecimiento en el grupo de economías de mercados emergentes y en desarrollo se mantenga estable en 4,7 por ciento en 2018–19. En el mediano plazo, se proyecta que el crecimiento aumente a un nivel ligeramente inferior al 5 por ciento. Más allá de 2019, la tasa de crecimiento agregado de este grupo refleja un proceso de compensación, dado que se modera el crecimiento hasta alcanzar un ritmo sostenible en China, mientras mejora en India (debido a reformas estructurales y a una situación demográfica todavía favorable) y en los países exportadores de materias primas (aunque a tasas inferiores al promedio de las últimas décadas), y algunas economías se ven </w:t>
      </w:r>
      <w:r w:rsidRPr="00830A41">
        <w:rPr>
          <w:rFonts w:asciiTheme="majorHAnsi" w:hAnsiTheme="majorHAnsi" w:cstheme="majorHAnsi"/>
          <w:szCs w:val="24"/>
          <w:lang w:val="es-MX" w:eastAsia="es-MX"/>
        </w:rPr>
        <w:lastRenderedPageBreak/>
        <w:t>sometidas a tensiones macroeconómicas en 2018–19. En comparación con el informe WEO de abril de 2018, el pronóstico de crecimiento para las economías de mercados emergentes y en desarrollo fue rebajado para 2018 y 2019 en 0,2 y 0,4 puntos porcentuales, respectivamente, y para 2020–23 en alrededor de 0,2 puntos porcentuales. Para 2018–19, las causas principales de la revisión a la baja son el impacto negativo que se prevé que tengan las medidas comerciales aplicadas desde el informe WEO de abril de 2018 sobre la actividad en China y otras economías emergentes de Asia, una actividad mucho más débil en Irán tras la reimposición de sanciones por parte de Estados Unidos, una fuerte desaceleración proyectada para Turquía tras la persistente turbulencia de los mercados, y perspectivas más tenues para las grandes economías de América Latina (Argentina, Brasil, México). Para el período 2020–23, las revisiones reflejan principalmente una reevaluación a la baja de las aún sólidas perspectivas de crecimiento para India y un pronóstico de crecimiento más bajo para Pakistán y Turquía, además de un debilitamiento continuado del crecimiento en Irán.</w:t>
      </w:r>
      <w:r w:rsidRPr="00B84162">
        <w:rPr>
          <w:rStyle w:val="Refdenotaalpie"/>
          <w:szCs w:val="24"/>
        </w:rPr>
        <w:footnoteReference w:id="1"/>
      </w:r>
    </w:p>
    <w:p w14:paraId="7BD6A9DF" w14:textId="77777777" w:rsidR="00D55CFB" w:rsidRPr="00411ABA" w:rsidRDefault="00D55CFB" w:rsidP="00D55CFB">
      <w:pPr>
        <w:autoSpaceDE w:val="0"/>
        <w:autoSpaceDN w:val="0"/>
        <w:adjustRightInd w:val="0"/>
        <w:spacing w:line="276" w:lineRule="auto"/>
        <w:rPr>
          <w:szCs w:val="20"/>
          <w:lang w:val="es-MX" w:eastAsia="es-MX"/>
        </w:rPr>
      </w:pPr>
      <w:r w:rsidRPr="001F291E">
        <w:rPr>
          <w:noProof/>
          <w:lang w:eastAsia="es-ES"/>
        </w:rPr>
        <w:lastRenderedPageBreak/>
        <w:drawing>
          <wp:inline distT="0" distB="0" distL="0" distR="0" wp14:anchorId="2FFA2DE5" wp14:editId="2BBF708D">
            <wp:extent cx="5760720" cy="5827398"/>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827398"/>
                    </a:xfrm>
                    <a:prstGeom prst="rect">
                      <a:avLst/>
                    </a:prstGeom>
                    <a:noFill/>
                    <a:ln>
                      <a:noFill/>
                    </a:ln>
                  </pic:spPr>
                </pic:pic>
              </a:graphicData>
            </a:graphic>
          </wp:inline>
        </w:drawing>
      </w:r>
    </w:p>
    <w:p w14:paraId="058004BE" w14:textId="77777777" w:rsidR="00D55CFB" w:rsidRDefault="00D55CFB" w:rsidP="00D55CFB">
      <w:pPr>
        <w:spacing w:line="276" w:lineRule="auto"/>
        <w:rPr>
          <w:highlight w:val="lightGray"/>
          <w:lang w:val="es-MX"/>
        </w:rPr>
      </w:pPr>
      <w:r w:rsidRPr="001F291E">
        <w:rPr>
          <w:noProof/>
          <w:lang w:eastAsia="es-ES"/>
        </w:rPr>
        <w:lastRenderedPageBreak/>
        <w:drawing>
          <wp:inline distT="0" distB="0" distL="0" distR="0" wp14:anchorId="6A4D9A33" wp14:editId="3E219395">
            <wp:extent cx="5760720" cy="4569144"/>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569144"/>
                    </a:xfrm>
                    <a:prstGeom prst="rect">
                      <a:avLst/>
                    </a:prstGeom>
                    <a:noFill/>
                    <a:ln>
                      <a:noFill/>
                    </a:ln>
                  </pic:spPr>
                </pic:pic>
              </a:graphicData>
            </a:graphic>
          </wp:inline>
        </w:drawing>
      </w:r>
    </w:p>
    <w:p w14:paraId="1B42B149" w14:textId="77777777" w:rsidR="00D55CFB" w:rsidRDefault="00D55CFB" w:rsidP="00D55CFB">
      <w:pPr>
        <w:spacing w:line="276" w:lineRule="auto"/>
        <w:rPr>
          <w:highlight w:val="lightGray"/>
          <w:lang w:val="es-MX"/>
        </w:rPr>
      </w:pPr>
    </w:p>
    <w:p w14:paraId="68980333" w14:textId="77777777" w:rsidR="00D55CFB" w:rsidRPr="00830A41" w:rsidRDefault="00D55CFB" w:rsidP="00D55CFB">
      <w:pPr>
        <w:autoSpaceDE w:val="0"/>
        <w:autoSpaceDN w:val="0"/>
        <w:adjustRightInd w:val="0"/>
        <w:spacing w:line="276" w:lineRule="auto"/>
        <w:jc w:val="left"/>
        <w:rPr>
          <w:rFonts w:asciiTheme="majorHAnsi" w:hAnsiTheme="majorHAnsi" w:cstheme="majorHAnsi"/>
          <w:b/>
          <w:bCs/>
          <w:sz w:val="22"/>
          <w:szCs w:val="22"/>
          <w:lang w:val="es-MX" w:eastAsia="es-MX"/>
        </w:rPr>
      </w:pPr>
      <w:r w:rsidRPr="00830A41">
        <w:rPr>
          <w:rFonts w:asciiTheme="majorHAnsi" w:hAnsiTheme="majorHAnsi" w:cstheme="majorHAnsi"/>
          <w:b/>
          <w:bCs/>
          <w:sz w:val="22"/>
          <w:szCs w:val="22"/>
          <w:lang w:val="es-MX" w:eastAsia="es-MX"/>
        </w:rPr>
        <w:t>Perspectivas de crecimiento por países y regiones</w:t>
      </w:r>
    </w:p>
    <w:p w14:paraId="2ABFB8E2" w14:textId="77777777" w:rsidR="00D55CFB" w:rsidRPr="00830A41" w:rsidRDefault="00D55CFB" w:rsidP="00D55CFB">
      <w:pPr>
        <w:autoSpaceDE w:val="0"/>
        <w:autoSpaceDN w:val="0"/>
        <w:adjustRightInd w:val="0"/>
        <w:spacing w:line="276" w:lineRule="auto"/>
        <w:jc w:val="left"/>
        <w:rPr>
          <w:rFonts w:asciiTheme="majorHAnsi" w:hAnsiTheme="majorHAnsi" w:cstheme="majorHAnsi"/>
          <w:b/>
          <w:bCs/>
          <w:i/>
          <w:iCs/>
          <w:sz w:val="20"/>
          <w:szCs w:val="20"/>
          <w:lang w:val="es-MX" w:eastAsia="es-MX"/>
        </w:rPr>
      </w:pPr>
    </w:p>
    <w:p w14:paraId="18248B86" w14:textId="77777777" w:rsidR="00D55CFB" w:rsidRPr="00830A41" w:rsidRDefault="00D55CFB" w:rsidP="00D55CFB">
      <w:pPr>
        <w:pStyle w:val="Prrafodelista"/>
        <w:numPr>
          <w:ilvl w:val="0"/>
          <w:numId w:val="32"/>
        </w:numPr>
        <w:autoSpaceDE w:val="0"/>
        <w:autoSpaceDN w:val="0"/>
        <w:adjustRightInd w:val="0"/>
        <w:spacing w:line="360" w:lineRule="auto"/>
        <w:jc w:val="both"/>
        <w:rPr>
          <w:rFonts w:asciiTheme="majorHAnsi" w:hAnsiTheme="majorHAnsi" w:cstheme="majorHAnsi"/>
          <w:sz w:val="24"/>
          <w:szCs w:val="24"/>
          <w:lang w:val="es-MX" w:eastAsia="es-MX"/>
        </w:rPr>
      </w:pPr>
      <w:r w:rsidRPr="00830A41">
        <w:rPr>
          <w:rFonts w:asciiTheme="majorHAnsi" w:hAnsiTheme="majorHAnsi" w:cstheme="majorHAnsi"/>
          <w:sz w:val="24"/>
          <w:szCs w:val="24"/>
          <w:lang w:val="es-MX" w:eastAsia="es-MX"/>
        </w:rPr>
        <w:t xml:space="preserve">En </w:t>
      </w:r>
      <w:r w:rsidRPr="00830A41">
        <w:rPr>
          <w:rFonts w:asciiTheme="majorHAnsi" w:hAnsiTheme="majorHAnsi" w:cstheme="majorHAnsi"/>
          <w:i/>
          <w:iCs/>
          <w:sz w:val="24"/>
          <w:szCs w:val="24"/>
          <w:lang w:val="es-MX" w:eastAsia="es-MX"/>
        </w:rPr>
        <w:t xml:space="preserve">Estados Unidos, </w:t>
      </w:r>
      <w:r w:rsidRPr="00830A41">
        <w:rPr>
          <w:rFonts w:asciiTheme="majorHAnsi" w:hAnsiTheme="majorHAnsi" w:cstheme="majorHAnsi"/>
          <w:sz w:val="24"/>
          <w:szCs w:val="24"/>
          <w:lang w:val="es-MX" w:eastAsia="es-MX"/>
        </w:rPr>
        <w:t xml:space="preserve">se espera que el crecimiento alcance el 2,9 por ciento en 2018, impulsado por el estímulo fiscal procíclico tras ocho años de expansión consecutivos y unas condiciones financieras todavía laxas (aunque se prevé un endurecimiento de la política monetaria). Se espera que el crecimiento se modere hasta el 2,5 por ciento en 2019 (una revisión a la baja de 0,2 puntos porcentuales con respecto al informe WEO de abril de 2008 debido a las medidas de comercio adoptadas recientemente) y caiga hasta el 1,8 por ciento en 2020, cuando el estímulo fiscal comience a perder fuerza. Se prevé que la sólida demanda interna empuje la economía hasta superar el pleno empleo y haga subir las importaciones y el déficit en cuenta corriente. Según las estimaciones, el crecimiento a mediano </w:t>
      </w:r>
      <w:r w:rsidRPr="00830A41">
        <w:rPr>
          <w:rFonts w:asciiTheme="majorHAnsi" w:hAnsiTheme="majorHAnsi" w:cstheme="majorHAnsi"/>
          <w:sz w:val="24"/>
          <w:szCs w:val="24"/>
          <w:lang w:val="es-MX" w:eastAsia="es-MX"/>
        </w:rPr>
        <w:lastRenderedPageBreak/>
        <w:t>plazo disminuirá temporalmente hasta situarse por debajo del potencial en el 1,4 por ciento, coincidiendo con el cierre gradual de la brecha del producto positiva.</w:t>
      </w:r>
    </w:p>
    <w:p w14:paraId="4D0949DA" w14:textId="77777777" w:rsidR="00D55CFB" w:rsidRPr="00830A41" w:rsidRDefault="00D55CFB" w:rsidP="00D55CFB">
      <w:pPr>
        <w:pStyle w:val="Prrafodelista"/>
        <w:numPr>
          <w:ilvl w:val="0"/>
          <w:numId w:val="32"/>
        </w:numPr>
        <w:autoSpaceDE w:val="0"/>
        <w:autoSpaceDN w:val="0"/>
        <w:adjustRightInd w:val="0"/>
        <w:spacing w:line="360" w:lineRule="auto"/>
        <w:jc w:val="both"/>
        <w:rPr>
          <w:rFonts w:asciiTheme="majorHAnsi" w:hAnsiTheme="majorHAnsi" w:cstheme="majorHAnsi"/>
          <w:sz w:val="24"/>
          <w:szCs w:val="24"/>
          <w:lang w:val="es-MX" w:eastAsia="es-MX"/>
        </w:rPr>
      </w:pPr>
      <w:r w:rsidRPr="00830A41">
        <w:rPr>
          <w:rFonts w:asciiTheme="majorHAnsi" w:hAnsiTheme="majorHAnsi" w:cstheme="majorHAnsi"/>
          <w:sz w:val="24"/>
          <w:szCs w:val="24"/>
          <w:lang w:val="es-MX" w:eastAsia="es-MX"/>
        </w:rPr>
        <w:t xml:space="preserve">Se proyecta que el crecimiento siga siendo fuerte en la </w:t>
      </w:r>
      <w:r w:rsidRPr="00830A41">
        <w:rPr>
          <w:rFonts w:asciiTheme="majorHAnsi" w:hAnsiTheme="majorHAnsi" w:cstheme="majorHAnsi"/>
          <w:i/>
          <w:iCs/>
          <w:sz w:val="24"/>
          <w:szCs w:val="24"/>
          <w:lang w:val="es-MX" w:eastAsia="es-MX"/>
        </w:rPr>
        <w:t xml:space="preserve">zona del euro, </w:t>
      </w:r>
      <w:r w:rsidRPr="00830A41">
        <w:rPr>
          <w:rFonts w:asciiTheme="majorHAnsi" w:hAnsiTheme="majorHAnsi" w:cstheme="majorHAnsi"/>
          <w:sz w:val="24"/>
          <w:szCs w:val="24"/>
          <w:lang w:val="es-MX" w:eastAsia="es-MX"/>
        </w:rPr>
        <w:t xml:space="preserve">aunque la revisión a la baja en 0,4 puntos porcentuales lo sitúa en el 2,0 por ciento en 2018, lo cual refleja unos resultados más débiles de lo esperado durante el primer semestre del año. Las previsiones indican que el crecimiento continuará su desaceleración gradual hasta el 1,9 por ciento en 2019, 0,1 puntos porcentuales menos que en las previsiones de abril. Se espera que el gasto de los hogares y la creación de empleo en un entorno de política monetaria propicia, ambos positivos, sigan generando una demanda agregada sólida, si bien a un ritmo más moderado. Los perfiles a corto plazo de las tasas de crecimiento varían según el país. En </w:t>
      </w:r>
      <w:r w:rsidRPr="00830A41">
        <w:rPr>
          <w:rFonts w:asciiTheme="majorHAnsi" w:hAnsiTheme="majorHAnsi" w:cstheme="majorHAnsi"/>
          <w:i/>
          <w:iCs/>
          <w:sz w:val="24"/>
          <w:szCs w:val="24"/>
          <w:lang w:val="es-MX" w:eastAsia="es-MX"/>
        </w:rPr>
        <w:t>Francia</w:t>
      </w:r>
      <w:r w:rsidRPr="00830A41">
        <w:rPr>
          <w:rFonts w:asciiTheme="majorHAnsi" w:hAnsiTheme="majorHAnsi" w:cstheme="majorHAnsi"/>
          <w:sz w:val="24"/>
          <w:szCs w:val="24"/>
          <w:lang w:val="es-MX" w:eastAsia="es-MX"/>
        </w:rPr>
        <w:t xml:space="preserve">, se prevé que el crecimiento se modere hasta el 1,6 por ciento en 2018 y 2019, lo cual supone un descenso de 0,5 (0,4) puntos porcentuales respecto al nivel previsto para 2018 (2019) en el informe WEO de abril de 2018, como consecuencia tanto de una demanda externa más suave como de resultados e indicadores de alta frecuencia inferiores en 2018. En </w:t>
      </w:r>
      <w:r w:rsidRPr="00830A41">
        <w:rPr>
          <w:rFonts w:asciiTheme="majorHAnsi" w:hAnsiTheme="majorHAnsi" w:cstheme="majorHAnsi"/>
          <w:i/>
          <w:iCs/>
          <w:sz w:val="24"/>
          <w:szCs w:val="24"/>
          <w:lang w:val="es-MX" w:eastAsia="es-MX"/>
        </w:rPr>
        <w:t>Alemania</w:t>
      </w:r>
      <w:r w:rsidRPr="00830A41">
        <w:rPr>
          <w:rFonts w:asciiTheme="majorHAnsi" w:hAnsiTheme="majorHAnsi" w:cstheme="majorHAnsi"/>
          <w:sz w:val="24"/>
          <w:szCs w:val="24"/>
          <w:lang w:val="es-MX" w:eastAsia="es-MX"/>
        </w:rPr>
        <w:t xml:space="preserve">, el crecimiento se revisó a la baja, hasta el 1,9 por ciento en 2018 y 2019 (0,6 puntos porcentuales y 0,1 puntos porcentuales, respectivamente), debido a la desaceleración de las exportaciones y la producción industrial. Las previsiones de crecimiento en </w:t>
      </w:r>
      <w:r w:rsidRPr="00830A41">
        <w:rPr>
          <w:rFonts w:asciiTheme="majorHAnsi" w:hAnsiTheme="majorHAnsi" w:cstheme="majorHAnsi"/>
          <w:i/>
          <w:iCs/>
          <w:sz w:val="24"/>
          <w:szCs w:val="24"/>
          <w:lang w:val="es-MX" w:eastAsia="es-MX"/>
        </w:rPr>
        <w:t xml:space="preserve">Italia </w:t>
      </w:r>
      <w:r w:rsidRPr="00830A41">
        <w:rPr>
          <w:rFonts w:asciiTheme="majorHAnsi" w:hAnsiTheme="majorHAnsi" w:cstheme="majorHAnsi"/>
          <w:sz w:val="24"/>
          <w:szCs w:val="24"/>
          <w:lang w:val="es-MX" w:eastAsia="es-MX"/>
        </w:rPr>
        <w:t xml:space="preserve">son también inferiores a las del informe WEO de abril y se sitúan en el 1,2 por ciento para 2018 y el 1 por ciento para 2019, a causa del deterioro subyacente de la demanda externa e interna y la incertidumbre en torno a la agenda de políticas del nuevo gobierno. En </w:t>
      </w:r>
      <w:r w:rsidRPr="00830A41">
        <w:rPr>
          <w:rFonts w:asciiTheme="majorHAnsi" w:hAnsiTheme="majorHAnsi" w:cstheme="majorHAnsi"/>
          <w:i/>
          <w:iCs/>
          <w:sz w:val="24"/>
          <w:szCs w:val="24"/>
          <w:lang w:val="es-MX" w:eastAsia="es-MX"/>
        </w:rPr>
        <w:t>España</w:t>
      </w:r>
      <w:r w:rsidRPr="00830A41">
        <w:rPr>
          <w:rFonts w:asciiTheme="majorHAnsi" w:hAnsiTheme="majorHAnsi" w:cstheme="majorHAnsi"/>
          <w:sz w:val="24"/>
          <w:szCs w:val="24"/>
          <w:lang w:val="es-MX" w:eastAsia="es-MX"/>
        </w:rPr>
        <w:t xml:space="preserve">, se espera que el crecimiento se sitúe en 2,7 por ciento en 2018 y 2,2 por ciento en 2019, lo cual supone un descenso de 0,1 puntos porcentuales respecto a las previsiones de abril para 2018, y ninguna variación respecto a las de 2019. En la </w:t>
      </w:r>
      <w:r w:rsidRPr="00830A41">
        <w:rPr>
          <w:rFonts w:asciiTheme="majorHAnsi" w:hAnsiTheme="majorHAnsi" w:cstheme="majorHAnsi"/>
          <w:i/>
          <w:iCs/>
          <w:sz w:val="24"/>
          <w:szCs w:val="24"/>
          <w:lang w:val="es-MX" w:eastAsia="es-MX"/>
        </w:rPr>
        <w:t>zona del euro</w:t>
      </w:r>
      <w:r w:rsidRPr="00830A41">
        <w:rPr>
          <w:rFonts w:asciiTheme="majorHAnsi" w:hAnsiTheme="majorHAnsi" w:cstheme="majorHAnsi"/>
          <w:sz w:val="24"/>
          <w:szCs w:val="24"/>
          <w:lang w:val="es-MX" w:eastAsia="es-MX"/>
        </w:rPr>
        <w:t>, se espera que el crecimiento a mediano plazo, que las proyecciones sitúan en torno al 1,4 por ciento, se vea limitado por el lento crecimiento de la productividad y una demografía desfavorable.</w:t>
      </w:r>
    </w:p>
    <w:p w14:paraId="7863168B" w14:textId="77777777" w:rsidR="00D55CFB" w:rsidRPr="00830A41" w:rsidRDefault="00D55CFB" w:rsidP="00D55CFB">
      <w:pPr>
        <w:pStyle w:val="Prrafodelista"/>
        <w:numPr>
          <w:ilvl w:val="0"/>
          <w:numId w:val="32"/>
        </w:numPr>
        <w:autoSpaceDE w:val="0"/>
        <w:autoSpaceDN w:val="0"/>
        <w:adjustRightInd w:val="0"/>
        <w:spacing w:line="360" w:lineRule="auto"/>
        <w:jc w:val="both"/>
        <w:rPr>
          <w:rFonts w:asciiTheme="majorHAnsi" w:hAnsiTheme="majorHAnsi" w:cstheme="majorHAnsi"/>
          <w:sz w:val="24"/>
          <w:szCs w:val="24"/>
          <w:lang w:val="es-MX" w:eastAsia="es-MX"/>
        </w:rPr>
      </w:pPr>
      <w:r w:rsidRPr="00830A41">
        <w:rPr>
          <w:rFonts w:asciiTheme="majorHAnsi" w:hAnsiTheme="majorHAnsi" w:cstheme="majorHAnsi"/>
          <w:sz w:val="24"/>
          <w:szCs w:val="24"/>
          <w:lang w:val="es-MX" w:eastAsia="es-MX"/>
        </w:rPr>
        <w:lastRenderedPageBreak/>
        <w:t xml:space="preserve">En el </w:t>
      </w:r>
      <w:r w:rsidRPr="00830A41">
        <w:rPr>
          <w:rFonts w:asciiTheme="majorHAnsi" w:hAnsiTheme="majorHAnsi" w:cstheme="majorHAnsi"/>
          <w:i/>
          <w:iCs/>
          <w:sz w:val="24"/>
          <w:szCs w:val="24"/>
          <w:lang w:val="es-MX" w:eastAsia="es-MX"/>
        </w:rPr>
        <w:t>Reino Unido</w:t>
      </w:r>
      <w:r w:rsidRPr="00830A41">
        <w:rPr>
          <w:rFonts w:asciiTheme="majorHAnsi" w:hAnsiTheme="majorHAnsi" w:cstheme="majorHAnsi"/>
          <w:sz w:val="24"/>
          <w:szCs w:val="24"/>
          <w:lang w:val="es-MX" w:eastAsia="es-MX"/>
        </w:rPr>
        <w:t>, según las proyecciones, el crecimiento se reducirá hasta 1,4 por ciento en 2018 y 1,5 por ciento en 2019 (fue del 1,7 por ciento en 2017). Estas previsiones suponen una revisión a la baja de 0,2 puntos porcentuales para 2018 en relación con el informe WEO de abril de 2018, consecuencia del débil crecimiento en el primer trimestre del año, provocado en parte por factores meteorológicos. Las previsiones de crecimiento a mediano plazo se mantienen en el 1,6 por ciento, lastradas por el esperado aumento de las barreras comerciales después del brexit. (Las hipótesis sobre el resultado del brexit siguen siendo prácticamente las mismas que se esgrimen en los informes WEO de abril de 2018 y octubre de 2017. Se espera que los aranceles sobre el comercio con la Unión Europea se mantengan en cero y es probable que los costos no arancelarios se incrementen de forma moderada.)</w:t>
      </w:r>
    </w:p>
    <w:p w14:paraId="0C64D759" w14:textId="6C1DEFCD" w:rsidR="00D55CFB" w:rsidRPr="00830A41" w:rsidRDefault="00D55CFB" w:rsidP="00D55CFB">
      <w:pPr>
        <w:pStyle w:val="Prrafodelista"/>
        <w:numPr>
          <w:ilvl w:val="0"/>
          <w:numId w:val="32"/>
        </w:numPr>
        <w:autoSpaceDE w:val="0"/>
        <w:autoSpaceDN w:val="0"/>
        <w:adjustRightInd w:val="0"/>
        <w:spacing w:line="360" w:lineRule="auto"/>
        <w:jc w:val="both"/>
        <w:rPr>
          <w:rFonts w:asciiTheme="majorHAnsi" w:hAnsiTheme="majorHAnsi" w:cstheme="majorHAnsi"/>
          <w:sz w:val="24"/>
          <w:szCs w:val="24"/>
          <w:lang w:val="es-MX" w:eastAsia="es-MX"/>
        </w:rPr>
      </w:pPr>
      <w:r w:rsidRPr="00830A41">
        <w:rPr>
          <w:rFonts w:asciiTheme="majorHAnsi" w:hAnsiTheme="majorHAnsi" w:cstheme="majorHAnsi"/>
          <w:sz w:val="24"/>
          <w:szCs w:val="24"/>
          <w:lang w:val="es-MX" w:eastAsia="es-MX"/>
        </w:rPr>
        <w:t xml:space="preserve">Se prevé que el crecimiento de </w:t>
      </w:r>
      <w:r w:rsidRPr="00830A41">
        <w:rPr>
          <w:rFonts w:asciiTheme="majorHAnsi" w:hAnsiTheme="majorHAnsi" w:cstheme="majorHAnsi"/>
          <w:i/>
          <w:iCs/>
          <w:sz w:val="24"/>
          <w:szCs w:val="24"/>
          <w:lang w:val="es-MX" w:eastAsia="es-MX"/>
        </w:rPr>
        <w:t xml:space="preserve">Japón </w:t>
      </w:r>
      <w:r w:rsidRPr="00830A41">
        <w:rPr>
          <w:rFonts w:asciiTheme="majorHAnsi" w:hAnsiTheme="majorHAnsi" w:cstheme="majorHAnsi"/>
          <w:sz w:val="24"/>
          <w:szCs w:val="24"/>
          <w:lang w:val="es-MX" w:eastAsia="es-MX"/>
        </w:rPr>
        <w:t>se modere en el 1,1 por ciento en 2018 (tras el sólido resultado del 1,7 por ciento en 2017, por encima de la tendencia) antes de disminuir hasta el 0,9 por ciento en 2019. La revisión a la baja de 0,1 puntos porcentuales para 2018 con respecto al informe WEO de abril se debe en gran medida a la contracción observada durante el primer trimestre de 2018. Dado el repunte del crecimiento y la demanda interna registrados en el segundo trimestre de 2018, es probable que se trate de una caída temporal y no del inicio de un cambio de ciclo. Las perspectivas de Japón a mediano plazo se ven obstaculizadas por una demografía desfavorable y la reducción tendencial de la fuerza laboral.</w:t>
      </w:r>
    </w:p>
    <w:p w14:paraId="13A626C2" w14:textId="77777777" w:rsidR="00D55CFB" w:rsidRPr="00830A41" w:rsidRDefault="00D55CFB" w:rsidP="00D55CFB">
      <w:pPr>
        <w:pStyle w:val="Prrafodelista"/>
        <w:numPr>
          <w:ilvl w:val="0"/>
          <w:numId w:val="32"/>
        </w:numPr>
        <w:autoSpaceDE w:val="0"/>
        <w:autoSpaceDN w:val="0"/>
        <w:adjustRightInd w:val="0"/>
        <w:spacing w:line="360" w:lineRule="auto"/>
        <w:jc w:val="both"/>
        <w:rPr>
          <w:rFonts w:asciiTheme="majorHAnsi" w:hAnsiTheme="majorHAnsi" w:cstheme="majorHAnsi"/>
          <w:sz w:val="24"/>
          <w:szCs w:val="24"/>
          <w:lang w:val="es-MX" w:eastAsia="es-MX"/>
        </w:rPr>
      </w:pPr>
      <w:r w:rsidRPr="00830A41">
        <w:rPr>
          <w:rFonts w:asciiTheme="majorHAnsi" w:hAnsiTheme="majorHAnsi" w:cstheme="majorHAnsi"/>
          <w:sz w:val="24"/>
          <w:szCs w:val="24"/>
          <w:lang w:val="es-MX" w:eastAsia="es-MX"/>
        </w:rPr>
        <w:t xml:space="preserve">Por lo que se refiere al crecimiento en otras economías avanzadas, se espera que en </w:t>
      </w:r>
      <w:r w:rsidRPr="00830A41">
        <w:rPr>
          <w:rFonts w:asciiTheme="majorHAnsi" w:hAnsiTheme="majorHAnsi" w:cstheme="majorHAnsi"/>
          <w:i/>
          <w:iCs/>
          <w:sz w:val="24"/>
          <w:szCs w:val="24"/>
          <w:lang w:val="es-MX" w:eastAsia="es-MX"/>
        </w:rPr>
        <w:t xml:space="preserve">Canadá </w:t>
      </w:r>
      <w:r w:rsidRPr="00830A41">
        <w:rPr>
          <w:rFonts w:asciiTheme="majorHAnsi" w:hAnsiTheme="majorHAnsi" w:cstheme="majorHAnsi"/>
          <w:sz w:val="24"/>
          <w:szCs w:val="24"/>
          <w:lang w:val="es-MX" w:eastAsia="es-MX"/>
        </w:rPr>
        <w:t xml:space="preserve">se modere hasta el 2,1 por ciento en 2018 y el 2,0 por ciento en 2019, y que en </w:t>
      </w:r>
      <w:r w:rsidRPr="00830A41">
        <w:rPr>
          <w:rFonts w:asciiTheme="majorHAnsi" w:hAnsiTheme="majorHAnsi" w:cstheme="majorHAnsi"/>
          <w:i/>
          <w:iCs/>
          <w:sz w:val="24"/>
          <w:szCs w:val="24"/>
          <w:lang w:val="es-MX" w:eastAsia="es-MX"/>
        </w:rPr>
        <w:t xml:space="preserve">Australia </w:t>
      </w:r>
      <w:r w:rsidRPr="00830A41">
        <w:rPr>
          <w:rFonts w:asciiTheme="majorHAnsi" w:hAnsiTheme="majorHAnsi" w:cstheme="majorHAnsi"/>
          <w:sz w:val="24"/>
          <w:szCs w:val="24"/>
          <w:lang w:val="es-MX" w:eastAsia="es-MX"/>
        </w:rPr>
        <w:t xml:space="preserve">supere el 3 por ciento en 2018 y luego disminuya hasta el 2,8 por ciento en 2019. En </w:t>
      </w:r>
      <w:r w:rsidRPr="00830A41">
        <w:rPr>
          <w:rFonts w:asciiTheme="majorHAnsi" w:hAnsiTheme="majorHAnsi" w:cstheme="majorHAnsi"/>
          <w:i/>
          <w:iCs/>
          <w:sz w:val="24"/>
          <w:szCs w:val="24"/>
          <w:lang w:val="es-MX" w:eastAsia="es-MX"/>
        </w:rPr>
        <w:t>Corea</w:t>
      </w:r>
      <w:r w:rsidRPr="00830A41">
        <w:rPr>
          <w:rFonts w:asciiTheme="majorHAnsi" w:hAnsiTheme="majorHAnsi" w:cstheme="majorHAnsi"/>
          <w:sz w:val="24"/>
          <w:szCs w:val="24"/>
          <w:lang w:val="es-MX" w:eastAsia="es-MX"/>
        </w:rPr>
        <w:t>, las previsiones sitúan el crecimiento en el 2,8 por ciento en 2018 y el 2,6 por ciento en 2019. Las revisiones a la baja de los pronósticos de crecimiento de Australia y Corea en 2019 con respecto al informe WEO de abril de 2018 reflejan en parte el efecto negativo de las medidas de comercio adoptadas recientemente.</w:t>
      </w:r>
    </w:p>
    <w:p w14:paraId="6829A782" w14:textId="77777777" w:rsidR="00D55CFB" w:rsidRPr="00830A41" w:rsidRDefault="00D55CFB" w:rsidP="00D55CFB">
      <w:pPr>
        <w:spacing w:line="360" w:lineRule="auto"/>
        <w:rPr>
          <w:rFonts w:asciiTheme="majorHAnsi" w:eastAsia="Arial" w:hAnsiTheme="majorHAnsi" w:cstheme="majorHAnsi"/>
          <w:noProof/>
          <w:sz w:val="15"/>
          <w:szCs w:val="15"/>
          <w:lang w:eastAsia="es-MX"/>
        </w:rPr>
      </w:pPr>
      <w:r w:rsidRPr="00830A41">
        <w:rPr>
          <w:rFonts w:asciiTheme="majorHAnsi" w:hAnsiTheme="majorHAnsi" w:cstheme="majorHAnsi"/>
          <w:b/>
        </w:rPr>
        <w:lastRenderedPageBreak/>
        <w:t>Inflación Mundial</w:t>
      </w:r>
    </w:p>
    <w:p w14:paraId="210C0790" w14:textId="77777777" w:rsidR="00D55CFB" w:rsidRPr="00830A41" w:rsidRDefault="00D55CFB" w:rsidP="00D55CFB">
      <w:pPr>
        <w:spacing w:line="360" w:lineRule="auto"/>
        <w:rPr>
          <w:rFonts w:asciiTheme="majorHAnsi" w:hAnsiTheme="majorHAnsi" w:cstheme="majorHAnsi"/>
          <w:sz w:val="20"/>
          <w:highlight w:val="lightGray"/>
        </w:rPr>
      </w:pPr>
    </w:p>
    <w:p w14:paraId="658AD0EA"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r w:rsidRPr="00830A41">
        <w:rPr>
          <w:rFonts w:asciiTheme="majorHAnsi" w:hAnsiTheme="majorHAnsi" w:cstheme="majorHAnsi"/>
          <w:szCs w:val="24"/>
          <w:lang w:val="es-MX" w:eastAsia="es-MX"/>
        </w:rPr>
        <w:t>Debido a los precios más altos de los combustibles, el nivel general de inflación se incrementó en los últimos seis meses, y en las economías de mercados emergentes y en desarrollo la inflación subyacente también se ha elevado. Sin embargo, el crecimiento salarial se mantiene débil a pesar de la continuada caída de las tasas de desempleo.</w:t>
      </w:r>
    </w:p>
    <w:p w14:paraId="197D844A"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p>
    <w:p w14:paraId="7F48D835"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r w:rsidRPr="00830A41">
        <w:rPr>
          <w:rFonts w:asciiTheme="majorHAnsi" w:hAnsiTheme="majorHAnsi" w:cstheme="majorHAnsi"/>
          <w:szCs w:val="24"/>
          <w:lang w:val="es-MX" w:eastAsia="es-MX"/>
        </w:rPr>
        <w:t>Entre las economías avanzadas, en Estados Unidos, donde el desempleo ronda los niveles más bajos en varias décadas, la inflación anual subyacente de los precios al consumidor ha superado el 2 por ciento desde marzo.</w:t>
      </w:r>
    </w:p>
    <w:p w14:paraId="03BD4222" w14:textId="77777777" w:rsidR="00D932CC" w:rsidRPr="00830A41" w:rsidRDefault="00D932CC" w:rsidP="00D55CFB">
      <w:pPr>
        <w:autoSpaceDE w:val="0"/>
        <w:autoSpaceDN w:val="0"/>
        <w:adjustRightInd w:val="0"/>
        <w:spacing w:line="360" w:lineRule="auto"/>
        <w:rPr>
          <w:rFonts w:asciiTheme="majorHAnsi" w:hAnsiTheme="majorHAnsi" w:cstheme="majorHAnsi"/>
          <w:szCs w:val="24"/>
          <w:lang w:val="es-MX" w:eastAsia="es-MX"/>
        </w:rPr>
      </w:pPr>
    </w:p>
    <w:p w14:paraId="289B547A"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r w:rsidRPr="00830A41">
        <w:rPr>
          <w:rFonts w:asciiTheme="majorHAnsi" w:hAnsiTheme="majorHAnsi" w:cstheme="majorHAnsi"/>
          <w:szCs w:val="24"/>
          <w:lang w:val="es-MX" w:eastAsia="es-MX"/>
        </w:rPr>
        <w:t>El índice de precios de gastos de consumo personal, el índice preferido por la Reserva Federal, también ha aumentado hasta situarse cerca de la meta del 2 por ciento. El nivel de inflación subyacente en el Reino Unido se situó en un promedio ligeramente superior al 2 por ciento en el primer semestre de 2018, más bajo que el del año pasado, dado que los efectos de la fuerte depreciación de la libra en 2016–17 sobre los precios internos se han ido desvaneciendo. En la zona del euro y Japón, la inflación subyacente sigue siendo débil: alrededor de 1 por ciento en la zona del euro y 0,3 por ciento en Japón3.</w:t>
      </w:r>
    </w:p>
    <w:p w14:paraId="6A04A376"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p>
    <w:p w14:paraId="4EFFC939"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r w:rsidRPr="00830A41">
        <w:rPr>
          <w:rFonts w:asciiTheme="majorHAnsi" w:hAnsiTheme="majorHAnsi" w:cstheme="majorHAnsi"/>
          <w:szCs w:val="24"/>
          <w:lang w:val="es-MX" w:eastAsia="es-MX"/>
        </w:rPr>
        <w:t>El crecimiento del salario real en la mayoría de las economías avanzadas se mantiene reprimido, pese a que se está reduciendo la oferta de mano de obra en los mercados de trabajo y se están cerrando las brechas del producto (y, en algunos casos en que la economía está funcionando por encima de su potencial, dicha brecha ha pasado a ser positiva). En Estados Unidos y Japón, por ejemplo, donde se registran las tasas de desempleo más bajas desde 2000 y 1993, respectivamente, los salarios han aumentado solo moderadamente, lo cual refleja en parte el débil crecimiento de la productividad y, posiblemente, una mayor disponibilidad de mano de obra de la que refleja el nivel general de desempleo.</w:t>
      </w:r>
    </w:p>
    <w:p w14:paraId="45D76400"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p>
    <w:p w14:paraId="73243B19"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r w:rsidRPr="00830A41">
        <w:rPr>
          <w:rFonts w:asciiTheme="majorHAnsi" w:hAnsiTheme="majorHAnsi" w:cstheme="majorHAnsi"/>
          <w:szCs w:val="24"/>
          <w:lang w:val="es-MX" w:eastAsia="es-MX"/>
        </w:rPr>
        <w:lastRenderedPageBreak/>
        <w:t>En lo que respecta al grupo de economías de mercados emergentes y en desarrollo, la inflación subyacente permanece contenida en el 2 por ciento aproximadamente en China, donde la demanda interna se ha desacelerado en respuesta a una regulación financiera más rigurosa. En India, la inflación subyacente (incluidos todos los rubros de alimentos y energía) aumentó alrededor del 6 por ciento debido a la reducción de la brecha del producto y al efecto de traspaso a los precios internos del aumento de los precios de la energía y la depreciación del tipo de cambio. La inflación subyacente ha bajado en Brasil y México (a alrededor de 2½ por ciento y 3½ por ciento, respectivamente), como reflejo de un menor nivel de actividad y un mejor anclaje de las expectativas. En Rusia, la inflación subyacente disminuyó este año (hasta mayo registró un promedio inferior al 2 por ciento y en junio aumentó ligeramente), en consonancia con la aplicación de una política monetaria moderadamente restrictiva, menores expectativas de inflación y bajo nivel de traspaso del tipo de cambio a los precios internos.</w:t>
      </w:r>
      <w:r w:rsidRPr="00830A41">
        <w:rPr>
          <w:rStyle w:val="Refdenotaalpie"/>
          <w:rFonts w:asciiTheme="majorHAnsi" w:hAnsiTheme="majorHAnsi" w:cstheme="majorHAnsi"/>
          <w:szCs w:val="24"/>
        </w:rPr>
        <w:footnoteReference w:id="2"/>
      </w:r>
    </w:p>
    <w:p w14:paraId="47F4EEBC" w14:textId="77777777" w:rsidR="00D55CFB" w:rsidRPr="00830A41" w:rsidRDefault="00D55CFB" w:rsidP="00D55CFB">
      <w:pPr>
        <w:spacing w:line="360" w:lineRule="auto"/>
        <w:rPr>
          <w:rFonts w:asciiTheme="majorHAnsi" w:hAnsiTheme="majorHAnsi" w:cstheme="majorHAnsi"/>
          <w:b/>
        </w:rPr>
      </w:pPr>
    </w:p>
    <w:p w14:paraId="6D1090B1" w14:textId="5407BD45" w:rsidR="00D55CFB" w:rsidRPr="00830A41" w:rsidRDefault="00D55CFB" w:rsidP="00D55CFB">
      <w:pPr>
        <w:spacing w:line="360" w:lineRule="auto"/>
        <w:rPr>
          <w:rFonts w:asciiTheme="majorHAnsi" w:hAnsiTheme="majorHAnsi" w:cstheme="majorHAnsi"/>
          <w:b/>
        </w:rPr>
      </w:pPr>
      <w:r w:rsidRPr="00830A41">
        <w:rPr>
          <w:rFonts w:asciiTheme="majorHAnsi" w:hAnsiTheme="majorHAnsi" w:cstheme="majorHAnsi"/>
          <w:b/>
        </w:rPr>
        <w:t>ENTORNO NACIONAL</w:t>
      </w:r>
    </w:p>
    <w:p w14:paraId="2F8BBF6D" w14:textId="77777777" w:rsidR="00D55CFB" w:rsidRPr="00830A41" w:rsidRDefault="00D55CFB" w:rsidP="00D55CFB">
      <w:pPr>
        <w:spacing w:line="360" w:lineRule="auto"/>
        <w:rPr>
          <w:rFonts w:asciiTheme="majorHAnsi" w:hAnsiTheme="majorHAnsi" w:cstheme="majorHAnsi"/>
          <w:b/>
          <w:highlight w:val="lightGray"/>
        </w:rPr>
      </w:pPr>
    </w:p>
    <w:p w14:paraId="1F3B8C72" w14:textId="77777777" w:rsidR="00D55CFB" w:rsidRPr="00830A41" w:rsidRDefault="00D55CFB" w:rsidP="00D55CFB">
      <w:pPr>
        <w:autoSpaceDE w:val="0"/>
        <w:autoSpaceDN w:val="0"/>
        <w:adjustRightInd w:val="0"/>
        <w:spacing w:line="360" w:lineRule="auto"/>
        <w:rPr>
          <w:rFonts w:asciiTheme="majorHAnsi" w:hAnsiTheme="majorHAnsi" w:cstheme="majorHAnsi"/>
          <w:sz w:val="28"/>
          <w:szCs w:val="24"/>
          <w:highlight w:val="lightGray"/>
          <w:lang w:val="es-MX" w:eastAsia="es-MX"/>
        </w:rPr>
      </w:pPr>
      <w:r w:rsidRPr="00830A41">
        <w:rPr>
          <w:rFonts w:asciiTheme="majorHAnsi" w:hAnsiTheme="majorHAnsi" w:cstheme="majorHAnsi"/>
          <w:szCs w:val="22"/>
          <w:lang w:val="es-MX" w:eastAsia="es-MX"/>
        </w:rPr>
        <w:t>Ante el entorno externo adverso registrado en los últimos años, la economía de México se ha mostrado resiliente, a lo cual ha contribuido la solidez de los fundamentos macroeconómicos y el avance en la implementación de las Reformas Estructurales. Así, en 2017 y principios de 2018 la actividad económica siguió expandiéndose. En particular, la demanda externa continuó mostrando un desempeño favorable, al tiempo que el consumo privado siguió registrando una tendencia positiva, a diferencia de la inversión que continuó exhibiendo un débil desempeño</w:t>
      </w:r>
      <w:r w:rsidRPr="00830A41">
        <w:rPr>
          <w:rFonts w:asciiTheme="majorHAnsi" w:hAnsiTheme="majorHAnsi" w:cstheme="majorHAnsi"/>
          <w:szCs w:val="24"/>
        </w:rPr>
        <w:t>.</w:t>
      </w:r>
      <w:r w:rsidRPr="00830A41">
        <w:rPr>
          <w:rStyle w:val="Refdenotaalpie"/>
          <w:rFonts w:asciiTheme="majorHAnsi" w:hAnsiTheme="majorHAnsi" w:cstheme="majorHAnsi"/>
          <w:szCs w:val="24"/>
        </w:rPr>
        <w:footnoteReference w:id="3"/>
      </w:r>
    </w:p>
    <w:p w14:paraId="40F784AE" w14:textId="77777777" w:rsidR="00830A41" w:rsidRDefault="00830A41" w:rsidP="00D55CFB">
      <w:pPr>
        <w:spacing w:line="360" w:lineRule="auto"/>
        <w:rPr>
          <w:rFonts w:asciiTheme="majorHAnsi" w:hAnsiTheme="majorHAnsi" w:cstheme="majorHAnsi"/>
          <w:b/>
        </w:rPr>
      </w:pPr>
    </w:p>
    <w:p w14:paraId="52461F8F" w14:textId="0B366619" w:rsidR="00D55CFB" w:rsidRPr="00830A41" w:rsidRDefault="00D55CFB" w:rsidP="00D55CFB">
      <w:pPr>
        <w:spacing w:line="360" w:lineRule="auto"/>
        <w:rPr>
          <w:rFonts w:asciiTheme="majorHAnsi" w:hAnsiTheme="majorHAnsi" w:cstheme="majorHAnsi"/>
          <w:b/>
        </w:rPr>
      </w:pPr>
      <w:r w:rsidRPr="00830A41">
        <w:rPr>
          <w:rFonts w:asciiTheme="majorHAnsi" w:hAnsiTheme="majorHAnsi" w:cstheme="majorHAnsi"/>
          <w:b/>
        </w:rPr>
        <w:t>Inflación</w:t>
      </w:r>
    </w:p>
    <w:p w14:paraId="67358790" w14:textId="77777777" w:rsidR="00D55CFB" w:rsidRPr="00830A41" w:rsidRDefault="00D55CFB" w:rsidP="00D55CFB">
      <w:pPr>
        <w:spacing w:line="360" w:lineRule="auto"/>
        <w:rPr>
          <w:rFonts w:asciiTheme="majorHAnsi" w:hAnsiTheme="majorHAnsi" w:cstheme="majorHAnsi"/>
          <w:highlight w:val="lightGray"/>
        </w:rPr>
      </w:pPr>
    </w:p>
    <w:p w14:paraId="0B9E9E9F"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r w:rsidRPr="00830A41">
        <w:rPr>
          <w:rFonts w:asciiTheme="majorHAnsi" w:hAnsiTheme="majorHAnsi" w:cstheme="majorHAnsi"/>
          <w:szCs w:val="24"/>
          <w:lang w:val="es-MX" w:eastAsia="es-MX"/>
        </w:rPr>
        <w:t xml:space="preserve">Durante 2017, la inflación general anual promedio aumentó, alcanzando al cierre del año niveles no registrados desde 2001. En particular, a inicios de 2017 la inflación se vio </w:t>
      </w:r>
      <w:r w:rsidRPr="00830A41">
        <w:rPr>
          <w:rFonts w:asciiTheme="majorHAnsi" w:hAnsiTheme="majorHAnsi" w:cstheme="majorHAnsi"/>
          <w:szCs w:val="24"/>
          <w:lang w:val="es-MX" w:eastAsia="es-MX"/>
        </w:rPr>
        <w:lastRenderedPageBreak/>
        <w:t>influida de manera adversa por la depreciación de la moneda nacional y el aumento en su volatilidad, resultado a su vez de la incertidumbre sobre la postura del nuevo gobierno de Estados Unidos, así como por los incrementos registrados en los precios de algunos energéticos derivados de su proceso de liberalización. Adicionalmente, en los últimos meses del año choques asociados a factores como los aumentos del gas L.P. y de algunas frutas y verduras, y otros choques principalmente externos que generaron una depreciación adicional de la moneda y un renovado incremento en su volatilidad, dieron un impulso adicional a la inflación, llevándola a ubicarse en 6.77 por ciento en diciembre.</w:t>
      </w:r>
    </w:p>
    <w:p w14:paraId="5F37DE2D"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p>
    <w:p w14:paraId="7D5348D3"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r w:rsidRPr="00830A41">
        <w:rPr>
          <w:rFonts w:asciiTheme="majorHAnsi" w:hAnsiTheme="majorHAnsi" w:cstheme="majorHAnsi"/>
          <w:szCs w:val="24"/>
          <w:lang w:val="es-MX" w:eastAsia="es-MX"/>
        </w:rPr>
        <w:t>Sin embargo, en los primeros meses de 2018, la inflación general anual ha mostrado disminuciones, lo que la llevó a alcanzar 5.17 por ciento en la primera quincena de marzo. La inflación subyacente se ha reducido derivado de los menores precios en las mercancías y los servicios, el primero en línea con la tendencia decreciente que venía registrando y el segundo como resultado de menores incrementos en los precios de servicios turísticos, de alimentación y de educación con respecto al año previo. Por su parte, la inflación no subyacente ha disminuido como consecuencia, en parte, de que la inflación medida ya no contiene el efecto asociado al incremento en los precios de los energéticos del año anterior; aunque continúa resintiendo los efectos de los choques de los últimos meses de 2017.</w:t>
      </w:r>
      <w:r w:rsidRPr="00830A41">
        <w:rPr>
          <w:rStyle w:val="Refdenotaalpie"/>
          <w:rFonts w:asciiTheme="majorHAnsi" w:hAnsiTheme="majorHAnsi" w:cstheme="majorHAnsi"/>
          <w:szCs w:val="24"/>
        </w:rPr>
        <w:footnoteReference w:id="4"/>
      </w:r>
    </w:p>
    <w:p w14:paraId="7F1DB6BE" w14:textId="77777777" w:rsidR="00D55CFB" w:rsidRPr="00830A41" w:rsidRDefault="00D55CFB" w:rsidP="00D55CFB">
      <w:pPr>
        <w:autoSpaceDE w:val="0"/>
        <w:autoSpaceDN w:val="0"/>
        <w:adjustRightInd w:val="0"/>
        <w:spacing w:line="360" w:lineRule="auto"/>
        <w:rPr>
          <w:rFonts w:asciiTheme="majorHAnsi" w:hAnsiTheme="majorHAnsi" w:cstheme="majorHAnsi"/>
          <w:szCs w:val="22"/>
          <w:highlight w:val="lightGray"/>
          <w:lang w:val="es-MX" w:eastAsia="es-MX"/>
        </w:rPr>
      </w:pPr>
    </w:p>
    <w:p w14:paraId="31F88D09" w14:textId="77777777" w:rsidR="00D55CFB" w:rsidRPr="00830A41" w:rsidRDefault="00D55CFB" w:rsidP="00D55CFB">
      <w:pPr>
        <w:autoSpaceDE w:val="0"/>
        <w:autoSpaceDN w:val="0"/>
        <w:adjustRightInd w:val="0"/>
        <w:spacing w:line="360" w:lineRule="auto"/>
        <w:rPr>
          <w:rFonts w:asciiTheme="majorHAnsi" w:hAnsiTheme="majorHAnsi" w:cstheme="majorHAnsi"/>
          <w:color w:val="616265"/>
          <w:sz w:val="22"/>
          <w:szCs w:val="22"/>
          <w:lang w:val="es-MX" w:eastAsia="es-MX"/>
        </w:rPr>
      </w:pPr>
      <w:r w:rsidRPr="00830A41">
        <w:rPr>
          <w:rFonts w:asciiTheme="majorHAnsi" w:eastAsia="Times New Roman" w:hAnsiTheme="majorHAnsi" w:cstheme="majorHAnsi"/>
          <w:szCs w:val="24"/>
        </w:rPr>
        <w:t xml:space="preserve">Al cierre del tercer trimestre, la inflación general anual se ubicó en 5.02 por ciento, 1.75 puntos porcentuales por debajo del cierre de 2017, si bien 0.37 puntos porcentuales mayor que la registrada al cierre del trimestre anterior. El incremento de la inflación respecto a junio de 2018 se debió, principalmente, al aumento de los precios de las referencias internacionales de productos energéticos. A su interior, la inflación subyacente se ubicó en 3.67 por ciento en septiembre, mientras que la no subyacente se situó en 9.15 por ciento. Al cierre del tercer trimestre, la moneda nacional se ubicó en 18.72 pesos por dólar, lo cual implicó una apreciación de 5.8 por ciento respecto al cierre del trimestre </w:t>
      </w:r>
      <w:r w:rsidRPr="00830A41">
        <w:rPr>
          <w:rFonts w:asciiTheme="majorHAnsi" w:eastAsia="Times New Roman" w:hAnsiTheme="majorHAnsi" w:cstheme="majorHAnsi"/>
          <w:szCs w:val="24"/>
        </w:rPr>
        <w:lastRenderedPageBreak/>
        <w:t>previo. Lo anterior respondió principalmente a una jornada electoral ordenada y a que se alcanzó un acuerdo con Estados Unidos y Canadá para modernizar el Tratado de Libre Comercio de América del Norte (TLCAN). La certidumbre de contar con un nuevo acuerdo será un impulso al comercio e inversión. No obstante, durante octubre se ha observado una depreciación de la moneda, de modo que el tipo de cambio se ubicó en 19.58 pesos por dólar al 24 de octubre. Durante el tercer trimestre de 2018 se observó un incremento en las tasas de interés en el mercado de bonos gubernamentales de México, siguiendo el proceso de alzas en las tasas de referencia por parte de la Reserva Federal de Estados Unidos. Durante el trimestre, las tasas de corto plazo registraron un menor crecimiento que las de largo plazo, generando un incremento en la pendiente de la curva de rendimientos.</w:t>
      </w:r>
      <w:r w:rsidRPr="00830A41">
        <w:rPr>
          <w:rStyle w:val="Refdenotaalpie"/>
          <w:rFonts w:asciiTheme="majorHAnsi" w:hAnsiTheme="majorHAnsi" w:cstheme="majorHAnsi"/>
          <w:color w:val="000000"/>
          <w:szCs w:val="24"/>
        </w:rPr>
        <w:footnoteReference w:id="5"/>
      </w:r>
    </w:p>
    <w:p w14:paraId="27476F68" w14:textId="77777777" w:rsidR="00D55CFB" w:rsidRPr="00830A41" w:rsidRDefault="00D55CFB" w:rsidP="00D55CFB">
      <w:pPr>
        <w:spacing w:line="360" w:lineRule="auto"/>
        <w:rPr>
          <w:rFonts w:asciiTheme="majorHAnsi" w:hAnsiTheme="majorHAnsi" w:cstheme="majorHAnsi"/>
          <w:highlight w:val="lightGray"/>
        </w:rPr>
      </w:pPr>
    </w:p>
    <w:p w14:paraId="7A89BA26" w14:textId="77777777" w:rsidR="00D55CFB" w:rsidRPr="00830A41" w:rsidRDefault="00D55CFB" w:rsidP="00D55CFB">
      <w:pPr>
        <w:spacing w:line="360" w:lineRule="auto"/>
        <w:rPr>
          <w:rFonts w:asciiTheme="majorHAnsi" w:hAnsiTheme="majorHAnsi" w:cstheme="majorHAnsi"/>
          <w:b/>
        </w:rPr>
      </w:pPr>
      <w:r w:rsidRPr="00830A41">
        <w:rPr>
          <w:rFonts w:asciiTheme="majorHAnsi" w:hAnsiTheme="majorHAnsi" w:cstheme="majorHAnsi"/>
          <w:b/>
        </w:rPr>
        <w:t>Empleo</w:t>
      </w:r>
    </w:p>
    <w:p w14:paraId="10B74E0D" w14:textId="77777777" w:rsidR="00D55CFB" w:rsidRPr="00830A41" w:rsidRDefault="00D55CFB" w:rsidP="00D55CFB">
      <w:pPr>
        <w:spacing w:line="360" w:lineRule="auto"/>
        <w:rPr>
          <w:rFonts w:asciiTheme="majorHAnsi" w:hAnsiTheme="majorHAnsi" w:cstheme="majorHAnsi"/>
          <w:b/>
        </w:rPr>
      </w:pPr>
    </w:p>
    <w:p w14:paraId="633A0124" w14:textId="77777777" w:rsidR="00D55CFB" w:rsidRPr="00830A41" w:rsidRDefault="00D55CFB" w:rsidP="00D55CFB">
      <w:pPr>
        <w:autoSpaceDE w:val="0"/>
        <w:autoSpaceDN w:val="0"/>
        <w:adjustRightInd w:val="0"/>
        <w:spacing w:line="360" w:lineRule="auto"/>
        <w:rPr>
          <w:rFonts w:asciiTheme="majorHAnsi" w:hAnsiTheme="majorHAnsi" w:cstheme="majorHAnsi"/>
          <w:color w:val="000000"/>
          <w:szCs w:val="24"/>
        </w:rPr>
      </w:pPr>
      <w:r w:rsidRPr="00830A41">
        <w:rPr>
          <w:rFonts w:asciiTheme="majorHAnsi" w:hAnsiTheme="majorHAnsi" w:cstheme="majorHAnsi"/>
          <w:color w:val="000000"/>
          <w:szCs w:val="24"/>
        </w:rPr>
        <w:t xml:space="preserve">El INEGI informa sobre los principales resultados de la Encuesta Nacional de Ocupación y Empleo (ENOE) para septiembre de 2018: </w:t>
      </w:r>
    </w:p>
    <w:p w14:paraId="434AB9AA" w14:textId="77777777" w:rsidR="00D55CFB" w:rsidRPr="00830A41" w:rsidRDefault="00D55CFB" w:rsidP="00D55CFB">
      <w:pPr>
        <w:numPr>
          <w:ilvl w:val="0"/>
          <w:numId w:val="34"/>
        </w:numPr>
        <w:autoSpaceDE w:val="0"/>
        <w:autoSpaceDN w:val="0"/>
        <w:adjustRightInd w:val="0"/>
        <w:spacing w:line="360" w:lineRule="auto"/>
        <w:rPr>
          <w:rFonts w:asciiTheme="majorHAnsi" w:hAnsiTheme="majorHAnsi" w:cstheme="majorHAnsi"/>
          <w:color w:val="000000"/>
          <w:szCs w:val="24"/>
        </w:rPr>
      </w:pPr>
      <w:r w:rsidRPr="00830A41">
        <w:rPr>
          <w:rFonts w:asciiTheme="majorHAnsi" w:hAnsiTheme="majorHAnsi" w:cstheme="majorHAnsi"/>
          <w:color w:val="000000"/>
          <w:szCs w:val="24"/>
        </w:rPr>
        <w:t xml:space="preserve">La Tasa de Desocupación (TD), que se refiere al porcentaje de la Población Económicamente Activa (PEA) que no trabajó siquiera una hora durante la semana de referencia de la encuesta pero manifestó su disposición para hacerlo e hizo alguna actividad por obtener empleo, fue de 3.3 por ciento de la PEA a nivel nacional, mismo porcentaje que el del mes previo. En su comparación anual, la TD no mostró variación en septiembre de 2018 frente a la de igual mes de 2017 (3.3 por ciento), con datos ajustados por estacionalidad. </w:t>
      </w:r>
    </w:p>
    <w:p w14:paraId="24C184B4" w14:textId="77777777" w:rsidR="00D55CFB" w:rsidRPr="00830A41" w:rsidRDefault="00D55CFB" w:rsidP="00D55CFB">
      <w:pPr>
        <w:numPr>
          <w:ilvl w:val="0"/>
          <w:numId w:val="34"/>
        </w:numPr>
        <w:autoSpaceDE w:val="0"/>
        <w:autoSpaceDN w:val="0"/>
        <w:adjustRightInd w:val="0"/>
        <w:spacing w:line="360" w:lineRule="auto"/>
        <w:rPr>
          <w:rFonts w:asciiTheme="majorHAnsi" w:hAnsiTheme="majorHAnsi" w:cstheme="majorHAnsi"/>
          <w:color w:val="000000"/>
          <w:szCs w:val="24"/>
        </w:rPr>
      </w:pPr>
      <w:r w:rsidRPr="00830A41">
        <w:rPr>
          <w:rFonts w:asciiTheme="majorHAnsi" w:hAnsiTheme="majorHAnsi" w:cstheme="majorHAnsi"/>
          <w:color w:val="000000"/>
          <w:szCs w:val="24"/>
        </w:rPr>
        <w:t xml:space="preserve">La Tasa de Subocupación (referida al porcentaje de la población ocupada que tiene la necesidad y disponibilidad de ofertar más tiempo de trabajo de lo que su ocupación actual le demanda) representó el 6.7 por ciento. En su comparación anual, esta tasa fue inferior frente a la del mismo mes de 2017 que se ubicó en 7.7 por ciento. </w:t>
      </w:r>
    </w:p>
    <w:p w14:paraId="2F0CADFB" w14:textId="0E9EBBCA" w:rsidR="00D55CFB" w:rsidRPr="00830A41" w:rsidRDefault="00D55CFB" w:rsidP="00D55CFB">
      <w:pPr>
        <w:numPr>
          <w:ilvl w:val="0"/>
          <w:numId w:val="34"/>
        </w:numPr>
        <w:autoSpaceDE w:val="0"/>
        <w:autoSpaceDN w:val="0"/>
        <w:adjustRightInd w:val="0"/>
        <w:spacing w:line="360" w:lineRule="auto"/>
        <w:rPr>
          <w:rFonts w:asciiTheme="majorHAnsi" w:hAnsiTheme="majorHAnsi" w:cstheme="majorHAnsi"/>
          <w:color w:val="000000"/>
          <w:szCs w:val="24"/>
        </w:rPr>
      </w:pPr>
      <w:r w:rsidRPr="00830A41">
        <w:rPr>
          <w:rFonts w:asciiTheme="majorHAnsi" w:hAnsiTheme="majorHAnsi" w:cstheme="majorHAnsi"/>
          <w:color w:val="000000"/>
          <w:szCs w:val="24"/>
        </w:rPr>
        <w:lastRenderedPageBreak/>
        <w:t xml:space="preserve">La Tasa de Informalidad Laboral 1 (proporción de la población ocupada que es laboralmente vulnerable por la naturaleza de la unidad económica para la que trabaja, con aquellos cuyo vínculo o dependencia laboral no es reconocido por su fuente de trabajo) fue de 56.8 por ciento en el noveno mes de 2018, cifra superior a la reportada en agosto pasado, e inferior en </w:t>
      </w:r>
      <w:r w:rsidR="00D932CC" w:rsidRPr="00830A41">
        <w:rPr>
          <w:rFonts w:asciiTheme="majorHAnsi" w:hAnsiTheme="majorHAnsi" w:cstheme="majorHAnsi"/>
          <w:color w:val="000000"/>
          <w:szCs w:val="24"/>
        </w:rPr>
        <w:t xml:space="preserve"> </w:t>
      </w:r>
      <w:r w:rsidRPr="00830A41">
        <w:rPr>
          <w:rFonts w:asciiTheme="majorHAnsi" w:hAnsiTheme="majorHAnsi" w:cstheme="majorHAnsi"/>
          <w:color w:val="000000"/>
          <w:szCs w:val="24"/>
        </w:rPr>
        <w:t xml:space="preserve">(-)0.4 puntos respecto a la de igual mes de 2017. </w:t>
      </w:r>
    </w:p>
    <w:p w14:paraId="147B3FB1" w14:textId="77777777" w:rsidR="00D55CFB" w:rsidRPr="00830A41" w:rsidRDefault="00D55CFB" w:rsidP="00D55CFB">
      <w:pPr>
        <w:numPr>
          <w:ilvl w:val="0"/>
          <w:numId w:val="34"/>
        </w:numPr>
        <w:autoSpaceDE w:val="0"/>
        <w:autoSpaceDN w:val="0"/>
        <w:adjustRightInd w:val="0"/>
        <w:spacing w:line="360" w:lineRule="auto"/>
        <w:rPr>
          <w:rFonts w:asciiTheme="majorHAnsi" w:hAnsiTheme="majorHAnsi" w:cstheme="majorHAnsi"/>
          <w:color w:val="000000"/>
          <w:szCs w:val="24"/>
        </w:rPr>
      </w:pPr>
      <w:r w:rsidRPr="00830A41">
        <w:rPr>
          <w:rFonts w:asciiTheme="majorHAnsi" w:hAnsiTheme="majorHAnsi" w:cstheme="majorHAnsi"/>
          <w:color w:val="000000"/>
          <w:szCs w:val="24"/>
        </w:rPr>
        <w:t>Asimismo, la Tasa de Ocupación en el Sector Informal 1 (que se refiere a la proporción de la población ocupada en unidades económicas no agropecuarias operadas sin registros contables y que funcionan a partir de los recursos del hogar o de la persona que encabeza la actividad sin que se constituya como empresa), representó el 27.5 por ciento en septiembre del año en curso, proporción por debajo de la observada en el mes previo que fue de 27.6 por ciento, y mayor en 0.7 puntos frente al del mismo mes del año pasado.</w:t>
      </w:r>
    </w:p>
    <w:p w14:paraId="5747240B" w14:textId="77777777" w:rsidR="00D55CFB" w:rsidRPr="00830A41" w:rsidRDefault="00D55CFB" w:rsidP="00D55CFB">
      <w:pPr>
        <w:numPr>
          <w:ilvl w:val="0"/>
          <w:numId w:val="34"/>
        </w:numPr>
        <w:autoSpaceDE w:val="0"/>
        <w:autoSpaceDN w:val="0"/>
        <w:adjustRightInd w:val="0"/>
        <w:spacing w:line="360" w:lineRule="auto"/>
        <w:rPr>
          <w:rFonts w:asciiTheme="majorHAnsi" w:hAnsiTheme="majorHAnsi" w:cstheme="majorHAnsi"/>
          <w:color w:val="000000"/>
          <w:szCs w:val="24"/>
        </w:rPr>
      </w:pPr>
      <w:r w:rsidRPr="00830A41">
        <w:rPr>
          <w:rFonts w:asciiTheme="majorHAnsi" w:hAnsiTheme="majorHAnsi" w:cstheme="majorHAnsi"/>
          <w:color w:val="000000"/>
          <w:szCs w:val="24"/>
        </w:rPr>
        <w:t>En septiembre de 2018, el 59.6 por ciento de la población de 15 años y más en el país se ubicó como económicamente activa (Tasa de Participación). Esta tasa es menor a la del mes inmediato anterior, también con cifras desestacionalizadas.</w:t>
      </w:r>
      <w:r w:rsidRPr="00830A41">
        <w:rPr>
          <w:rFonts w:asciiTheme="majorHAnsi" w:eastAsia="Arial" w:hAnsiTheme="majorHAnsi" w:cstheme="majorHAnsi"/>
          <w:szCs w:val="24"/>
          <w:vertAlign w:val="superscript"/>
        </w:rPr>
        <w:footnoteReference w:id="6"/>
      </w:r>
    </w:p>
    <w:p w14:paraId="7A96F904" w14:textId="0CDBF6FB" w:rsidR="00D932CC" w:rsidRPr="00D932CC" w:rsidRDefault="00D55CFB" w:rsidP="00D932CC">
      <w:pPr>
        <w:autoSpaceDE w:val="0"/>
        <w:autoSpaceDN w:val="0"/>
        <w:adjustRightInd w:val="0"/>
        <w:spacing w:line="276" w:lineRule="auto"/>
        <w:rPr>
          <w:color w:val="000000"/>
          <w:szCs w:val="24"/>
          <w:highlight w:val="lightGray"/>
        </w:rPr>
      </w:pPr>
      <w:r>
        <w:rPr>
          <w:noProof/>
          <w:color w:val="FF0000"/>
          <w:lang w:eastAsia="es-ES"/>
        </w:rPr>
        <w:lastRenderedPageBreak/>
        <w:drawing>
          <wp:inline distT="0" distB="0" distL="0" distR="0" wp14:anchorId="29279B0A" wp14:editId="6F73954A">
            <wp:extent cx="6203315" cy="3950335"/>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315" cy="3950335"/>
                    </a:xfrm>
                    <a:prstGeom prst="rect">
                      <a:avLst/>
                    </a:prstGeom>
                    <a:noFill/>
                    <a:ln>
                      <a:noFill/>
                    </a:ln>
                  </pic:spPr>
                </pic:pic>
              </a:graphicData>
            </a:graphic>
          </wp:inline>
        </w:drawing>
      </w:r>
    </w:p>
    <w:p w14:paraId="19302E2D" w14:textId="77777777" w:rsidR="000B7493" w:rsidRDefault="000B7493" w:rsidP="000B7493">
      <w:pPr>
        <w:shd w:val="clear" w:color="auto" w:fill="FFFFFF"/>
        <w:spacing w:line="360" w:lineRule="auto"/>
        <w:ind w:left="720"/>
        <w:rPr>
          <w:rFonts w:asciiTheme="majorHAnsi" w:hAnsiTheme="majorHAnsi" w:cstheme="majorHAnsi"/>
          <w:szCs w:val="24"/>
        </w:rPr>
      </w:pPr>
    </w:p>
    <w:p w14:paraId="01102F85" w14:textId="7A3332C8" w:rsidR="00D55CFB" w:rsidRPr="00830A41" w:rsidRDefault="00D55CFB" w:rsidP="00D55CFB">
      <w:pPr>
        <w:numPr>
          <w:ilvl w:val="0"/>
          <w:numId w:val="42"/>
        </w:numPr>
        <w:shd w:val="clear" w:color="auto" w:fill="FFFFFF"/>
        <w:spacing w:line="360" w:lineRule="auto"/>
        <w:rPr>
          <w:rFonts w:asciiTheme="majorHAnsi" w:hAnsiTheme="majorHAnsi" w:cstheme="majorHAnsi"/>
          <w:szCs w:val="24"/>
        </w:rPr>
      </w:pPr>
      <w:r w:rsidRPr="00830A41">
        <w:rPr>
          <w:rFonts w:asciiTheme="majorHAnsi" w:hAnsiTheme="majorHAnsi" w:cstheme="majorHAnsi"/>
          <w:szCs w:val="24"/>
        </w:rPr>
        <w:t>Al 30 de septiembre de 2018, se tienen registrados ante el Instituto 20,192,960 puestos de trabajo. El 86 por ciento son permanentes y 14 por ciento eventuales. En los últimos seis años estos porcentajes se han mantenido relativamente constantes.</w:t>
      </w:r>
    </w:p>
    <w:p w14:paraId="64FBA727" w14:textId="77777777" w:rsidR="00D55CFB" w:rsidRPr="00830A41" w:rsidRDefault="00D55CFB" w:rsidP="00D55CFB">
      <w:pPr>
        <w:numPr>
          <w:ilvl w:val="0"/>
          <w:numId w:val="42"/>
        </w:numPr>
        <w:shd w:val="clear" w:color="auto" w:fill="FFFFFF"/>
        <w:spacing w:line="360" w:lineRule="auto"/>
        <w:rPr>
          <w:rFonts w:asciiTheme="majorHAnsi" w:hAnsiTheme="majorHAnsi" w:cstheme="majorHAnsi"/>
          <w:szCs w:val="24"/>
        </w:rPr>
      </w:pPr>
      <w:r w:rsidRPr="00830A41">
        <w:rPr>
          <w:rFonts w:asciiTheme="majorHAnsi" w:hAnsiTheme="majorHAnsi" w:cstheme="majorHAnsi"/>
          <w:szCs w:val="24"/>
        </w:rPr>
        <w:t>Con esta afiliación, se llega a una creación de prácticamente 3.9 millones de empleos en lo que va de la actual Administración (3,898,024). Este aumento casi duplica los puestos de trabajo creados en el mismo periodo de la anterior Administración (2,051,781), e incluso es superior a los empleos creados en los 12 años completos de las dos administraciones pasadas (3,517,422).</w:t>
      </w:r>
    </w:p>
    <w:p w14:paraId="254878F5" w14:textId="77777777" w:rsidR="00D55CFB" w:rsidRPr="00830A41" w:rsidRDefault="00D55CFB" w:rsidP="00D55CFB">
      <w:pPr>
        <w:numPr>
          <w:ilvl w:val="0"/>
          <w:numId w:val="42"/>
        </w:numPr>
        <w:shd w:val="clear" w:color="auto" w:fill="FFFFFF"/>
        <w:spacing w:line="360" w:lineRule="auto"/>
        <w:rPr>
          <w:rFonts w:asciiTheme="majorHAnsi" w:hAnsiTheme="majorHAnsi" w:cstheme="majorHAnsi"/>
          <w:szCs w:val="24"/>
        </w:rPr>
      </w:pPr>
      <w:r w:rsidRPr="00830A41">
        <w:rPr>
          <w:rFonts w:asciiTheme="majorHAnsi" w:hAnsiTheme="majorHAnsi" w:cstheme="majorHAnsi"/>
          <w:szCs w:val="24"/>
        </w:rPr>
        <w:t>La creación mensual de empleo en septiembre del presente año es de 129,527 puestos. Esta creación es 15,821 empleos o 13.9 por ciento superior al promedio de los septiembres de los 10 años previos (113,707). Este es el cuarto mayor aumento durante un mes de septiembre en los últimos 20 años.</w:t>
      </w:r>
    </w:p>
    <w:p w14:paraId="6855229F" w14:textId="77777777" w:rsidR="00D55CFB" w:rsidRPr="00830A41" w:rsidRDefault="00D55CFB" w:rsidP="00D55CFB">
      <w:pPr>
        <w:numPr>
          <w:ilvl w:val="0"/>
          <w:numId w:val="42"/>
        </w:numPr>
        <w:shd w:val="clear" w:color="auto" w:fill="FFFFFF"/>
        <w:spacing w:line="360" w:lineRule="auto"/>
        <w:rPr>
          <w:rFonts w:asciiTheme="majorHAnsi" w:hAnsiTheme="majorHAnsi" w:cstheme="majorHAnsi"/>
          <w:szCs w:val="24"/>
        </w:rPr>
      </w:pPr>
      <w:r w:rsidRPr="00830A41">
        <w:rPr>
          <w:rFonts w:asciiTheme="majorHAnsi" w:hAnsiTheme="majorHAnsi" w:cstheme="majorHAnsi"/>
          <w:szCs w:val="24"/>
        </w:rPr>
        <w:lastRenderedPageBreak/>
        <w:t>La creación de empleo en lo que va de 2018, enero-septiembre, es de 774,505 puestos. Esta creación es 233,142 o 43.1 por ciento mayor que el promedio de periodos iguales de los 10 años previos (541,363). Este es el segundo mayor aumento durante el periodo enero-septiembre en los últimos 20 años.</w:t>
      </w:r>
    </w:p>
    <w:p w14:paraId="251E22E0" w14:textId="77777777" w:rsidR="00D55CFB" w:rsidRPr="00830A41" w:rsidRDefault="00D55CFB" w:rsidP="00D55CFB">
      <w:pPr>
        <w:numPr>
          <w:ilvl w:val="0"/>
          <w:numId w:val="42"/>
        </w:numPr>
        <w:shd w:val="clear" w:color="auto" w:fill="FFFFFF"/>
        <w:spacing w:line="360" w:lineRule="auto"/>
        <w:rPr>
          <w:rFonts w:asciiTheme="majorHAnsi" w:hAnsiTheme="majorHAnsi" w:cstheme="majorHAnsi"/>
          <w:szCs w:val="24"/>
        </w:rPr>
      </w:pPr>
      <w:r w:rsidRPr="00830A41">
        <w:rPr>
          <w:rFonts w:asciiTheme="majorHAnsi" w:hAnsiTheme="majorHAnsi" w:cstheme="majorHAnsi"/>
          <w:szCs w:val="24"/>
        </w:rPr>
        <w:t>La creación de empleo en los últimos 12 meses es de 764,044 puestos, equivalente a una tasa anual de 3.9 por ciento. El 80.7 por ciento de esta variación refiere a empleo permanente (616,226).</w:t>
      </w:r>
    </w:p>
    <w:p w14:paraId="102CC18C" w14:textId="77777777" w:rsidR="00D55CFB" w:rsidRPr="00830A41" w:rsidRDefault="00D55CFB" w:rsidP="00D55CFB">
      <w:pPr>
        <w:numPr>
          <w:ilvl w:val="0"/>
          <w:numId w:val="42"/>
        </w:numPr>
        <w:shd w:val="clear" w:color="auto" w:fill="FFFFFF"/>
        <w:spacing w:line="360" w:lineRule="auto"/>
        <w:rPr>
          <w:rFonts w:asciiTheme="majorHAnsi" w:hAnsiTheme="majorHAnsi" w:cstheme="majorHAnsi"/>
          <w:szCs w:val="24"/>
        </w:rPr>
      </w:pPr>
      <w:r w:rsidRPr="00830A41">
        <w:rPr>
          <w:rFonts w:asciiTheme="majorHAnsi" w:hAnsiTheme="majorHAnsi" w:cstheme="majorHAnsi"/>
          <w:szCs w:val="24"/>
        </w:rPr>
        <w:t>El crecimiento anual en el empleo fue impulsado por el sector agropecuario con 6.1 por cierto, comunicaciones y transportes con 5.7 por ciento y construcción con 4.9 por ciento.</w:t>
      </w:r>
    </w:p>
    <w:p w14:paraId="2009C6FE" w14:textId="77777777" w:rsidR="00D55CFB" w:rsidRPr="00830A41" w:rsidRDefault="00D55CFB" w:rsidP="00D55CFB">
      <w:pPr>
        <w:numPr>
          <w:ilvl w:val="0"/>
          <w:numId w:val="42"/>
        </w:numPr>
        <w:shd w:val="clear" w:color="auto" w:fill="FFFFFF"/>
        <w:spacing w:line="360" w:lineRule="auto"/>
        <w:rPr>
          <w:rFonts w:asciiTheme="majorHAnsi" w:hAnsiTheme="majorHAnsi" w:cstheme="majorHAnsi"/>
          <w:szCs w:val="24"/>
        </w:rPr>
      </w:pPr>
      <w:r w:rsidRPr="00830A41">
        <w:rPr>
          <w:rFonts w:asciiTheme="majorHAnsi" w:hAnsiTheme="majorHAnsi" w:cstheme="majorHAnsi"/>
          <w:szCs w:val="24"/>
        </w:rPr>
        <w:t>Los estados de mayor incremento anual son Quintana Roo, Baja California Sur y Zacatecas con incrementos superiores a 6.5 por ciento.</w:t>
      </w:r>
      <w:r w:rsidRPr="00830A41">
        <w:rPr>
          <w:rStyle w:val="Refdenotaalpie"/>
          <w:rFonts w:asciiTheme="majorHAnsi" w:hAnsiTheme="majorHAnsi" w:cstheme="majorHAnsi"/>
          <w:szCs w:val="24"/>
        </w:rPr>
        <w:footnoteReference w:id="7"/>
      </w:r>
    </w:p>
    <w:p w14:paraId="3223BB6B" w14:textId="77777777" w:rsidR="00D55CFB" w:rsidRPr="00830A41" w:rsidRDefault="00D55CFB" w:rsidP="00D55CFB">
      <w:pPr>
        <w:pStyle w:val="NormalWeb"/>
        <w:spacing w:before="0" w:beforeAutospacing="0" w:after="0" w:afterAutospacing="0" w:line="360" w:lineRule="auto"/>
        <w:ind w:left="720"/>
        <w:jc w:val="both"/>
        <w:rPr>
          <w:rFonts w:asciiTheme="majorHAnsi" w:hAnsiTheme="majorHAnsi" w:cstheme="majorHAnsi"/>
          <w:highlight w:val="lightGray"/>
        </w:rPr>
      </w:pPr>
    </w:p>
    <w:p w14:paraId="1FD9B3BE" w14:textId="77777777" w:rsidR="00D55CFB" w:rsidRPr="004418D7" w:rsidRDefault="00D55CFB" w:rsidP="00D55CFB">
      <w:pPr>
        <w:pStyle w:val="NormalWeb"/>
        <w:spacing w:before="0" w:beforeAutospacing="0" w:after="0" w:afterAutospacing="0" w:line="276" w:lineRule="auto"/>
        <w:ind w:left="720"/>
        <w:rPr>
          <w:rFonts w:ascii="Arial" w:hAnsi="Arial" w:cs="Arial"/>
          <w:color w:val="000000"/>
          <w:highlight w:val="lightGray"/>
        </w:rPr>
      </w:pPr>
      <w:r w:rsidRPr="00075411">
        <w:rPr>
          <w:noProof/>
          <w:lang w:val="es-ES" w:eastAsia="es-ES"/>
        </w:rPr>
        <w:lastRenderedPageBreak/>
        <w:drawing>
          <wp:inline distT="0" distB="0" distL="0" distR="0" wp14:anchorId="40331CBD" wp14:editId="03E244DF">
            <wp:extent cx="5760720" cy="648537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6485377"/>
                    </a:xfrm>
                    <a:prstGeom prst="rect">
                      <a:avLst/>
                    </a:prstGeom>
                    <a:noFill/>
                    <a:ln>
                      <a:noFill/>
                    </a:ln>
                  </pic:spPr>
                </pic:pic>
              </a:graphicData>
            </a:graphic>
          </wp:inline>
        </w:drawing>
      </w:r>
    </w:p>
    <w:p w14:paraId="7DD13884" w14:textId="77777777" w:rsidR="00D55CFB" w:rsidRPr="004418D7" w:rsidRDefault="00D55CFB" w:rsidP="00D55CFB">
      <w:pPr>
        <w:jc w:val="center"/>
        <w:rPr>
          <w:highlight w:val="lightGray"/>
        </w:rPr>
      </w:pPr>
    </w:p>
    <w:p w14:paraId="5E721E81" w14:textId="77777777" w:rsidR="00D55CFB" w:rsidRDefault="00D55CFB" w:rsidP="00D55CFB">
      <w:pPr>
        <w:rPr>
          <w:highlight w:val="lightGray"/>
        </w:rPr>
      </w:pPr>
    </w:p>
    <w:p w14:paraId="6D9EBDA4" w14:textId="77777777" w:rsidR="00D932CC" w:rsidRDefault="00D932CC" w:rsidP="00D55CFB">
      <w:pPr>
        <w:rPr>
          <w:highlight w:val="lightGray"/>
        </w:rPr>
      </w:pPr>
    </w:p>
    <w:p w14:paraId="7DDE4133" w14:textId="77777777" w:rsidR="00D932CC" w:rsidRDefault="00D932CC" w:rsidP="00D55CFB">
      <w:pPr>
        <w:rPr>
          <w:highlight w:val="lightGray"/>
        </w:rPr>
      </w:pPr>
    </w:p>
    <w:p w14:paraId="52782EB2" w14:textId="77777777" w:rsidR="00D932CC" w:rsidRDefault="00D932CC" w:rsidP="00D55CFB">
      <w:pPr>
        <w:rPr>
          <w:highlight w:val="lightGray"/>
        </w:rPr>
      </w:pPr>
    </w:p>
    <w:p w14:paraId="67A45587" w14:textId="77777777" w:rsidR="00D932CC" w:rsidRDefault="00D932CC" w:rsidP="00D55CFB">
      <w:pPr>
        <w:rPr>
          <w:highlight w:val="lightGray"/>
        </w:rPr>
      </w:pPr>
    </w:p>
    <w:p w14:paraId="26720758" w14:textId="77777777" w:rsidR="00D932CC" w:rsidRDefault="00D932CC" w:rsidP="00D55CFB">
      <w:pPr>
        <w:rPr>
          <w:highlight w:val="lightGray"/>
        </w:rPr>
      </w:pPr>
    </w:p>
    <w:p w14:paraId="7F9072A3" w14:textId="77777777" w:rsidR="00D932CC" w:rsidRDefault="00D932CC" w:rsidP="00D55CFB">
      <w:pPr>
        <w:rPr>
          <w:highlight w:val="lightGray"/>
        </w:rPr>
      </w:pPr>
    </w:p>
    <w:p w14:paraId="638AD5D8" w14:textId="77777777" w:rsidR="00D932CC" w:rsidRPr="004418D7" w:rsidRDefault="00D932CC" w:rsidP="00D55CFB">
      <w:pPr>
        <w:rPr>
          <w:highlight w:val="lightGray"/>
        </w:rPr>
      </w:pPr>
    </w:p>
    <w:p w14:paraId="6DA83176" w14:textId="77777777" w:rsidR="00D55CFB" w:rsidRPr="00830A41" w:rsidRDefault="00D55CFB" w:rsidP="00D55CFB">
      <w:pPr>
        <w:rPr>
          <w:rFonts w:asciiTheme="majorHAnsi" w:hAnsiTheme="majorHAnsi" w:cstheme="majorHAnsi"/>
          <w:b/>
        </w:rPr>
      </w:pPr>
      <w:r w:rsidRPr="00830A41">
        <w:rPr>
          <w:rFonts w:asciiTheme="majorHAnsi" w:hAnsiTheme="majorHAnsi" w:cstheme="majorHAnsi"/>
          <w:b/>
        </w:rPr>
        <w:lastRenderedPageBreak/>
        <w:t>Finanzas Públicas</w:t>
      </w:r>
    </w:p>
    <w:p w14:paraId="687E6BBC" w14:textId="77777777" w:rsidR="00D55CFB" w:rsidRPr="00830A41" w:rsidRDefault="00D55CFB" w:rsidP="00D55CFB">
      <w:pPr>
        <w:rPr>
          <w:rFonts w:asciiTheme="majorHAnsi" w:hAnsiTheme="majorHAnsi" w:cstheme="majorHAnsi"/>
          <w:b/>
          <w:highlight w:val="lightGray"/>
        </w:rPr>
      </w:pPr>
    </w:p>
    <w:p w14:paraId="4637F4B6" w14:textId="593CF1C1"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r w:rsidRPr="00830A41">
        <w:rPr>
          <w:rFonts w:asciiTheme="majorHAnsi" w:hAnsiTheme="majorHAnsi" w:cstheme="majorHAnsi"/>
          <w:szCs w:val="24"/>
          <w:lang w:val="es-MX" w:eastAsia="es-MX"/>
        </w:rPr>
        <w:t>Para 2018, se cumplirá con la trayectoria de consolidación fiscal aprobada por el H. Congreso de la Unión, lo que implica que los RFSP alcanzarán un nivel de 2.5 por ciento del PIB, mientras que el balance primario se ubicará en 0.8 por ciento del PIB. Además, se prevé un equilibrio presupuestario en el balance sin inversión de alto impacto económico y social.  En congruencia, se estima que el SHRFSP disminuya a 45.5 por ciento del PIB, manteniendo la trayectoria decreciente que inició el año previo.</w:t>
      </w:r>
    </w:p>
    <w:p w14:paraId="6BB3D5A3"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p>
    <w:p w14:paraId="6D17C127"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r w:rsidRPr="00830A41">
        <w:rPr>
          <w:rFonts w:asciiTheme="majorHAnsi" w:hAnsiTheme="majorHAnsi" w:cstheme="majorHAnsi"/>
          <w:szCs w:val="24"/>
          <w:lang w:val="es-MX" w:eastAsia="es-MX"/>
        </w:rPr>
        <w:t>Es importante resaltar que la trayectoria de consolidación fiscal ha estado acompañada del Acuerdo de Certidumbre Tributaria anunciado por el Gobierno Federal desde 2014. El Acuerdo estableció que hasta 2018 no se propondrían nuevos impuestos, no se aumentarían las tasas de los impuestos existentes, ni se reducirían o eliminarían los beneficios fiscales ni las exenciones existentes.</w:t>
      </w:r>
    </w:p>
    <w:p w14:paraId="4359E76F"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p>
    <w:p w14:paraId="6B106750" w14:textId="77777777" w:rsidR="00D55CFB" w:rsidRPr="00830A41" w:rsidRDefault="00D55CFB" w:rsidP="00D55CFB">
      <w:pPr>
        <w:autoSpaceDE w:val="0"/>
        <w:autoSpaceDN w:val="0"/>
        <w:adjustRightInd w:val="0"/>
        <w:spacing w:line="360" w:lineRule="auto"/>
        <w:rPr>
          <w:rFonts w:asciiTheme="majorHAnsi" w:hAnsiTheme="majorHAnsi" w:cstheme="majorHAnsi"/>
          <w:szCs w:val="24"/>
          <w:lang w:val="es-MX" w:eastAsia="es-MX"/>
        </w:rPr>
      </w:pPr>
      <w:r w:rsidRPr="00830A41">
        <w:rPr>
          <w:rFonts w:asciiTheme="majorHAnsi" w:hAnsiTheme="majorHAnsi" w:cstheme="majorHAnsi"/>
          <w:szCs w:val="24"/>
          <w:lang w:val="es-MX" w:eastAsia="es-MX"/>
        </w:rPr>
        <w:t>La proyección de las finanzas públicas para 2018 se apoya en un marco macroeconómico que incorpora la información más reciente sobre los parámetros que afectan los ingresos y egresos del Sector Público. Como se señaló en la sección II, en línea con lo presentado en los CGPE-2018, para efectos de las estimaciones de finanzas públicas se continúa incorporando un valor puntual para el crecimiento económico de 2.5 por ciento, así como una plataforma de producción de 1,983 mbd y un tipo de cambio promedio de 18.4 pesos por dólar, mientras que se prevé un precio del petróleo de 53 dpb; una tasa de interés nominal promedio de 7.5 por ciento; y una inflación de 3.5 por ciento.</w:t>
      </w:r>
      <w:r w:rsidRPr="00830A41">
        <w:rPr>
          <w:rStyle w:val="Refdenotaalpie"/>
          <w:rFonts w:asciiTheme="majorHAnsi" w:hAnsiTheme="majorHAnsi" w:cstheme="majorHAnsi"/>
          <w:szCs w:val="24"/>
          <w:lang w:val="es-MX" w:eastAsia="es-MX"/>
        </w:rPr>
        <w:footnoteReference w:id="8"/>
      </w:r>
    </w:p>
    <w:p w14:paraId="6F5847AB" w14:textId="77777777" w:rsidR="00D55CFB" w:rsidRPr="00830A41" w:rsidRDefault="00D55CFB" w:rsidP="00D55CFB">
      <w:pPr>
        <w:autoSpaceDE w:val="0"/>
        <w:autoSpaceDN w:val="0"/>
        <w:adjustRightInd w:val="0"/>
        <w:spacing w:line="360" w:lineRule="auto"/>
        <w:jc w:val="left"/>
        <w:rPr>
          <w:rFonts w:asciiTheme="majorHAnsi" w:hAnsiTheme="majorHAnsi" w:cstheme="majorHAnsi"/>
          <w:sz w:val="22"/>
          <w:szCs w:val="22"/>
          <w:lang w:val="es-MX" w:eastAsia="es-MX"/>
        </w:rPr>
      </w:pPr>
    </w:p>
    <w:p w14:paraId="28C262A2" w14:textId="77777777" w:rsidR="00D55CFB" w:rsidRPr="00830A41" w:rsidRDefault="00D55CFB" w:rsidP="00D55CFB">
      <w:pPr>
        <w:autoSpaceDE w:val="0"/>
        <w:autoSpaceDN w:val="0"/>
        <w:adjustRightInd w:val="0"/>
        <w:spacing w:line="360" w:lineRule="auto"/>
        <w:rPr>
          <w:rFonts w:asciiTheme="majorHAnsi" w:hAnsiTheme="majorHAnsi" w:cstheme="majorHAnsi"/>
          <w:color w:val="000000"/>
          <w:szCs w:val="24"/>
          <w:highlight w:val="lightGray"/>
        </w:rPr>
      </w:pPr>
      <w:r w:rsidRPr="00830A41">
        <w:rPr>
          <w:rFonts w:asciiTheme="majorHAnsi" w:hAnsiTheme="majorHAnsi" w:cstheme="majorHAnsi"/>
          <w:color w:val="000000"/>
          <w:szCs w:val="24"/>
        </w:rPr>
        <w:t xml:space="preserve">Los ingresos presupuestarios del Sector Público durante enero-septiembre fueron superiores al programa en 279 mil 764 millones de pesos. A su interior, destaca que los ingresos tributarios fueron superiores a lo programado en 88 mil 80 millones de pesos; los petroleros, en 83 mil 892 millones de pesos, y los no tributarios, en 90 mil 8 millones de </w:t>
      </w:r>
      <w:r w:rsidRPr="00830A41">
        <w:rPr>
          <w:rFonts w:asciiTheme="majorHAnsi" w:hAnsiTheme="majorHAnsi" w:cstheme="majorHAnsi"/>
          <w:color w:val="000000"/>
          <w:szCs w:val="24"/>
        </w:rPr>
        <w:lastRenderedPageBreak/>
        <w:t>pesos. Con respecto al mismo periodo de 2017, los ingresos petroleros y los tributarios sin IEPS de combustibles aumentaron 15.2 y 2.9 por ciento real anual, respectivamente.</w:t>
      </w:r>
      <w:r w:rsidRPr="00830A41">
        <w:rPr>
          <w:rStyle w:val="Refdenotaalpie"/>
          <w:rFonts w:asciiTheme="majorHAnsi" w:hAnsiTheme="majorHAnsi" w:cstheme="majorHAnsi"/>
          <w:szCs w:val="24"/>
        </w:rPr>
        <w:footnoteReference w:id="9"/>
      </w:r>
    </w:p>
    <w:p w14:paraId="444EAFE7" w14:textId="77777777" w:rsidR="00D55CFB" w:rsidRPr="004418D7" w:rsidRDefault="00D55CFB" w:rsidP="00D55CFB">
      <w:pPr>
        <w:autoSpaceDE w:val="0"/>
        <w:autoSpaceDN w:val="0"/>
        <w:adjustRightInd w:val="0"/>
        <w:spacing w:line="360" w:lineRule="auto"/>
        <w:rPr>
          <w:rFonts w:ascii="Times New Roman" w:hAnsi="Times New Roman"/>
          <w:szCs w:val="24"/>
          <w:highlight w:val="lightGray"/>
        </w:rPr>
      </w:pPr>
    </w:p>
    <w:p w14:paraId="19BEFC99" w14:textId="77777777" w:rsidR="00D55CFB" w:rsidRPr="004418D7" w:rsidRDefault="00D55CFB" w:rsidP="00D55CFB">
      <w:pPr>
        <w:autoSpaceDE w:val="0"/>
        <w:autoSpaceDN w:val="0"/>
        <w:adjustRightInd w:val="0"/>
        <w:rPr>
          <w:rFonts w:ascii="Times New Roman" w:hAnsi="Times New Roman"/>
          <w:szCs w:val="24"/>
          <w:highlight w:val="lightGray"/>
        </w:rPr>
      </w:pPr>
      <w:r w:rsidRPr="00142A8C">
        <w:rPr>
          <w:noProof/>
          <w:lang w:eastAsia="es-ES"/>
        </w:rPr>
        <w:drawing>
          <wp:inline distT="0" distB="0" distL="0" distR="0" wp14:anchorId="1A78DA0F" wp14:editId="29522A06">
            <wp:extent cx="5760720" cy="449675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496754"/>
                    </a:xfrm>
                    <a:prstGeom prst="rect">
                      <a:avLst/>
                    </a:prstGeom>
                    <a:noFill/>
                    <a:ln>
                      <a:noFill/>
                    </a:ln>
                  </pic:spPr>
                </pic:pic>
              </a:graphicData>
            </a:graphic>
          </wp:inline>
        </w:drawing>
      </w:r>
    </w:p>
    <w:p w14:paraId="4EED3E97" w14:textId="77777777" w:rsidR="00D55CFB" w:rsidRPr="004418D7" w:rsidRDefault="00D55CFB" w:rsidP="00D55CFB">
      <w:pPr>
        <w:autoSpaceDE w:val="0"/>
        <w:autoSpaceDN w:val="0"/>
        <w:adjustRightInd w:val="0"/>
        <w:spacing w:line="360" w:lineRule="auto"/>
        <w:jc w:val="center"/>
        <w:rPr>
          <w:sz w:val="14"/>
          <w:szCs w:val="12"/>
          <w:highlight w:val="lightGray"/>
        </w:rPr>
      </w:pPr>
    </w:p>
    <w:p w14:paraId="7E870BDB" w14:textId="2720C0A2" w:rsidR="00D55CFB" w:rsidRPr="00830A41" w:rsidRDefault="00D55CFB" w:rsidP="00D55CFB">
      <w:pPr>
        <w:pStyle w:val="Default"/>
        <w:spacing w:line="360" w:lineRule="auto"/>
        <w:jc w:val="both"/>
        <w:rPr>
          <w:rFonts w:asciiTheme="majorHAnsi" w:hAnsiTheme="majorHAnsi" w:cstheme="majorHAnsi"/>
        </w:rPr>
      </w:pPr>
      <w:r w:rsidRPr="00830A41">
        <w:rPr>
          <w:rFonts w:asciiTheme="majorHAnsi" w:hAnsiTheme="majorHAnsi" w:cstheme="majorHAnsi"/>
        </w:rPr>
        <w:t xml:space="preserve">Las aportaciones a los fondos de estabilización en febrero de 2018 con cargo a ingresos excedentes de 2017, las mayores participaciones a entidades federativas con base en la evolución de la recaudación, el mayor costo de operación asociado a la generación de electricidad por mayores precios internacionales de los combustibles, y otros gastos asociados a ingresos excedentes del Gobierno Federal resultaron en un gasto neto presupuestario superior al programa en 240 mil 175 millones de pesos. Esto también se reflejó en un crecimiento real del gasto neto pagado con respecto al mismo periodo de 2017 de 5.1 por ciento. A su vez, el gasto no programable se expandió 10.7 por ciento real y el programable en 3.1 por ciento real en comparación con el mismo periodo del año </w:t>
      </w:r>
      <w:r w:rsidRPr="00830A41">
        <w:rPr>
          <w:rFonts w:asciiTheme="majorHAnsi" w:hAnsiTheme="majorHAnsi" w:cstheme="majorHAnsi"/>
        </w:rPr>
        <w:lastRenderedPageBreak/>
        <w:t>anterior</w:t>
      </w:r>
      <w:r w:rsidR="00EC6F14">
        <w:rPr>
          <w:rFonts w:asciiTheme="majorHAnsi" w:hAnsiTheme="majorHAnsi" w:cstheme="majorHAnsi"/>
        </w:rPr>
        <w:t xml:space="preserve"> </w:t>
      </w:r>
      <w:r w:rsidR="00D178DE">
        <w:rPr>
          <w:rFonts w:asciiTheme="majorHAnsi" w:hAnsiTheme="majorHAnsi" w:cstheme="majorHAnsi"/>
        </w:rPr>
        <w:t>d</w:t>
      </w:r>
      <w:r w:rsidRPr="00830A41">
        <w:rPr>
          <w:rFonts w:asciiTheme="majorHAnsi" w:hAnsiTheme="majorHAnsi" w:cstheme="majorHAnsi"/>
        </w:rPr>
        <w:t xml:space="preserve">e manera congruente con el Paquete Económico 2018, en el presente año los RFSP alcanzarán un déficit de 2.5 por ciento del PIB, mientras que el balance primario se ubicará en 0.8 por ciento del PIB. Con estos resultados se estima que el Saldo Histórico de los RFSP (SHRFSP) disminuya a 45.5 por ciento del PIB, respecto al registrado de 46.0 por ciento del PIB al cierre de 2017. </w:t>
      </w:r>
    </w:p>
    <w:p w14:paraId="1DDECB12" w14:textId="77777777" w:rsidR="00D55CFB" w:rsidRPr="00830A41" w:rsidRDefault="00D55CFB" w:rsidP="00D55CFB">
      <w:pPr>
        <w:pStyle w:val="Default"/>
        <w:spacing w:line="360" w:lineRule="auto"/>
        <w:jc w:val="both"/>
        <w:rPr>
          <w:rFonts w:asciiTheme="majorHAnsi" w:hAnsiTheme="majorHAnsi" w:cstheme="majorHAnsi"/>
        </w:rPr>
      </w:pPr>
    </w:p>
    <w:p w14:paraId="0721246B" w14:textId="77777777" w:rsidR="00D55CFB" w:rsidRPr="00830A41" w:rsidRDefault="00D55CFB" w:rsidP="00D55CFB">
      <w:pPr>
        <w:numPr>
          <w:ilvl w:val="0"/>
          <w:numId w:val="37"/>
        </w:numPr>
        <w:autoSpaceDE w:val="0"/>
        <w:autoSpaceDN w:val="0"/>
        <w:adjustRightInd w:val="0"/>
        <w:spacing w:line="360" w:lineRule="auto"/>
        <w:rPr>
          <w:rFonts w:asciiTheme="majorHAnsi" w:hAnsiTheme="majorHAnsi" w:cstheme="majorHAnsi"/>
          <w:szCs w:val="24"/>
        </w:rPr>
      </w:pPr>
      <w:r w:rsidRPr="00830A41">
        <w:rPr>
          <w:rFonts w:asciiTheme="majorHAnsi" w:hAnsiTheme="majorHAnsi" w:cstheme="majorHAnsi"/>
          <w:color w:val="000000"/>
          <w:szCs w:val="24"/>
        </w:rPr>
        <w:t>De manera congruente con el Paquete Económico 2018, en el presente año los RFSP alcanzarán un déficit de 2.5 por ciento del PIB. Con este resultado se prevé continuar con la trayectoria decreciente del SHRFSP y que al cierre del año se ubiquen en 45.5 por ciento del PIB, por debajo del 46.0 por ciento del PIB registrado al cierre de 2017. Se estima que el balance primario se ubique en 0.7 por ciento del PIB, nivel inferior al superávit primario previsto en el Paquete Económico 2018 de 0.8 por ciento del PIB debido a que el costo financiero se ha ubicado por debajo de lo originalmente previsto.</w:t>
      </w:r>
      <w:r w:rsidRPr="00830A41">
        <w:rPr>
          <w:rStyle w:val="Refdenotaalpie"/>
          <w:rFonts w:asciiTheme="majorHAnsi" w:eastAsia="Arial" w:hAnsiTheme="majorHAnsi" w:cstheme="majorHAnsi"/>
          <w:szCs w:val="24"/>
        </w:rPr>
        <w:footnoteReference w:id="10"/>
      </w:r>
    </w:p>
    <w:p w14:paraId="1D7EDD29" w14:textId="77777777" w:rsidR="00D55CFB" w:rsidRPr="00830A41" w:rsidRDefault="00D55CFB" w:rsidP="00D55CFB">
      <w:pPr>
        <w:autoSpaceDE w:val="0"/>
        <w:autoSpaceDN w:val="0"/>
        <w:adjustRightInd w:val="0"/>
        <w:spacing w:line="360" w:lineRule="auto"/>
        <w:rPr>
          <w:rFonts w:asciiTheme="majorHAnsi" w:hAnsiTheme="majorHAnsi" w:cstheme="majorHAnsi"/>
          <w:szCs w:val="24"/>
          <w:highlight w:val="lightGray"/>
        </w:rPr>
      </w:pPr>
    </w:p>
    <w:p w14:paraId="26F741E4" w14:textId="77777777" w:rsidR="00D55CFB" w:rsidRPr="00830A41" w:rsidRDefault="00D55CFB" w:rsidP="00D55CFB">
      <w:pPr>
        <w:pStyle w:val="Prrafodelista"/>
        <w:jc w:val="both"/>
        <w:rPr>
          <w:rFonts w:asciiTheme="majorHAnsi" w:hAnsiTheme="majorHAnsi" w:cstheme="majorHAnsi"/>
          <w:color w:val="000000"/>
          <w:sz w:val="24"/>
          <w:szCs w:val="24"/>
          <w:highlight w:val="lightGray"/>
          <w:lang w:eastAsia="es-ES"/>
        </w:rPr>
      </w:pPr>
    </w:p>
    <w:p w14:paraId="76A7930E" w14:textId="77777777" w:rsidR="00D55CFB" w:rsidRPr="004418D7" w:rsidRDefault="00D55CFB" w:rsidP="00D55CFB">
      <w:pPr>
        <w:rPr>
          <w:highlight w:val="lightGray"/>
        </w:rPr>
      </w:pPr>
      <w:r w:rsidRPr="001A66A1">
        <w:rPr>
          <w:noProof/>
          <w:lang w:eastAsia="es-ES"/>
        </w:rPr>
        <w:lastRenderedPageBreak/>
        <w:drawing>
          <wp:inline distT="0" distB="0" distL="0" distR="0" wp14:anchorId="5022E0FA" wp14:editId="651DA485">
            <wp:extent cx="5760720" cy="57607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15C16804" w14:textId="77777777" w:rsidR="00D55CFB" w:rsidRPr="004418D7" w:rsidRDefault="00D55CFB" w:rsidP="00D55CFB">
      <w:pPr>
        <w:rPr>
          <w:highlight w:val="lightGray"/>
        </w:rPr>
      </w:pPr>
    </w:p>
    <w:p w14:paraId="37C01288" w14:textId="77777777" w:rsidR="00D55CFB" w:rsidRPr="00830A41" w:rsidRDefault="00D55CFB" w:rsidP="00D55CFB">
      <w:pPr>
        <w:spacing w:line="360" w:lineRule="auto"/>
        <w:rPr>
          <w:rFonts w:asciiTheme="majorHAnsi" w:hAnsiTheme="majorHAnsi" w:cstheme="majorHAnsi"/>
          <w:highlight w:val="lightGray"/>
        </w:rPr>
      </w:pPr>
      <w:r w:rsidRPr="00830A41">
        <w:rPr>
          <w:rFonts w:asciiTheme="majorHAnsi" w:hAnsiTheme="majorHAnsi" w:cstheme="majorHAnsi"/>
          <w:color w:val="000000"/>
          <w:szCs w:val="24"/>
        </w:rPr>
        <w:t xml:space="preserve">Los resultados al tercer trimestre reflejan finanzas públicas sólidas. Como resultado de la Reforma Hacendaria implementada en 2014 se cuenta con una estructura de ingresos públicos menos dependiente de los ingresos petroleros, y que se ha visto favorecida por un aumento de 5 puntos porcentuales del PIB de los ingresos tributarios en lo que va de la administración. Asimismo, la contratación de las coberturas petroleras ha permitido garantizar los ingresos petroleros previstos en la Ley de Ingresos de la Federación ante caídas en los precios de la mezcla mexicana de exportación. Además, el saldo de los fondos de estabilización se encuentra en un nivel máximo histórico, lo que permitiría </w:t>
      </w:r>
      <w:r w:rsidRPr="00830A41">
        <w:rPr>
          <w:rFonts w:asciiTheme="majorHAnsi" w:hAnsiTheme="majorHAnsi" w:cstheme="majorHAnsi"/>
          <w:color w:val="000000"/>
          <w:szCs w:val="24"/>
        </w:rPr>
        <w:lastRenderedPageBreak/>
        <w:t>hacer frente a caídas en los ingresos. Al cierre de septiembre, la suma del saldo del FEIP, FEIEF y FMP se ubicó en 1.5 por ciento del PIB, lo que representa 341 mil 676 millones de pesos, monto superior en 33 mil 598 millones de pesos con respecto al cierre de 2017.</w:t>
      </w:r>
      <w:r w:rsidRPr="00830A41">
        <w:rPr>
          <w:rStyle w:val="Refdenotaalpie"/>
          <w:rFonts w:asciiTheme="majorHAnsi" w:hAnsiTheme="majorHAnsi" w:cstheme="majorHAnsi"/>
          <w:color w:val="000000"/>
          <w:szCs w:val="24"/>
        </w:rPr>
        <w:footnoteReference w:id="11"/>
      </w:r>
    </w:p>
    <w:p w14:paraId="5E93C445" w14:textId="77777777" w:rsidR="00D55CFB" w:rsidRPr="004418D7" w:rsidRDefault="00D55CFB" w:rsidP="00D55CFB">
      <w:pPr>
        <w:spacing w:line="276" w:lineRule="auto"/>
        <w:rPr>
          <w:highlight w:val="lightGray"/>
        </w:rPr>
      </w:pPr>
    </w:p>
    <w:p w14:paraId="65DD753D" w14:textId="77777777" w:rsidR="00D55CFB" w:rsidRPr="004418D7" w:rsidRDefault="00D55CFB" w:rsidP="00D55CFB">
      <w:pPr>
        <w:rPr>
          <w:highlight w:val="lightGray"/>
        </w:rPr>
      </w:pPr>
      <w:r w:rsidRPr="001A66A1">
        <w:rPr>
          <w:noProof/>
          <w:lang w:eastAsia="es-ES"/>
        </w:rPr>
        <w:drawing>
          <wp:inline distT="0" distB="0" distL="0" distR="0" wp14:anchorId="3D3D6A05" wp14:editId="78190446">
            <wp:extent cx="5760720" cy="1483600"/>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483600"/>
                    </a:xfrm>
                    <a:prstGeom prst="rect">
                      <a:avLst/>
                    </a:prstGeom>
                    <a:noFill/>
                    <a:ln>
                      <a:noFill/>
                    </a:ln>
                  </pic:spPr>
                </pic:pic>
              </a:graphicData>
            </a:graphic>
          </wp:inline>
        </w:drawing>
      </w:r>
    </w:p>
    <w:p w14:paraId="7BE78DC2" w14:textId="77777777" w:rsidR="00D55CFB" w:rsidRPr="004418D7" w:rsidRDefault="00D55CFB" w:rsidP="00D55CFB">
      <w:pPr>
        <w:rPr>
          <w:highlight w:val="lightGray"/>
        </w:rPr>
      </w:pPr>
    </w:p>
    <w:p w14:paraId="034676FF" w14:textId="77777777" w:rsidR="00D55CFB" w:rsidRPr="00830A41" w:rsidRDefault="00D55CFB" w:rsidP="00D55CFB">
      <w:pPr>
        <w:rPr>
          <w:rFonts w:asciiTheme="majorHAnsi" w:hAnsiTheme="majorHAnsi" w:cstheme="majorHAnsi"/>
          <w:b/>
        </w:rPr>
      </w:pPr>
      <w:r w:rsidRPr="00830A41">
        <w:rPr>
          <w:rFonts w:asciiTheme="majorHAnsi" w:hAnsiTheme="majorHAnsi" w:cstheme="majorHAnsi"/>
          <w:b/>
        </w:rPr>
        <w:t>ENTORNO ESTATAL</w:t>
      </w:r>
    </w:p>
    <w:p w14:paraId="414FBAB3" w14:textId="77777777" w:rsidR="00D55CFB" w:rsidRPr="00830A41" w:rsidRDefault="00D55CFB" w:rsidP="00D55CFB">
      <w:pPr>
        <w:rPr>
          <w:rFonts w:asciiTheme="majorHAnsi" w:hAnsiTheme="majorHAnsi" w:cstheme="majorHAnsi"/>
          <w:b/>
          <w:highlight w:val="lightGray"/>
        </w:rPr>
      </w:pPr>
    </w:p>
    <w:p w14:paraId="2ABA495C" w14:textId="77777777" w:rsidR="00D55CFB" w:rsidRPr="00830A41" w:rsidRDefault="00D55CFB" w:rsidP="00D55CFB">
      <w:pPr>
        <w:autoSpaceDE w:val="0"/>
        <w:autoSpaceDN w:val="0"/>
        <w:adjustRightInd w:val="0"/>
        <w:spacing w:line="360" w:lineRule="auto"/>
        <w:rPr>
          <w:rFonts w:asciiTheme="majorHAnsi" w:hAnsiTheme="majorHAnsi" w:cstheme="majorHAnsi"/>
          <w:szCs w:val="24"/>
        </w:rPr>
      </w:pPr>
      <w:r w:rsidRPr="00830A41">
        <w:rPr>
          <w:rFonts w:asciiTheme="majorHAnsi" w:hAnsiTheme="majorHAnsi" w:cstheme="majorHAnsi"/>
          <w:szCs w:val="24"/>
        </w:rPr>
        <w:t>El Instituto Nacional de Estadística y Geografía informa los resultados del Indicador Trimestral de la Actividad Económica Estatal (ITAEE), correspondientes a Tabasco para el segundo trimestre de 2018 con respecto al mismo periodo del año anterior.</w:t>
      </w:r>
    </w:p>
    <w:p w14:paraId="479D2138" w14:textId="77777777" w:rsidR="00D55CFB" w:rsidRPr="00830A41" w:rsidRDefault="00D55CFB" w:rsidP="00D55CFB">
      <w:pPr>
        <w:autoSpaceDE w:val="0"/>
        <w:autoSpaceDN w:val="0"/>
        <w:adjustRightInd w:val="0"/>
        <w:spacing w:line="360" w:lineRule="auto"/>
        <w:rPr>
          <w:rFonts w:asciiTheme="majorHAnsi" w:hAnsiTheme="majorHAnsi" w:cstheme="majorHAnsi"/>
          <w:color w:val="000000"/>
          <w:szCs w:val="24"/>
        </w:rPr>
      </w:pPr>
    </w:p>
    <w:p w14:paraId="7210302A" w14:textId="77777777" w:rsidR="00D55CFB" w:rsidRPr="00830A41" w:rsidRDefault="00D55CFB" w:rsidP="00D55CFB">
      <w:pPr>
        <w:autoSpaceDE w:val="0"/>
        <w:autoSpaceDN w:val="0"/>
        <w:adjustRightInd w:val="0"/>
        <w:spacing w:line="360" w:lineRule="auto"/>
        <w:rPr>
          <w:rFonts w:asciiTheme="majorHAnsi" w:hAnsiTheme="majorHAnsi" w:cstheme="majorHAnsi"/>
          <w:szCs w:val="24"/>
        </w:rPr>
      </w:pPr>
      <w:r w:rsidRPr="00830A41">
        <w:rPr>
          <w:rFonts w:asciiTheme="majorHAnsi" w:hAnsiTheme="majorHAnsi" w:cstheme="majorHAnsi"/>
          <w:szCs w:val="24"/>
        </w:rPr>
        <w:t>Tabasco mostró un decremento anual de (-)6.8 por ciento durante el segundo trimestre de 2018, ocasionado por el comportamiento de las Actividades Secundarias y Terciarias.</w:t>
      </w:r>
    </w:p>
    <w:p w14:paraId="7214BEC1" w14:textId="77777777" w:rsidR="00D55CFB" w:rsidRPr="00830A41" w:rsidRDefault="00D55CFB" w:rsidP="00D55CFB">
      <w:pPr>
        <w:autoSpaceDE w:val="0"/>
        <w:autoSpaceDN w:val="0"/>
        <w:adjustRightInd w:val="0"/>
        <w:spacing w:line="360" w:lineRule="auto"/>
        <w:rPr>
          <w:rFonts w:asciiTheme="majorHAnsi" w:hAnsiTheme="majorHAnsi" w:cstheme="majorHAnsi"/>
          <w:szCs w:val="24"/>
        </w:rPr>
      </w:pPr>
    </w:p>
    <w:p w14:paraId="20E6E9ED" w14:textId="77777777" w:rsidR="00D55CFB" w:rsidRPr="00830A41" w:rsidRDefault="00D55CFB" w:rsidP="00D55CFB">
      <w:pPr>
        <w:autoSpaceDE w:val="0"/>
        <w:autoSpaceDN w:val="0"/>
        <w:adjustRightInd w:val="0"/>
        <w:spacing w:line="360" w:lineRule="auto"/>
        <w:rPr>
          <w:rFonts w:asciiTheme="majorHAnsi" w:hAnsiTheme="majorHAnsi" w:cstheme="majorHAnsi"/>
          <w:szCs w:val="24"/>
        </w:rPr>
      </w:pPr>
      <w:r w:rsidRPr="00830A41">
        <w:rPr>
          <w:rFonts w:asciiTheme="majorHAnsi" w:hAnsiTheme="majorHAnsi" w:cstheme="majorHAnsi"/>
          <w:szCs w:val="24"/>
        </w:rPr>
        <w:t>Por su parte, el acumulado enero-junio cayó (-)5.1 por ciento, reflejo del descenso en las Actividades Secundarias y Terciarias de (-)6.7 y (-)2.4 por ciento, correspondientemente. En tanto que las Primarias crecieron 2.3 por ciento.</w:t>
      </w:r>
    </w:p>
    <w:p w14:paraId="55A8EDA8" w14:textId="77777777" w:rsidR="00D55CFB" w:rsidRPr="00830A41" w:rsidRDefault="00D55CFB" w:rsidP="00D55CFB">
      <w:pPr>
        <w:autoSpaceDE w:val="0"/>
        <w:autoSpaceDN w:val="0"/>
        <w:adjustRightInd w:val="0"/>
        <w:spacing w:line="360" w:lineRule="auto"/>
        <w:rPr>
          <w:rFonts w:asciiTheme="majorHAnsi" w:hAnsiTheme="majorHAnsi" w:cstheme="majorHAnsi"/>
          <w:szCs w:val="24"/>
        </w:rPr>
      </w:pPr>
    </w:p>
    <w:p w14:paraId="4CB22796" w14:textId="77777777" w:rsidR="00D55CFB" w:rsidRPr="00830A41" w:rsidRDefault="00D55CFB" w:rsidP="00D55CFB">
      <w:pPr>
        <w:numPr>
          <w:ilvl w:val="0"/>
          <w:numId w:val="37"/>
        </w:numPr>
        <w:autoSpaceDE w:val="0"/>
        <w:autoSpaceDN w:val="0"/>
        <w:adjustRightInd w:val="0"/>
        <w:spacing w:line="360" w:lineRule="auto"/>
        <w:rPr>
          <w:rFonts w:asciiTheme="majorHAnsi" w:hAnsiTheme="majorHAnsi" w:cstheme="majorHAnsi"/>
          <w:szCs w:val="24"/>
        </w:rPr>
      </w:pPr>
      <w:r w:rsidRPr="00830A41">
        <w:rPr>
          <w:rFonts w:asciiTheme="majorHAnsi" w:hAnsiTheme="majorHAnsi" w:cstheme="majorHAnsi"/>
          <w:szCs w:val="24"/>
        </w:rPr>
        <w:t>Las Actividades Primarias que incluyen la agricultura, cría y explotación de animales, aprovechamiento forestal, pesca y caza, reportaron una variación anual de 5.8 por ciento en el segundo trimestre de 2018, debido al comportamiento positivo de la agricultura. Así, la entidad logró ubicarse en lugar doce a nivel nacional.</w:t>
      </w:r>
    </w:p>
    <w:p w14:paraId="69A5925C" w14:textId="77777777" w:rsidR="00D55CFB" w:rsidRPr="00830A41" w:rsidRDefault="00D55CFB" w:rsidP="00D55CFB">
      <w:pPr>
        <w:numPr>
          <w:ilvl w:val="0"/>
          <w:numId w:val="37"/>
        </w:numPr>
        <w:autoSpaceDE w:val="0"/>
        <w:autoSpaceDN w:val="0"/>
        <w:adjustRightInd w:val="0"/>
        <w:spacing w:line="360" w:lineRule="auto"/>
        <w:rPr>
          <w:rFonts w:asciiTheme="majorHAnsi" w:hAnsiTheme="majorHAnsi" w:cstheme="majorHAnsi"/>
          <w:szCs w:val="24"/>
        </w:rPr>
      </w:pPr>
      <w:r w:rsidRPr="00830A41">
        <w:rPr>
          <w:rFonts w:asciiTheme="majorHAnsi" w:hAnsiTheme="majorHAnsi" w:cstheme="majorHAnsi"/>
          <w:szCs w:val="24"/>
        </w:rPr>
        <w:lastRenderedPageBreak/>
        <w:t xml:space="preserve">Las Actividades Secundarias corresponden a los sectores dedicados a la industria de la minería, manufacturas, construcción y electricidad, que en su conjunto reflejaron un decremento a tasa anual de (-)8.6 por ciento en el segundo trimestre de 2018, debido a la minería; a las industrias manufactureras; y a la generación, transmisión y distribución de energía eléctrica, suministro de agua y de gas por ductos al consumidor final, principalmente. Lo anterior, ocasionó que el estado se situara, en este rubro, en la antepenúltima posición del total de las entidades. </w:t>
      </w:r>
    </w:p>
    <w:p w14:paraId="0FECD0B5" w14:textId="77777777" w:rsidR="00D55CFB" w:rsidRPr="00830A41" w:rsidRDefault="00D55CFB" w:rsidP="00D55CFB">
      <w:pPr>
        <w:numPr>
          <w:ilvl w:val="0"/>
          <w:numId w:val="37"/>
        </w:numPr>
        <w:autoSpaceDE w:val="0"/>
        <w:autoSpaceDN w:val="0"/>
        <w:adjustRightInd w:val="0"/>
        <w:spacing w:line="360" w:lineRule="auto"/>
        <w:rPr>
          <w:rFonts w:asciiTheme="majorHAnsi" w:hAnsiTheme="majorHAnsi" w:cstheme="majorHAnsi"/>
        </w:rPr>
      </w:pPr>
      <w:r w:rsidRPr="00830A41">
        <w:rPr>
          <w:rFonts w:asciiTheme="majorHAnsi" w:hAnsiTheme="majorHAnsi" w:cstheme="majorHAnsi"/>
          <w:szCs w:val="24"/>
        </w:rPr>
        <w:t>Las Actividades Terciarias incluyen a los sectores dedicados a la distribución de bienes y aquellas actividades vinculadas con operaciones de información y de activos, así como con servicios afines al conocimiento y experiencia personal; además, de los relacionados con la recreación y con la parte gubernamental, entre otros. La entidad en estas actividades cayó a tasa anual de (-)4 por ciento en el segundo trimestre de 2018, a causa del desempeño reportado, principalmente, por las actividades legislativas, gubernamentales y de impartición de justicia; por el comercio; por otros servicios excepto actividades gubernamentales; por los servicios profesionales, científicos y técnicos; y por los transportes, correos y almacenamiento. Derivado de este escenario, la entidad se colocó en el último lugar</w:t>
      </w:r>
      <w:r w:rsidRPr="00830A41">
        <w:rPr>
          <w:rFonts w:asciiTheme="majorHAnsi" w:hAnsiTheme="majorHAnsi" w:cstheme="majorHAnsi"/>
          <w:sz w:val="23"/>
          <w:szCs w:val="23"/>
        </w:rPr>
        <w:t>.</w:t>
      </w:r>
      <w:r w:rsidRPr="00830A41">
        <w:rPr>
          <w:rStyle w:val="Refdenotaalpie"/>
          <w:rFonts w:asciiTheme="majorHAnsi" w:hAnsiTheme="majorHAnsi" w:cstheme="majorHAnsi"/>
          <w:szCs w:val="23"/>
        </w:rPr>
        <w:footnoteReference w:id="12"/>
      </w:r>
    </w:p>
    <w:p w14:paraId="0B0F57D8" w14:textId="77777777" w:rsidR="00D55CFB" w:rsidRPr="00DE451A" w:rsidRDefault="00D55CFB" w:rsidP="00D55CFB">
      <w:pPr>
        <w:autoSpaceDE w:val="0"/>
        <w:autoSpaceDN w:val="0"/>
        <w:adjustRightInd w:val="0"/>
        <w:spacing w:line="360" w:lineRule="auto"/>
        <w:ind w:left="720"/>
        <w:jc w:val="center"/>
      </w:pPr>
      <w:r w:rsidRPr="00E0357E">
        <w:rPr>
          <w:noProof/>
          <w:lang w:eastAsia="es-ES"/>
        </w:rPr>
        <w:drawing>
          <wp:inline distT="0" distB="0" distL="0" distR="0" wp14:anchorId="72C5F60D" wp14:editId="2F7D3DE5">
            <wp:extent cx="4579620" cy="2501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9620" cy="2501900"/>
                    </a:xfrm>
                    <a:prstGeom prst="rect">
                      <a:avLst/>
                    </a:prstGeom>
                    <a:noFill/>
                    <a:ln>
                      <a:noFill/>
                    </a:ln>
                  </pic:spPr>
                </pic:pic>
              </a:graphicData>
            </a:graphic>
          </wp:inline>
        </w:drawing>
      </w:r>
    </w:p>
    <w:p w14:paraId="66A9B3C3" w14:textId="77777777" w:rsidR="00D55CFB" w:rsidRPr="00830A41" w:rsidRDefault="00D55CFB" w:rsidP="00D55CFB">
      <w:pPr>
        <w:autoSpaceDE w:val="0"/>
        <w:autoSpaceDN w:val="0"/>
        <w:adjustRightInd w:val="0"/>
        <w:spacing w:line="360" w:lineRule="auto"/>
        <w:rPr>
          <w:rFonts w:asciiTheme="majorHAnsi" w:hAnsiTheme="majorHAnsi" w:cstheme="majorHAnsi"/>
          <w:szCs w:val="24"/>
          <w:highlight w:val="lightGray"/>
        </w:rPr>
      </w:pPr>
      <w:r w:rsidRPr="00830A41">
        <w:rPr>
          <w:rFonts w:asciiTheme="majorHAnsi" w:hAnsiTheme="majorHAnsi" w:cstheme="majorHAnsi"/>
          <w:szCs w:val="24"/>
        </w:rPr>
        <w:lastRenderedPageBreak/>
        <w:t>Cabe mencionar que, en el segundo trimestre de 2018, Tabasco obtuvo la última posición del total de la economía, con respecto a las 32 entidades federativas; asimismo, presentó una aportación de (-)0.20 puntos porcentuales al crecimiento nacional, ubicándose, también, en el último lugar de contribución.</w:t>
      </w:r>
      <w:r w:rsidRPr="00830A41">
        <w:rPr>
          <w:rStyle w:val="Refdenotaalpie"/>
          <w:rFonts w:asciiTheme="majorHAnsi" w:hAnsiTheme="majorHAnsi" w:cstheme="majorHAnsi"/>
          <w:szCs w:val="24"/>
        </w:rPr>
        <w:footnoteReference w:id="13"/>
      </w:r>
    </w:p>
    <w:p w14:paraId="176225D2" w14:textId="77777777" w:rsidR="00D55CFB" w:rsidRPr="00830A41" w:rsidRDefault="00D55CFB" w:rsidP="00D55CFB">
      <w:pPr>
        <w:autoSpaceDE w:val="0"/>
        <w:autoSpaceDN w:val="0"/>
        <w:adjustRightInd w:val="0"/>
        <w:spacing w:line="360" w:lineRule="auto"/>
        <w:rPr>
          <w:rFonts w:asciiTheme="majorHAnsi" w:hAnsiTheme="majorHAnsi" w:cstheme="majorHAnsi"/>
          <w:highlight w:val="lightGray"/>
        </w:rPr>
      </w:pPr>
    </w:p>
    <w:p w14:paraId="2B51A4EF" w14:textId="77777777" w:rsidR="00D55CFB" w:rsidRPr="00830A41" w:rsidRDefault="00D55CFB" w:rsidP="00D55CFB">
      <w:pPr>
        <w:spacing w:line="360" w:lineRule="auto"/>
        <w:rPr>
          <w:rFonts w:asciiTheme="majorHAnsi" w:hAnsiTheme="majorHAnsi" w:cstheme="majorHAnsi"/>
          <w:b/>
        </w:rPr>
      </w:pPr>
      <w:r w:rsidRPr="00830A41">
        <w:rPr>
          <w:rFonts w:asciiTheme="majorHAnsi" w:hAnsiTheme="majorHAnsi" w:cstheme="majorHAnsi"/>
          <w:b/>
        </w:rPr>
        <w:t>Inflación</w:t>
      </w:r>
    </w:p>
    <w:p w14:paraId="76312EC7" w14:textId="77777777" w:rsidR="00D55CFB" w:rsidRPr="00830A41" w:rsidRDefault="00D55CFB" w:rsidP="00D55CFB">
      <w:pPr>
        <w:spacing w:line="360" w:lineRule="auto"/>
        <w:rPr>
          <w:rFonts w:asciiTheme="majorHAnsi" w:hAnsiTheme="majorHAnsi" w:cstheme="majorHAnsi"/>
          <w:highlight w:val="lightGray"/>
        </w:rPr>
      </w:pPr>
    </w:p>
    <w:p w14:paraId="57DC6CD8" w14:textId="77777777" w:rsidR="00D55CFB" w:rsidRPr="00830A41" w:rsidRDefault="00D55CFB" w:rsidP="00D55CFB">
      <w:pPr>
        <w:autoSpaceDE w:val="0"/>
        <w:autoSpaceDN w:val="0"/>
        <w:adjustRightInd w:val="0"/>
        <w:spacing w:line="360" w:lineRule="auto"/>
        <w:rPr>
          <w:rFonts w:asciiTheme="majorHAnsi" w:hAnsiTheme="majorHAnsi" w:cstheme="majorHAnsi"/>
          <w:color w:val="000000"/>
          <w:sz w:val="23"/>
          <w:szCs w:val="23"/>
          <w:lang w:val="es-MX" w:eastAsia="es-MX"/>
        </w:rPr>
      </w:pPr>
      <w:r w:rsidRPr="00830A41">
        <w:rPr>
          <w:rFonts w:asciiTheme="majorHAnsi" w:hAnsiTheme="majorHAnsi" w:cstheme="majorHAnsi"/>
          <w:color w:val="000000"/>
          <w:sz w:val="23"/>
          <w:szCs w:val="23"/>
          <w:lang w:val="es-MX" w:eastAsia="es-MX"/>
        </w:rPr>
        <w:t xml:space="preserve">El Instituto Nacional de Estadística y Geografía (INEGI) informa que en octubre de 2018 el Índice Nacional de Precios al Consumidor (INPC) presentó un crecimiento mensual de 0.52 por ciento, así como una tasa anual de 4.90 por ciento. En el mismo periodo de 2017 los datos fueron de 0.63 por ciento mensual y de 6.37 por ciento de inflación anual. </w:t>
      </w:r>
    </w:p>
    <w:p w14:paraId="3E489188" w14:textId="77777777" w:rsidR="00D55CFB" w:rsidRPr="00830A41" w:rsidRDefault="00D55CFB" w:rsidP="00D55CFB">
      <w:pPr>
        <w:autoSpaceDE w:val="0"/>
        <w:autoSpaceDN w:val="0"/>
        <w:adjustRightInd w:val="0"/>
        <w:spacing w:line="360" w:lineRule="auto"/>
        <w:rPr>
          <w:rFonts w:asciiTheme="majorHAnsi" w:hAnsiTheme="majorHAnsi" w:cstheme="majorHAnsi"/>
          <w:color w:val="000000"/>
          <w:sz w:val="23"/>
          <w:szCs w:val="23"/>
          <w:lang w:val="es-MX" w:eastAsia="es-MX"/>
        </w:rPr>
      </w:pPr>
    </w:p>
    <w:p w14:paraId="0103D9F0" w14:textId="77777777" w:rsidR="00D55CFB" w:rsidRPr="00830A41" w:rsidRDefault="00D55CFB" w:rsidP="00D55CFB">
      <w:pPr>
        <w:autoSpaceDE w:val="0"/>
        <w:autoSpaceDN w:val="0"/>
        <w:adjustRightInd w:val="0"/>
        <w:spacing w:line="360" w:lineRule="auto"/>
        <w:rPr>
          <w:rFonts w:asciiTheme="majorHAnsi" w:hAnsiTheme="majorHAnsi" w:cstheme="majorHAnsi"/>
          <w:color w:val="000000"/>
          <w:sz w:val="23"/>
          <w:szCs w:val="23"/>
          <w:lang w:val="es-MX" w:eastAsia="es-MX"/>
        </w:rPr>
      </w:pPr>
      <w:r w:rsidRPr="00830A41">
        <w:rPr>
          <w:rFonts w:asciiTheme="majorHAnsi" w:hAnsiTheme="majorHAnsi" w:cstheme="majorHAnsi"/>
          <w:color w:val="000000"/>
          <w:sz w:val="23"/>
          <w:szCs w:val="23"/>
          <w:lang w:val="es-MX" w:eastAsia="es-MX"/>
        </w:rPr>
        <w:t>El índice de precios subyacente</w:t>
      </w:r>
      <w:r w:rsidRPr="00830A41">
        <w:rPr>
          <w:rFonts w:asciiTheme="majorHAnsi" w:hAnsiTheme="majorHAnsi" w:cstheme="majorHAnsi"/>
          <w:color w:val="000000"/>
          <w:sz w:val="16"/>
          <w:lang w:val="es-MX" w:eastAsia="es-MX"/>
        </w:rPr>
        <w:t xml:space="preserve"> </w:t>
      </w:r>
      <w:r w:rsidRPr="00830A41">
        <w:rPr>
          <w:rFonts w:asciiTheme="majorHAnsi" w:hAnsiTheme="majorHAnsi" w:cstheme="majorHAnsi"/>
          <w:color w:val="000000"/>
          <w:sz w:val="23"/>
          <w:szCs w:val="23"/>
          <w:lang w:val="es-MX" w:eastAsia="es-MX"/>
        </w:rPr>
        <w:t xml:space="preserve">registró un aumento mensual de 0.31 por ciento, alcanzando una tasa anual de 3.73 por ciento; por su parte, el índice de precios no subyacente se incrementó 1.15 por ciento, logrando así un alza anual de 8.50 por ciento. </w:t>
      </w:r>
    </w:p>
    <w:p w14:paraId="0BCC8343" w14:textId="77777777" w:rsidR="00D55CFB" w:rsidRPr="00830A41" w:rsidRDefault="00D55CFB" w:rsidP="00D55CFB">
      <w:pPr>
        <w:autoSpaceDE w:val="0"/>
        <w:autoSpaceDN w:val="0"/>
        <w:adjustRightInd w:val="0"/>
        <w:spacing w:line="360" w:lineRule="auto"/>
        <w:rPr>
          <w:rFonts w:asciiTheme="majorHAnsi" w:hAnsiTheme="majorHAnsi" w:cstheme="majorHAnsi"/>
          <w:color w:val="000000"/>
          <w:sz w:val="23"/>
          <w:szCs w:val="23"/>
          <w:lang w:val="es-MX" w:eastAsia="es-MX"/>
        </w:rPr>
      </w:pPr>
      <w:r w:rsidRPr="00830A41">
        <w:rPr>
          <w:rFonts w:asciiTheme="majorHAnsi" w:hAnsiTheme="majorHAnsi" w:cstheme="majorHAnsi"/>
          <w:color w:val="000000"/>
          <w:sz w:val="23"/>
          <w:szCs w:val="23"/>
          <w:lang w:val="es-MX" w:eastAsia="es-MX"/>
        </w:rPr>
        <w:t xml:space="preserve">Al interior del índice de precios subyacente, los precios de las mercancías subieron 0.24 por ciento y los de los servicios 0.39 por ciento mensual. </w:t>
      </w:r>
    </w:p>
    <w:p w14:paraId="3FD46839" w14:textId="77777777" w:rsidR="00D55CFB" w:rsidRPr="00830A41" w:rsidRDefault="00D55CFB" w:rsidP="00D55CFB">
      <w:pPr>
        <w:autoSpaceDE w:val="0"/>
        <w:autoSpaceDN w:val="0"/>
        <w:adjustRightInd w:val="0"/>
        <w:spacing w:line="360" w:lineRule="auto"/>
        <w:rPr>
          <w:rFonts w:asciiTheme="majorHAnsi" w:hAnsiTheme="majorHAnsi" w:cstheme="majorHAnsi"/>
          <w:color w:val="000000"/>
          <w:sz w:val="23"/>
          <w:szCs w:val="23"/>
          <w:lang w:val="es-MX" w:eastAsia="es-MX"/>
        </w:rPr>
      </w:pPr>
    </w:p>
    <w:p w14:paraId="52AF319A" w14:textId="77777777" w:rsidR="00D55CFB" w:rsidRPr="00830A41" w:rsidRDefault="00D55CFB" w:rsidP="00D55CFB">
      <w:pPr>
        <w:autoSpaceDE w:val="0"/>
        <w:autoSpaceDN w:val="0"/>
        <w:adjustRightInd w:val="0"/>
        <w:spacing w:line="360" w:lineRule="auto"/>
        <w:rPr>
          <w:rFonts w:asciiTheme="majorHAnsi" w:hAnsiTheme="majorHAnsi" w:cstheme="majorHAnsi"/>
          <w:szCs w:val="24"/>
          <w:highlight w:val="lightGray"/>
          <w:lang w:val="es-MX" w:eastAsia="es-MX"/>
        </w:rPr>
      </w:pPr>
      <w:r w:rsidRPr="00830A41">
        <w:rPr>
          <w:rFonts w:asciiTheme="majorHAnsi" w:hAnsiTheme="majorHAnsi" w:cstheme="majorHAnsi"/>
          <w:color w:val="000000"/>
          <w:sz w:val="23"/>
          <w:szCs w:val="23"/>
          <w:lang w:val="es-MX" w:eastAsia="es-MX"/>
        </w:rPr>
        <w:t xml:space="preserve">Dentro del índice de precios no subyacente, el subíndice de precios de los productos agropecuarios disminuyó (-)0.70 por ciento, mientras que el de los energéticos y tarifas autorizadas por el gobierno se elevó 2.47 por ciento como consecuencia, en mayor medida, de la conclusión del subsidio al programa de tarifas eléctricas de temporada de verano en 18 ciudades del país. </w:t>
      </w:r>
      <w:r w:rsidRPr="00830A41">
        <w:rPr>
          <w:rStyle w:val="Refdenotaalpie"/>
          <w:rFonts w:asciiTheme="majorHAnsi" w:hAnsiTheme="majorHAnsi" w:cstheme="majorHAnsi"/>
          <w:color w:val="000000"/>
          <w:szCs w:val="24"/>
          <w:lang w:val="es-MX" w:eastAsia="es-MX"/>
        </w:rPr>
        <w:footnoteReference w:id="14"/>
      </w:r>
    </w:p>
    <w:p w14:paraId="260ECFD7" w14:textId="77777777" w:rsidR="00D55CFB" w:rsidRPr="004418D7" w:rsidRDefault="00D55CFB" w:rsidP="00D55CFB">
      <w:pPr>
        <w:spacing w:line="360" w:lineRule="auto"/>
        <w:jc w:val="right"/>
        <w:rPr>
          <w:sz w:val="28"/>
          <w:highlight w:val="lightGray"/>
        </w:rPr>
      </w:pPr>
      <w:r w:rsidRPr="00A57CAE">
        <w:rPr>
          <w:noProof/>
          <w:lang w:eastAsia="es-ES"/>
        </w:rPr>
        <w:lastRenderedPageBreak/>
        <w:drawing>
          <wp:inline distT="0" distB="0" distL="0" distR="0" wp14:anchorId="72BC46B1" wp14:editId="3BF0DF99">
            <wp:extent cx="5135245" cy="299910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5245" cy="2999105"/>
                    </a:xfrm>
                    <a:prstGeom prst="rect">
                      <a:avLst/>
                    </a:prstGeom>
                    <a:noFill/>
                    <a:ln>
                      <a:noFill/>
                    </a:ln>
                  </pic:spPr>
                </pic:pic>
              </a:graphicData>
            </a:graphic>
          </wp:inline>
        </w:drawing>
      </w:r>
    </w:p>
    <w:p w14:paraId="21483E5A" w14:textId="77777777" w:rsidR="00D55CFB" w:rsidRPr="004418D7" w:rsidRDefault="00D55CFB" w:rsidP="00D55CFB">
      <w:pPr>
        <w:spacing w:line="360" w:lineRule="auto"/>
        <w:jc w:val="center"/>
        <w:rPr>
          <w:sz w:val="28"/>
          <w:highlight w:val="lightGray"/>
        </w:rPr>
      </w:pPr>
    </w:p>
    <w:p w14:paraId="6B8CD4F7" w14:textId="77777777" w:rsidR="00D55CFB" w:rsidRPr="00830A41" w:rsidRDefault="00D55CFB" w:rsidP="00D55CFB">
      <w:pPr>
        <w:spacing w:line="360" w:lineRule="auto"/>
        <w:rPr>
          <w:rFonts w:asciiTheme="majorHAnsi" w:hAnsiTheme="majorHAnsi" w:cstheme="majorHAnsi"/>
          <w:b/>
        </w:rPr>
      </w:pPr>
      <w:r w:rsidRPr="00830A41">
        <w:rPr>
          <w:rFonts w:asciiTheme="majorHAnsi" w:hAnsiTheme="majorHAnsi" w:cstheme="majorHAnsi"/>
          <w:b/>
        </w:rPr>
        <w:t>Empleo</w:t>
      </w:r>
    </w:p>
    <w:p w14:paraId="14D2F282" w14:textId="77777777" w:rsidR="00D55CFB" w:rsidRPr="00830A41" w:rsidRDefault="00D55CFB" w:rsidP="00D55CFB">
      <w:pPr>
        <w:autoSpaceDE w:val="0"/>
        <w:autoSpaceDN w:val="0"/>
        <w:adjustRightInd w:val="0"/>
        <w:spacing w:line="360" w:lineRule="auto"/>
        <w:jc w:val="left"/>
        <w:rPr>
          <w:rFonts w:asciiTheme="majorHAnsi" w:hAnsiTheme="majorHAnsi" w:cstheme="majorHAnsi"/>
          <w:color w:val="000000"/>
          <w:szCs w:val="24"/>
          <w:highlight w:val="lightGray"/>
          <w:lang w:val="es-MX" w:eastAsia="es-MX"/>
        </w:rPr>
      </w:pPr>
      <w:r w:rsidRPr="00830A41">
        <w:rPr>
          <w:rFonts w:asciiTheme="majorHAnsi" w:hAnsiTheme="majorHAnsi" w:cstheme="majorHAnsi"/>
          <w:color w:val="000000"/>
          <w:szCs w:val="24"/>
          <w:highlight w:val="lightGray"/>
          <w:lang w:val="es-MX" w:eastAsia="es-MX"/>
        </w:rPr>
        <w:t xml:space="preserve"> </w:t>
      </w:r>
    </w:p>
    <w:p w14:paraId="7BAE128E" w14:textId="77777777" w:rsidR="00D55CFB" w:rsidRPr="00830A41" w:rsidRDefault="00D55CFB" w:rsidP="00D55CFB">
      <w:pPr>
        <w:autoSpaceDE w:val="0"/>
        <w:autoSpaceDN w:val="0"/>
        <w:adjustRightInd w:val="0"/>
        <w:spacing w:line="360" w:lineRule="auto"/>
        <w:rPr>
          <w:rFonts w:asciiTheme="majorHAnsi" w:hAnsiTheme="majorHAnsi" w:cstheme="majorHAnsi"/>
          <w:bCs/>
          <w:color w:val="000000"/>
          <w:szCs w:val="24"/>
        </w:rPr>
      </w:pPr>
      <w:r w:rsidRPr="00830A41">
        <w:rPr>
          <w:rFonts w:asciiTheme="majorHAnsi" w:hAnsiTheme="majorHAnsi" w:cstheme="majorHAnsi"/>
          <w:bCs/>
          <w:color w:val="000000"/>
          <w:szCs w:val="24"/>
        </w:rPr>
        <w:t xml:space="preserve">El INEGI presenta los resultados trimestrales de la Encuesta Nacional de Ocupación y Empleo (ENOE) del estado de Tabasco, durante el periodo abril-junio de 2018. </w:t>
      </w:r>
    </w:p>
    <w:p w14:paraId="600ACDAA" w14:textId="77777777" w:rsidR="00D55CFB" w:rsidRPr="00830A41" w:rsidRDefault="00D55CFB" w:rsidP="00D55CFB">
      <w:pPr>
        <w:autoSpaceDE w:val="0"/>
        <w:autoSpaceDN w:val="0"/>
        <w:adjustRightInd w:val="0"/>
        <w:spacing w:line="360" w:lineRule="auto"/>
        <w:rPr>
          <w:rFonts w:asciiTheme="majorHAnsi" w:hAnsiTheme="majorHAnsi" w:cstheme="majorHAnsi"/>
          <w:color w:val="000000"/>
          <w:sz w:val="18"/>
          <w:szCs w:val="24"/>
        </w:rPr>
      </w:pPr>
    </w:p>
    <w:p w14:paraId="1980EB2C" w14:textId="77777777" w:rsidR="00D55CFB" w:rsidRPr="00830A41" w:rsidRDefault="00D55CFB" w:rsidP="00D55CFB">
      <w:pPr>
        <w:numPr>
          <w:ilvl w:val="0"/>
          <w:numId w:val="43"/>
        </w:numPr>
        <w:autoSpaceDE w:val="0"/>
        <w:autoSpaceDN w:val="0"/>
        <w:adjustRightInd w:val="0"/>
        <w:spacing w:line="360" w:lineRule="auto"/>
        <w:rPr>
          <w:rFonts w:asciiTheme="majorHAnsi" w:hAnsiTheme="majorHAnsi" w:cstheme="majorHAnsi"/>
          <w:color w:val="000000"/>
          <w:szCs w:val="24"/>
        </w:rPr>
      </w:pPr>
      <w:r w:rsidRPr="00830A41">
        <w:rPr>
          <w:rFonts w:asciiTheme="majorHAnsi" w:hAnsiTheme="majorHAnsi" w:cstheme="majorHAnsi"/>
          <w:bCs/>
          <w:color w:val="000000"/>
          <w:szCs w:val="24"/>
        </w:rPr>
        <w:t xml:space="preserve">Para el segundo trimestre de 2018, la población económicamente activa, (PEA) de Tabasco se ubicó en un millón 23 mil personas, que representaban 57.6 por ciento de la población de 15 años y más. De ésta, 93.6 por ciento estaba ocupada y 6.4 por ciento desocupada. </w:t>
      </w:r>
    </w:p>
    <w:p w14:paraId="01CAA67E" w14:textId="77777777" w:rsidR="00D55CFB" w:rsidRPr="00830A41" w:rsidRDefault="00D55CFB" w:rsidP="00D55CFB">
      <w:pPr>
        <w:numPr>
          <w:ilvl w:val="0"/>
          <w:numId w:val="43"/>
        </w:numPr>
        <w:autoSpaceDE w:val="0"/>
        <w:autoSpaceDN w:val="0"/>
        <w:adjustRightInd w:val="0"/>
        <w:spacing w:line="360" w:lineRule="auto"/>
        <w:rPr>
          <w:rFonts w:asciiTheme="majorHAnsi" w:hAnsiTheme="majorHAnsi" w:cstheme="majorHAnsi"/>
          <w:color w:val="000000"/>
          <w:szCs w:val="24"/>
        </w:rPr>
      </w:pPr>
      <w:r w:rsidRPr="00830A41">
        <w:rPr>
          <w:rFonts w:asciiTheme="majorHAnsi" w:hAnsiTheme="majorHAnsi" w:cstheme="majorHAnsi"/>
          <w:bCs/>
          <w:color w:val="000000"/>
          <w:szCs w:val="24"/>
        </w:rPr>
        <w:t xml:space="preserve">En la entidad, 958 mil personas se encontraban ocupadas, monto superior en 46 mil a la cifra registrada durante abril-junio de 2017. </w:t>
      </w:r>
    </w:p>
    <w:p w14:paraId="5661E964" w14:textId="77777777" w:rsidR="00D55CFB" w:rsidRPr="00830A41" w:rsidRDefault="00D55CFB" w:rsidP="00D55CFB">
      <w:pPr>
        <w:numPr>
          <w:ilvl w:val="0"/>
          <w:numId w:val="43"/>
        </w:numPr>
        <w:autoSpaceDE w:val="0"/>
        <w:autoSpaceDN w:val="0"/>
        <w:adjustRightInd w:val="0"/>
        <w:spacing w:line="360" w:lineRule="auto"/>
        <w:rPr>
          <w:rFonts w:asciiTheme="majorHAnsi" w:hAnsiTheme="majorHAnsi" w:cstheme="majorHAnsi"/>
          <w:color w:val="000000"/>
          <w:szCs w:val="24"/>
        </w:rPr>
      </w:pPr>
      <w:r w:rsidRPr="00830A41">
        <w:rPr>
          <w:rFonts w:asciiTheme="majorHAnsi" w:hAnsiTheme="majorHAnsi" w:cstheme="majorHAnsi"/>
          <w:bCs/>
          <w:color w:val="000000"/>
          <w:szCs w:val="24"/>
        </w:rPr>
        <w:t xml:space="preserve">Para el trimestre en referencia, la población desocupada registró un total de 65 mil personas, cifra menor en 7 mil respecto al mismo trimestre de 2017. </w:t>
      </w:r>
    </w:p>
    <w:p w14:paraId="05439553" w14:textId="77777777" w:rsidR="00D55CFB" w:rsidRPr="00830A41" w:rsidRDefault="00D55CFB" w:rsidP="00D55CFB">
      <w:pPr>
        <w:numPr>
          <w:ilvl w:val="0"/>
          <w:numId w:val="43"/>
        </w:numPr>
        <w:autoSpaceDE w:val="0"/>
        <w:autoSpaceDN w:val="0"/>
        <w:adjustRightInd w:val="0"/>
        <w:spacing w:line="360" w:lineRule="auto"/>
        <w:rPr>
          <w:rFonts w:asciiTheme="majorHAnsi" w:hAnsiTheme="majorHAnsi" w:cstheme="majorHAnsi"/>
          <w:color w:val="000000"/>
          <w:szCs w:val="24"/>
        </w:rPr>
      </w:pPr>
      <w:r w:rsidRPr="00830A41">
        <w:rPr>
          <w:rFonts w:asciiTheme="majorHAnsi" w:hAnsiTheme="majorHAnsi" w:cstheme="majorHAnsi"/>
          <w:bCs/>
          <w:color w:val="000000"/>
          <w:szCs w:val="24"/>
        </w:rPr>
        <w:t xml:space="preserve">Por sector de actividad económica, 19 de cada 100 ocupados estaban en el sector primario o agropecuario, 17 en el secundario o industrial y 64 en el sector terciario o de los servicios. </w:t>
      </w:r>
    </w:p>
    <w:p w14:paraId="0CC43C2A" w14:textId="77777777" w:rsidR="00D55CFB" w:rsidRPr="00830A41" w:rsidRDefault="00D55CFB" w:rsidP="00D55CFB">
      <w:pPr>
        <w:numPr>
          <w:ilvl w:val="0"/>
          <w:numId w:val="43"/>
        </w:numPr>
        <w:autoSpaceDE w:val="0"/>
        <w:autoSpaceDN w:val="0"/>
        <w:adjustRightInd w:val="0"/>
        <w:spacing w:line="360" w:lineRule="auto"/>
        <w:rPr>
          <w:rFonts w:asciiTheme="majorHAnsi" w:hAnsiTheme="majorHAnsi" w:cstheme="majorHAnsi"/>
          <w:color w:val="000000"/>
          <w:szCs w:val="24"/>
        </w:rPr>
      </w:pPr>
      <w:r w:rsidRPr="00830A41">
        <w:rPr>
          <w:rFonts w:asciiTheme="majorHAnsi" w:hAnsiTheme="majorHAnsi" w:cstheme="majorHAnsi"/>
          <w:bCs/>
          <w:color w:val="000000"/>
          <w:szCs w:val="24"/>
        </w:rPr>
        <w:lastRenderedPageBreak/>
        <w:t xml:space="preserve">En el segundo trimestre de 2018, de los trabajadores ocupados, 67 por ciento se encontraban en condiciones de informalidad laboral. </w:t>
      </w:r>
    </w:p>
    <w:p w14:paraId="5F44D4C6" w14:textId="77777777" w:rsidR="00D55CFB" w:rsidRPr="00830A41" w:rsidRDefault="00D55CFB" w:rsidP="00D55CFB">
      <w:pPr>
        <w:numPr>
          <w:ilvl w:val="0"/>
          <w:numId w:val="43"/>
        </w:numPr>
        <w:autoSpaceDE w:val="0"/>
        <w:autoSpaceDN w:val="0"/>
        <w:adjustRightInd w:val="0"/>
        <w:spacing w:line="360" w:lineRule="auto"/>
        <w:rPr>
          <w:rFonts w:asciiTheme="majorHAnsi" w:hAnsiTheme="majorHAnsi" w:cstheme="majorHAnsi"/>
          <w:color w:val="000000"/>
          <w:szCs w:val="24"/>
        </w:rPr>
      </w:pPr>
      <w:r w:rsidRPr="00830A41">
        <w:rPr>
          <w:rFonts w:asciiTheme="majorHAnsi" w:hAnsiTheme="majorHAnsi" w:cstheme="majorHAnsi"/>
          <w:bCs/>
          <w:color w:val="000000"/>
          <w:szCs w:val="24"/>
        </w:rPr>
        <w:t>La población no económicamente activa (PNEA) del estado de Tabasco fue de 753 mil personas; de las cuales, 147 mil estaban disponibles para incorporarse al mercado laboral.</w:t>
      </w:r>
      <w:r w:rsidRPr="00830A41">
        <w:rPr>
          <w:rStyle w:val="Refdenotaalpie"/>
          <w:rFonts w:asciiTheme="majorHAnsi" w:hAnsiTheme="majorHAnsi" w:cstheme="majorHAnsi"/>
          <w:bCs/>
          <w:szCs w:val="24"/>
        </w:rPr>
        <w:footnoteReference w:id="15"/>
      </w:r>
    </w:p>
    <w:p w14:paraId="6EA38EA3" w14:textId="77777777" w:rsidR="00D55CFB" w:rsidRPr="006C595C" w:rsidRDefault="00D55CFB" w:rsidP="00D55CFB">
      <w:pPr>
        <w:autoSpaceDE w:val="0"/>
        <w:autoSpaceDN w:val="0"/>
        <w:adjustRightInd w:val="0"/>
        <w:spacing w:line="360" w:lineRule="auto"/>
        <w:rPr>
          <w:color w:val="000000"/>
          <w:sz w:val="18"/>
          <w:szCs w:val="23"/>
        </w:rPr>
      </w:pPr>
    </w:p>
    <w:p w14:paraId="13A3F3D6" w14:textId="77777777" w:rsidR="00D55CFB" w:rsidRPr="006C595C" w:rsidRDefault="00D55CFB" w:rsidP="00D55CFB">
      <w:pPr>
        <w:autoSpaceDE w:val="0"/>
        <w:autoSpaceDN w:val="0"/>
        <w:adjustRightInd w:val="0"/>
        <w:jc w:val="center"/>
        <w:rPr>
          <w:color w:val="000000"/>
          <w:sz w:val="23"/>
          <w:szCs w:val="23"/>
        </w:rPr>
      </w:pPr>
      <w:r w:rsidRPr="000B65EE">
        <w:rPr>
          <w:noProof/>
          <w:lang w:eastAsia="es-ES"/>
        </w:rPr>
        <w:drawing>
          <wp:inline distT="0" distB="0" distL="0" distR="0" wp14:anchorId="22BECE9F" wp14:editId="0D095BAB">
            <wp:extent cx="5760720" cy="4609642"/>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609642"/>
                    </a:xfrm>
                    <a:prstGeom prst="rect">
                      <a:avLst/>
                    </a:prstGeom>
                    <a:noFill/>
                    <a:ln>
                      <a:noFill/>
                    </a:ln>
                  </pic:spPr>
                </pic:pic>
              </a:graphicData>
            </a:graphic>
          </wp:inline>
        </w:drawing>
      </w:r>
    </w:p>
    <w:p w14:paraId="3CDFF8EB" w14:textId="77777777" w:rsidR="00D55CFB" w:rsidRDefault="00D55CFB" w:rsidP="00D3126D">
      <w:pPr>
        <w:rPr>
          <w:b/>
          <w:highlight w:val="yellow"/>
        </w:rPr>
      </w:pPr>
    </w:p>
    <w:p w14:paraId="30BC0AB8" w14:textId="77777777" w:rsidR="00E24819" w:rsidRPr="00830A41" w:rsidRDefault="00E24819" w:rsidP="00E24819">
      <w:pPr>
        <w:shd w:val="clear" w:color="auto" w:fill="FFFFFF"/>
        <w:spacing w:line="360" w:lineRule="auto"/>
        <w:ind w:right="35"/>
        <w:rPr>
          <w:rFonts w:asciiTheme="majorHAnsi" w:hAnsiTheme="majorHAnsi" w:cstheme="majorHAnsi"/>
          <w:b/>
          <w:szCs w:val="24"/>
        </w:rPr>
      </w:pPr>
      <w:r w:rsidRPr="00830A41">
        <w:rPr>
          <w:rFonts w:asciiTheme="majorHAnsi" w:hAnsiTheme="majorHAnsi" w:cstheme="majorHAnsi"/>
          <w:b/>
          <w:szCs w:val="24"/>
        </w:rPr>
        <w:t>Perspectivas Financieras para el ejercicio fiscal 2019</w:t>
      </w:r>
    </w:p>
    <w:p w14:paraId="29AB2CE6" w14:textId="77777777" w:rsidR="007647DD" w:rsidRPr="00830A41" w:rsidRDefault="007647DD" w:rsidP="00E24819">
      <w:pPr>
        <w:autoSpaceDE w:val="0"/>
        <w:autoSpaceDN w:val="0"/>
        <w:adjustRightInd w:val="0"/>
        <w:spacing w:line="360" w:lineRule="auto"/>
        <w:ind w:right="35"/>
        <w:rPr>
          <w:rFonts w:asciiTheme="majorHAnsi" w:hAnsiTheme="majorHAnsi" w:cstheme="majorHAnsi"/>
          <w:szCs w:val="24"/>
        </w:rPr>
      </w:pPr>
    </w:p>
    <w:p w14:paraId="0617DEEC" w14:textId="1D16C447" w:rsidR="00E24819" w:rsidRPr="00830A41" w:rsidRDefault="00E24819" w:rsidP="00E24819">
      <w:pPr>
        <w:autoSpaceDE w:val="0"/>
        <w:autoSpaceDN w:val="0"/>
        <w:adjustRightInd w:val="0"/>
        <w:spacing w:line="360" w:lineRule="auto"/>
        <w:ind w:right="35"/>
        <w:rPr>
          <w:rFonts w:asciiTheme="majorHAnsi" w:hAnsiTheme="majorHAnsi" w:cstheme="majorHAnsi"/>
          <w:szCs w:val="24"/>
        </w:rPr>
      </w:pPr>
      <w:r w:rsidRPr="00830A41">
        <w:rPr>
          <w:rFonts w:asciiTheme="majorHAnsi" w:hAnsiTheme="majorHAnsi" w:cstheme="majorHAnsi"/>
          <w:szCs w:val="24"/>
        </w:rPr>
        <w:t xml:space="preserve">La presente Ley, está estructurada conforme a </w:t>
      </w:r>
      <w:r w:rsidR="00936F93" w:rsidRPr="00830A41">
        <w:rPr>
          <w:rFonts w:asciiTheme="majorHAnsi" w:hAnsiTheme="majorHAnsi" w:cstheme="majorHAnsi"/>
          <w:szCs w:val="24"/>
        </w:rPr>
        <w:t xml:space="preserve">la última actualización de </w:t>
      </w:r>
      <w:r w:rsidRPr="00830A41">
        <w:rPr>
          <w:rFonts w:asciiTheme="majorHAnsi" w:hAnsiTheme="majorHAnsi" w:cstheme="majorHAnsi"/>
          <w:szCs w:val="24"/>
        </w:rPr>
        <w:t xml:space="preserve">los lineamientos del Consejo Nacional de Armonización Contable (CONAC), utilizándose un sistema financiero gubernamental para la contabilización de las transacciones de ingresos que </w:t>
      </w:r>
      <w:r w:rsidRPr="00830A41">
        <w:rPr>
          <w:rFonts w:asciiTheme="majorHAnsi" w:hAnsiTheme="majorHAnsi" w:cstheme="majorHAnsi"/>
          <w:szCs w:val="24"/>
        </w:rPr>
        <w:lastRenderedPageBreak/>
        <w:t>captará el estado en el ejercicio fiscal 2019, en el cuál estarán registradas de manera armónica, delimitada y específica; las aportaciones contables y presupuestarias derivadas de la gestión pública.</w:t>
      </w:r>
    </w:p>
    <w:p w14:paraId="5CCFB94F" w14:textId="77777777" w:rsidR="00E24819" w:rsidRPr="00830A41" w:rsidRDefault="00E24819" w:rsidP="00E24819">
      <w:pPr>
        <w:autoSpaceDE w:val="0"/>
        <w:autoSpaceDN w:val="0"/>
        <w:adjustRightInd w:val="0"/>
        <w:spacing w:line="360" w:lineRule="auto"/>
        <w:ind w:right="35"/>
        <w:rPr>
          <w:rFonts w:asciiTheme="majorHAnsi" w:hAnsiTheme="majorHAnsi" w:cstheme="majorHAnsi"/>
          <w:szCs w:val="24"/>
        </w:rPr>
      </w:pPr>
    </w:p>
    <w:p w14:paraId="2804E0AB" w14:textId="0B611F4D" w:rsidR="00E24819" w:rsidRPr="00830A41" w:rsidRDefault="00E24819" w:rsidP="00D932CC">
      <w:pPr>
        <w:shd w:val="clear" w:color="auto" w:fill="FFFFFF"/>
        <w:spacing w:line="360" w:lineRule="auto"/>
        <w:ind w:right="35"/>
        <w:rPr>
          <w:rFonts w:asciiTheme="majorHAnsi" w:hAnsiTheme="majorHAnsi" w:cstheme="majorHAnsi"/>
          <w:szCs w:val="24"/>
        </w:rPr>
      </w:pPr>
      <w:r w:rsidRPr="00830A41">
        <w:rPr>
          <w:rFonts w:asciiTheme="majorHAnsi" w:hAnsiTheme="majorHAnsi" w:cstheme="majorHAnsi"/>
          <w:szCs w:val="24"/>
        </w:rPr>
        <w:t xml:space="preserve">Para llevar a cabo la estimación de los ingresos, se </w:t>
      </w:r>
      <w:r w:rsidR="00D932CC" w:rsidRPr="00830A41">
        <w:rPr>
          <w:rFonts w:asciiTheme="majorHAnsi" w:hAnsiTheme="majorHAnsi" w:cstheme="majorHAnsi"/>
          <w:szCs w:val="24"/>
        </w:rPr>
        <w:t xml:space="preserve">tomó en consideración </w:t>
      </w:r>
      <w:r w:rsidR="007568F3" w:rsidRPr="00830A41">
        <w:rPr>
          <w:rFonts w:asciiTheme="majorHAnsi" w:hAnsiTheme="majorHAnsi" w:cstheme="majorHAnsi"/>
          <w:szCs w:val="24"/>
        </w:rPr>
        <w:t>las propuesta</w:t>
      </w:r>
      <w:r w:rsidR="00922D2C" w:rsidRPr="00830A41">
        <w:rPr>
          <w:rFonts w:asciiTheme="majorHAnsi" w:hAnsiTheme="majorHAnsi" w:cstheme="majorHAnsi"/>
          <w:szCs w:val="24"/>
        </w:rPr>
        <w:t>s</w:t>
      </w:r>
      <w:r w:rsidR="007568F3" w:rsidRPr="00830A41">
        <w:rPr>
          <w:rFonts w:asciiTheme="majorHAnsi" w:hAnsiTheme="majorHAnsi" w:cstheme="majorHAnsi"/>
          <w:szCs w:val="24"/>
        </w:rPr>
        <w:t xml:space="preserve"> realizada</w:t>
      </w:r>
      <w:r w:rsidR="00922D2C" w:rsidRPr="00830A41">
        <w:rPr>
          <w:rFonts w:asciiTheme="majorHAnsi" w:hAnsiTheme="majorHAnsi" w:cstheme="majorHAnsi"/>
          <w:szCs w:val="24"/>
        </w:rPr>
        <w:t>s</w:t>
      </w:r>
      <w:r w:rsidR="00D932CC" w:rsidRPr="00830A41">
        <w:rPr>
          <w:rFonts w:asciiTheme="majorHAnsi" w:hAnsiTheme="majorHAnsi" w:cstheme="majorHAnsi"/>
          <w:szCs w:val="24"/>
        </w:rPr>
        <w:t xml:space="preserve"> por el equipo de transición designado por el</w:t>
      </w:r>
      <w:r w:rsidR="00922D2C" w:rsidRPr="00830A41">
        <w:rPr>
          <w:rFonts w:asciiTheme="majorHAnsi" w:hAnsiTheme="majorHAnsi" w:cstheme="majorHAnsi"/>
          <w:szCs w:val="24"/>
        </w:rPr>
        <w:t xml:space="preserve"> C.</w:t>
      </w:r>
      <w:r w:rsidR="00D932CC" w:rsidRPr="00830A41">
        <w:rPr>
          <w:rFonts w:asciiTheme="majorHAnsi" w:hAnsiTheme="majorHAnsi" w:cstheme="majorHAnsi"/>
          <w:szCs w:val="24"/>
        </w:rPr>
        <w:t xml:space="preserve"> Gobernador Electo</w:t>
      </w:r>
      <w:r w:rsidR="00C15707" w:rsidRPr="00830A41">
        <w:rPr>
          <w:rFonts w:asciiTheme="majorHAnsi" w:hAnsiTheme="majorHAnsi" w:cstheme="majorHAnsi"/>
          <w:szCs w:val="24"/>
        </w:rPr>
        <w:t xml:space="preserve"> para el período 2019-2024</w:t>
      </w:r>
      <w:r w:rsidR="00D932CC" w:rsidRPr="00830A41">
        <w:rPr>
          <w:rFonts w:asciiTheme="majorHAnsi" w:hAnsiTheme="majorHAnsi" w:cstheme="majorHAnsi"/>
          <w:szCs w:val="24"/>
        </w:rPr>
        <w:t>, de conformidad con el Artículo 39 de la Ley de Presupuesto y Responsabilidad Hacendaria del Estado de Tabasco y sus Municipios, la cual señala que “</w:t>
      </w:r>
      <w:r w:rsidR="00D932CC" w:rsidRPr="00830A41">
        <w:rPr>
          <w:rFonts w:asciiTheme="majorHAnsi" w:hAnsiTheme="majorHAnsi" w:cstheme="majorHAnsi"/>
          <w:i/>
          <w:szCs w:val="24"/>
        </w:rPr>
        <w:t>En  el  año  en  que  termina  su  encargo  el  Ejecutivo  y,  en  su  caso,  los Ayuntamientos, deberán elaborar anteproyectos de iniciativa de Ley de Ingresos y de proyecto de Presupuesto de Egresos en apoyo al Gobernador o Cabildo Electos, incluyendo sus recomendaciones</w:t>
      </w:r>
      <w:r w:rsidR="00D932CC" w:rsidRPr="00830A41">
        <w:rPr>
          <w:rFonts w:asciiTheme="majorHAnsi" w:hAnsiTheme="majorHAnsi" w:cstheme="majorHAnsi"/>
          <w:szCs w:val="24"/>
        </w:rPr>
        <w:t>”</w:t>
      </w:r>
      <w:r w:rsidR="007568F3" w:rsidRPr="00830A41">
        <w:rPr>
          <w:rFonts w:asciiTheme="majorHAnsi" w:hAnsiTheme="majorHAnsi" w:cstheme="majorHAnsi"/>
          <w:szCs w:val="24"/>
        </w:rPr>
        <w:t>; así como</w:t>
      </w:r>
      <w:r w:rsidR="004E2E26" w:rsidRPr="00830A41">
        <w:rPr>
          <w:rFonts w:asciiTheme="majorHAnsi" w:hAnsiTheme="majorHAnsi" w:cstheme="majorHAnsi"/>
          <w:szCs w:val="24"/>
        </w:rPr>
        <w:t>,</w:t>
      </w:r>
      <w:r w:rsidR="007568F3" w:rsidRPr="00830A41">
        <w:rPr>
          <w:rFonts w:asciiTheme="majorHAnsi" w:hAnsiTheme="majorHAnsi" w:cstheme="majorHAnsi"/>
          <w:szCs w:val="24"/>
        </w:rPr>
        <w:t xml:space="preserve"> se c</w:t>
      </w:r>
      <w:r w:rsidRPr="00830A41">
        <w:rPr>
          <w:rFonts w:asciiTheme="majorHAnsi" w:hAnsiTheme="majorHAnsi" w:cstheme="majorHAnsi"/>
          <w:szCs w:val="24"/>
        </w:rPr>
        <w:t>onsideró el comportamiento de los ingresos de los últimos cinco ejercicios</w:t>
      </w:r>
      <w:r w:rsidR="004E2E26" w:rsidRPr="00830A41">
        <w:rPr>
          <w:rFonts w:asciiTheme="majorHAnsi" w:hAnsiTheme="majorHAnsi" w:cstheme="majorHAnsi"/>
          <w:szCs w:val="24"/>
        </w:rPr>
        <w:t xml:space="preserve"> fiscales</w:t>
      </w:r>
      <w:r w:rsidRPr="00830A41">
        <w:rPr>
          <w:rFonts w:asciiTheme="majorHAnsi" w:hAnsiTheme="majorHAnsi" w:cstheme="majorHAnsi"/>
          <w:szCs w:val="24"/>
        </w:rPr>
        <w:t>;</w:t>
      </w:r>
      <w:r w:rsidR="00922D2C" w:rsidRPr="00830A41">
        <w:rPr>
          <w:rFonts w:asciiTheme="majorHAnsi" w:hAnsiTheme="majorHAnsi" w:cstheme="majorHAnsi"/>
          <w:szCs w:val="24"/>
        </w:rPr>
        <w:t xml:space="preserve"> y</w:t>
      </w:r>
      <w:r w:rsidR="004E2E26" w:rsidRPr="00830A41">
        <w:rPr>
          <w:rFonts w:asciiTheme="majorHAnsi" w:hAnsiTheme="majorHAnsi" w:cstheme="majorHAnsi"/>
          <w:szCs w:val="24"/>
        </w:rPr>
        <w:t xml:space="preserve"> la estimación al cierre 2018;</w:t>
      </w:r>
      <w:r w:rsidRPr="00830A41">
        <w:rPr>
          <w:rFonts w:asciiTheme="majorHAnsi" w:hAnsiTheme="majorHAnsi" w:cstheme="majorHAnsi"/>
          <w:szCs w:val="24"/>
        </w:rPr>
        <w:t xml:space="preserve"> los Pre-Criterios de Política Económica emitidos por la Secretaría de Hacienda y Crédito Público, en el mes de marzo 2018 y el entorno económico actual.</w:t>
      </w:r>
    </w:p>
    <w:p w14:paraId="5E2BD936" w14:textId="77777777" w:rsidR="00E24819" w:rsidRPr="00830A41" w:rsidRDefault="00E24819" w:rsidP="00E24819">
      <w:pPr>
        <w:autoSpaceDE w:val="0"/>
        <w:autoSpaceDN w:val="0"/>
        <w:adjustRightInd w:val="0"/>
        <w:spacing w:line="360" w:lineRule="auto"/>
        <w:ind w:right="35"/>
        <w:rPr>
          <w:rFonts w:asciiTheme="majorHAnsi" w:hAnsiTheme="majorHAnsi" w:cstheme="majorHAnsi"/>
          <w:szCs w:val="24"/>
        </w:rPr>
      </w:pPr>
    </w:p>
    <w:p w14:paraId="5338C555" w14:textId="35A6FACF" w:rsidR="00E24819" w:rsidRPr="00830A41" w:rsidRDefault="00035A37" w:rsidP="00E24819">
      <w:pPr>
        <w:autoSpaceDE w:val="0"/>
        <w:autoSpaceDN w:val="0"/>
        <w:adjustRightInd w:val="0"/>
        <w:spacing w:line="360" w:lineRule="auto"/>
        <w:ind w:right="35"/>
        <w:rPr>
          <w:rFonts w:asciiTheme="majorHAnsi" w:hAnsiTheme="majorHAnsi" w:cstheme="majorHAnsi"/>
          <w:szCs w:val="24"/>
        </w:rPr>
      </w:pPr>
      <w:r w:rsidRPr="00830A41">
        <w:rPr>
          <w:rFonts w:asciiTheme="majorHAnsi" w:hAnsiTheme="majorHAnsi" w:cstheme="majorHAnsi"/>
          <w:szCs w:val="24"/>
        </w:rPr>
        <w:t xml:space="preserve">Asimismo, con la finalidad de obtener proyecciones apegadas a la realidad, </w:t>
      </w:r>
      <w:r w:rsidR="00E24819" w:rsidRPr="00830A41">
        <w:rPr>
          <w:rFonts w:asciiTheme="majorHAnsi" w:hAnsiTheme="majorHAnsi" w:cstheme="majorHAnsi"/>
          <w:szCs w:val="24"/>
        </w:rPr>
        <w:t>se contemplaron las disposiciones contenidas en la Ley de Coordinación Fiscal, toda vez que la Ley de Ingresos del Estado, determina los techos presupuestales a partir de los cuales se ejecutarán las políticas públicas de este Gobierno.</w:t>
      </w:r>
    </w:p>
    <w:p w14:paraId="073AC8C3" w14:textId="77777777" w:rsidR="00E24819" w:rsidRPr="00830A41" w:rsidRDefault="00E24819" w:rsidP="00E24819">
      <w:pPr>
        <w:autoSpaceDE w:val="0"/>
        <w:autoSpaceDN w:val="0"/>
        <w:adjustRightInd w:val="0"/>
        <w:spacing w:line="360" w:lineRule="auto"/>
        <w:ind w:right="35"/>
        <w:rPr>
          <w:rFonts w:asciiTheme="majorHAnsi" w:hAnsiTheme="majorHAnsi" w:cstheme="majorHAnsi"/>
          <w:szCs w:val="24"/>
        </w:rPr>
      </w:pPr>
    </w:p>
    <w:p w14:paraId="7C75A13E" w14:textId="7B2F43A4" w:rsidR="00E24819" w:rsidRPr="00830A41" w:rsidRDefault="00E24819" w:rsidP="00E24819">
      <w:pPr>
        <w:shd w:val="clear" w:color="auto" w:fill="FFFFFF"/>
        <w:spacing w:line="360" w:lineRule="auto"/>
        <w:ind w:right="35"/>
        <w:rPr>
          <w:rFonts w:asciiTheme="majorHAnsi" w:eastAsia="Times New Roman" w:hAnsiTheme="majorHAnsi" w:cstheme="majorHAnsi"/>
          <w:b/>
          <w:bCs/>
          <w:color w:val="000000"/>
          <w:szCs w:val="24"/>
          <w:lang w:val="es-MX" w:eastAsia="es-MX"/>
        </w:rPr>
      </w:pPr>
      <w:r w:rsidRPr="00830A41">
        <w:rPr>
          <w:rFonts w:asciiTheme="majorHAnsi" w:hAnsiTheme="majorHAnsi" w:cstheme="majorHAnsi"/>
          <w:szCs w:val="24"/>
        </w:rPr>
        <w:t xml:space="preserve">De acuerdo a las proyecciones estimadas para el ejercicio fiscal 2019, Tabasco espera obtener un total de ingresos por </w:t>
      </w:r>
      <w:r w:rsidR="007568F3" w:rsidRPr="00830A41">
        <w:rPr>
          <w:rFonts w:asciiTheme="majorHAnsi" w:hAnsiTheme="majorHAnsi" w:cstheme="majorHAnsi"/>
          <w:b/>
          <w:szCs w:val="24"/>
        </w:rPr>
        <w:t>5</w:t>
      </w:r>
      <w:r w:rsidR="00A42D01" w:rsidRPr="00830A41">
        <w:rPr>
          <w:rFonts w:asciiTheme="majorHAnsi" w:hAnsiTheme="majorHAnsi" w:cstheme="majorHAnsi"/>
          <w:b/>
          <w:szCs w:val="24"/>
        </w:rPr>
        <w:t>1</w:t>
      </w:r>
      <w:r w:rsidRPr="00830A41">
        <w:rPr>
          <w:rFonts w:asciiTheme="majorHAnsi" w:hAnsiTheme="majorHAnsi" w:cstheme="majorHAnsi"/>
          <w:b/>
          <w:szCs w:val="24"/>
        </w:rPr>
        <w:t xml:space="preserve"> mil </w:t>
      </w:r>
      <w:r w:rsidR="00A42D01" w:rsidRPr="00830A41">
        <w:rPr>
          <w:rFonts w:asciiTheme="majorHAnsi" w:hAnsiTheme="majorHAnsi" w:cstheme="majorHAnsi"/>
          <w:b/>
          <w:szCs w:val="24"/>
        </w:rPr>
        <w:t>175</w:t>
      </w:r>
      <w:r w:rsidRPr="00830A41">
        <w:rPr>
          <w:rFonts w:asciiTheme="majorHAnsi" w:hAnsiTheme="majorHAnsi" w:cstheme="majorHAnsi"/>
          <w:b/>
          <w:szCs w:val="24"/>
        </w:rPr>
        <w:t xml:space="preserve"> millones </w:t>
      </w:r>
      <w:r w:rsidR="00A42D01" w:rsidRPr="00830A41">
        <w:rPr>
          <w:rFonts w:asciiTheme="majorHAnsi" w:hAnsiTheme="majorHAnsi" w:cstheme="majorHAnsi"/>
          <w:b/>
          <w:szCs w:val="24"/>
        </w:rPr>
        <w:t>882</w:t>
      </w:r>
      <w:r w:rsidRPr="00830A41">
        <w:rPr>
          <w:rFonts w:asciiTheme="majorHAnsi" w:hAnsiTheme="majorHAnsi" w:cstheme="majorHAnsi"/>
          <w:b/>
          <w:szCs w:val="24"/>
        </w:rPr>
        <w:t xml:space="preserve"> mil </w:t>
      </w:r>
      <w:r w:rsidR="00A42D01" w:rsidRPr="00830A41">
        <w:rPr>
          <w:rFonts w:asciiTheme="majorHAnsi" w:hAnsiTheme="majorHAnsi" w:cstheme="majorHAnsi"/>
          <w:b/>
          <w:szCs w:val="24"/>
        </w:rPr>
        <w:t>591</w:t>
      </w:r>
      <w:r w:rsidRPr="00830A41">
        <w:rPr>
          <w:rFonts w:asciiTheme="majorHAnsi" w:hAnsiTheme="majorHAnsi" w:cstheme="majorHAnsi"/>
          <w:b/>
          <w:szCs w:val="24"/>
        </w:rPr>
        <w:t xml:space="preserve"> pesos</w:t>
      </w:r>
      <w:r w:rsidRPr="00830A41">
        <w:rPr>
          <w:rFonts w:asciiTheme="majorHAnsi" w:hAnsiTheme="majorHAnsi" w:cstheme="majorHAnsi"/>
          <w:szCs w:val="24"/>
        </w:rPr>
        <w:t xml:space="preserve">; de los cuales, los Ingresos Federales representan el </w:t>
      </w:r>
      <w:r w:rsidRPr="00830A41">
        <w:rPr>
          <w:rFonts w:asciiTheme="majorHAnsi" w:hAnsiTheme="majorHAnsi" w:cstheme="majorHAnsi"/>
          <w:b/>
          <w:szCs w:val="24"/>
        </w:rPr>
        <w:t>94.</w:t>
      </w:r>
      <w:r w:rsidR="007568F3" w:rsidRPr="00830A41">
        <w:rPr>
          <w:rFonts w:asciiTheme="majorHAnsi" w:hAnsiTheme="majorHAnsi" w:cstheme="majorHAnsi"/>
          <w:b/>
          <w:szCs w:val="24"/>
        </w:rPr>
        <w:t>5</w:t>
      </w:r>
      <w:r w:rsidR="00A42D01" w:rsidRPr="00830A41">
        <w:rPr>
          <w:rFonts w:asciiTheme="majorHAnsi" w:hAnsiTheme="majorHAnsi" w:cstheme="majorHAnsi"/>
          <w:b/>
          <w:szCs w:val="24"/>
        </w:rPr>
        <w:t>3</w:t>
      </w:r>
      <w:r w:rsidRPr="00830A41">
        <w:rPr>
          <w:rFonts w:asciiTheme="majorHAnsi" w:hAnsiTheme="majorHAnsi" w:cstheme="majorHAnsi"/>
          <w:b/>
          <w:szCs w:val="24"/>
        </w:rPr>
        <w:t xml:space="preserve"> por ciento</w:t>
      </w:r>
      <w:r w:rsidRPr="00830A41">
        <w:rPr>
          <w:rFonts w:asciiTheme="majorHAnsi" w:hAnsiTheme="majorHAnsi" w:cstheme="majorHAnsi"/>
          <w:szCs w:val="24"/>
        </w:rPr>
        <w:t xml:space="preserve">; lo que equivale a </w:t>
      </w:r>
      <w:r w:rsidR="00A42D01" w:rsidRPr="00830A41">
        <w:rPr>
          <w:rFonts w:asciiTheme="majorHAnsi" w:hAnsiTheme="majorHAnsi" w:cstheme="majorHAnsi"/>
          <w:szCs w:val="24"/>
        </w:rPr>
        <w:t xml:space="preserve"> </w:t>
      </w:r>
      <w:r w:rsidRPr="00830A41">
        <w:rPr>
          <w:rFonts w:asciiTheme="majorHAnsi" w:hAnsiTheme="majorHAnsi" w:cstheme="majorHAnsi"/>
          <w:b/>
          <w:szCs w:val="24"/>
        </w:rPr>
        <w:t>4</w:t>
      </w:r>
      <w:r w:rsidR="007568F3" w:rsidRPr="00830A41">
        <w:rPr>
          <w:rFonts w:asciiTheme="majorHAnsi" w:hAnsiTheme="majorHAnsi" w:cstheme="majorHAnsi"/>
          <w:b/>
          <w:szCs w:val="24"/>
        </w:rPr>
        <w:t>8</w:t>
      </w:r>
      <w:r w:rsidRPr="00830A41">
        <w:rPr>
          <w:rFonts w:asciiTheme="majorHAnsi" w:hAnsiTheme="majorHAnsi" w:cstheme="majorHAnsi"/>
          <w:b/>
          <w:szCs w:val="24"/>
        </w:rPr>
        <w:t xml:space="preserve"> mil </w:t>
      </w:r>
      <w:r w:rsidR="00A42D01" w:rsidRPr="00830A41">
        <w:rPr>
          <w:rFonts w:asciiTheme="majorHAnsi" w:hAnsiTheme="majorHAnsi" w:cstheme="majorHAnsi"/>
          <w:b/>
          <w:szCs w:val="24"/>
        </w:rPr>
        <w:t>374</w:t>
      </w:r>
      <w:r w:rsidRPr="00830A41">
        <w:rPr>
          <w:rFonts w:asciiTheme="majorHAnsi" w:hAnsiTheme="majorHAnsi" w:cstheme="majorHAnsi"/>
          <w:b/>
          <w:szCs w:val="24"/>
        </w:rPr>
        <w:t xml:space="preserve"> millones </w:t>
      </w:r>
      <w:r w:rsidR="00A42D01" w:rsidRPr="00830A41">
        <w:rPr>
          <w:rFonts w:asciiTheme="majorHAnsi" w:hAnsiTheme="majorHAnsi" w:cstheme="majorHAnsi"/>
          <w:b/>
          <w:szCs w:val="24"/>
        </w:rPr>
        <w:t>928</w:t>
      </w:r>
      <w:r w:rsidR="007568F3" w:rsidRPr="00830A41">
        <w:rPr>
          <w:rFonts w:asciiTheme="majorHAnsi" w:hAnsiTheme="majorHAnsi" w:cstheme="majorHAnsi"/>
          <w:b/>
          <w:szCs w:val="24"/>
        </w:rPr>
        <w:t xml:space="preserve"> </w:t>
      </w:r>
      <w:r w:rsidRPr="00830A41">
        <w:rPr>
          <w:rFonts w:asciiTheme="majorHAnsi" w:hAnsiTheme="majorHAnsi" w:cstheme="majorHAnsi"/>
          <w:b/>
          <w:szCs w:val="24"/>
        </w:rPr>
        <w:t xml:space="preserve">mil </w:t>
      </w:r>
      <w:r w:rsidR="00A42D01" w:rsidRPr="00830A41">
        <w:rPr>
          <w:rFonts w:asciiTheme="majorHAnsi" w:hAnsiTheme="majorHAnsi" w:cstheme="majorHAnsi"/>
          <w:b/>
          <w:szCs w:val="24"/>
        </w:rPr>
        <w:t>208</w:t>
      </w:r>
      <w:r w:rsidRPr="00830A41">
        <w:rPr>
          <w:rFonts w:asciiTheme="majorHAnsi" w:hAnsiTheme="majorHAnsi" w:cstheme="majorHAnsi"/>
          <w:b/>
          <w:szCs w:val="24"/>
        </w:rPr>
        <w:t xml:space="preserve"> pesos</w:t>
      </w:r>
      <w:r w:rsidRPr="00830A41">
        <w:rPr>
          <w:rFonts w:asciiTheme="majorHAnsi" w:eastAsia="Times New Roman" w:hAnsiTheme="majorHAnsi" w:cstheme="majorHAnsi"/>
          <w:b/>
          <w:bCs/>
          <w:color w:val="000000"/>
          <w:szCs w:val="24"/>
          <w:lang w:val="es-MX" w:eastAsia="es-MX"/>
        </w:rPr>
        <w:t xml:space="preserve">. </w:t>
      </w:r>
      <w:r w:rsidRPr="00830A41">
        <w:rPr>
          <w:rFonts w:asciiTheme="majorHAnsi" w:eastAsia="Times New Roman" w:hAnsiTheme="majorHAnsi" w:cstheme="majorHAnsi"/>
          <w:bCs/>
          <w:color w:val="000000"/>
          <w:szCs w:val="24"/>
          <w:lang w:val="es-MX" w:eastAsia="es-MX"/>
        </w:rPr>
        <w:t>Adicionalmente el</w:t>
      </w:r>
      <w:r w:rsidRPr="00830A41">
        <w:rPr>
          <w:rFonts w:asciiTheme="majorHAnsi" w:eastAsia="Times New Roman" w:hAnsiTheme="majorHAnsi" w:cstheme="majorHAnsi"/>
          <w:b/>
          <w:bCs/>
          <w:color w:val="000000"/>
          <w:szCs w:val="24"/>
          <w:lang w:val="es-MX" w:eastAsia="es-MX"/>
        </w:rPr>
        <w:t xml:space="preserve"> </w:t>
      </w:r>
      <w:r w:rsidRPr="00830A41">
        <w:rPr>
          <w:rFonts w:asciiTheme="majorHAnsi" w:eastAsia="Times New Roman" w:hAnsiTheme="majorHAnsi" w:cstheme="majorHAnsi"/>
          <w:b/>
          <w:bCs/>
          <w:szCs w:val="24"/>
          <w:lang w:val="es-MX" w:eastAsia="es-MX"/>
        </w:rPr>
        <w:t>5.</w:t>
      </w:r>
      <w:r w:rsidR="007568F3" w:rsidRPr="00830A41">
        <w:rPr>
          <w:rFonts w:asciiTheme="majorHAnsi" w:eastAsia="Times New Roman" w:hAnsiTheme="majorHAnsi" w:cstheme="majorHAnsi"/>
          <w:b/>
          <w:bCs/>
          <w:szCs w:val="24"/>
          <w:lang w:val="es-MX" w:eastAsia="es-MX"/>
        </w:rPr>
        <w:t>4</w:t>
      </w:r>
      <w:r w:rsidR="00A42D01" w:rsidRPr="00830A41">
        <w:rPr>
          <w:rFonts w:asciiTheme="majorHAnsi" w:eastAsia="Times New Roman" w:hAnsiTheme="majorHAnsi" w:cstheme="majorHAnsi"/>
          <w:b/>
          <w:bCs/>
          <w:szCs w:val="24"/>
          <w:lang w:val="es-MX" w:eastAsia="es-MX"/>
        </w:rPr>
        <w:t>7</w:t>
      </w:r>
      <w:r w:rsidRPr="00830A41">
        <w:rPr>
          <w:rFonts w:asciiTheme="majorHAnsi" w:eastAsia="Times New Roman" w:hAnsiTheme="majorHAnsi" w:cstheme="majorHAnsi"/>
          <w:bCs/>
          <w:szCs w:val="24"/>
          <w:lang w:val="es-MX" w:eastAsia="es-MX"/>
        </w:rPr>
        <w:t xml:space="preserve"> </w:t>
      </w:r>
      <w:r w:rsidRPr="00830A41">
        <w:rPr>
          <w:rFonts w:asciiTheme="majorHAnsi" w:eastAsia="Times New Roman" w:hAnsiTheme="majorHAnsi" w:cstheme="majorHAnsi"/>
          <w:b/>
          <w:bCs/>
          <w:szCs w:val="24"/>
          <w:lang w:val="es-MX" w:eastAsia="es-MX"/>
        </w:rPr>
        <w:t>por ciento</w:t>
      </w:r>
      <w:r w:rsidRPr="00830A41">
        <w:rPr>
          <w:rFonts w:asciiTheme="majorHAnsi" w:eastAsia="Times New Roman" w:hAnsiTheme="majorHAnsi" w:cstheme="majorHAnsi"/>
          <w:b/>
          <w:bCs/>
          <w:color w:val="000000"/>
          <w:szCs w:val="24"/>
          <w:lang w:val="es-MX" w:eastAsia="es-MX"/>
        </w:rPr>
        <w:t xml:space="preserve">, </w:t>
      </w:r>
      <w:r w:rsidRPr="00830A41">
        <w:rPr>
          <w:rFonts w:asciiTheme="majorHAnsi" w:eastAsia="Times New Roman" w:hAnsiTheme="majorHAnsi" w:cstheme="majorHAnsi"/>
          <w:bCs/>
          <w:color w:val="000000"/>
          <w:szCs w:val="24"/>
          <w:lang w:val="es-MX" w:eastAsia="es-MX"/>
        </w:rPr>
        <w:t xml:space="preserve">corresponde a Ingresos Estatales, lo que se traduce en </w:t>
      </w:r>
      <w:r w:rsidRPr="00830A41">
        <w:rPr>
          <w:rFonts w:asciiTheme="majorHAnsi" w:eastAsia="Times New Roman" w:hAnsiTheme="majorHAnsi" w:cstheme="majorHAnsi"/>
          <w:b/>
          <w:bCs/>
          <w:color w:val="000000"/>
          <w:szCs w:val="24"/>
          <w:lang w:val="es-MX" w:eastAsia="es-MX"/>
        </w:rPr>
        <w:t>2 mil 800 millones 954 mil 383 pesos.</w:t>
      </w:r>
    </w:p>
    <w:p w14:paraId="4D8BCB70" w14:textId="657C8413" w:rsidR="00835F9F" w:rsidRDefault="00835F9F" w:rsidP="00564934">
      <w:pPr>
        <w:autoSpaceDE w:val="0"/>
        <w:autoSpaceDN w:val="0"/>
        <w:adjustRightInd w:val="0"/>
        <w:spacing w:line="360" w:lineRule="auto"/>
        <w:ind w:right="-232"/>
        <w:rPr>
          <w:rFonts w:asciiTheme="majorHAnsi" w:hAnsiTheme="majorHAnsi" w:cstheme="majorHAnsi"/>
          <w:b/>
          <w:sz w:val="22"/>
          <w:szCs w:val="24"/>
          <w:lang w:val="es-MX"/>
        </w:rPr>
      </w:pPr>
    </w:p>
    <w:p w14:paraId="74E3B56D" w14:textId="5EB3FF59" w:rsidR="00830A41" w:rsidRDefault="00830A41" w:rsidP="00564934">
      <w:pPr>
        <w:autoSpaceDE w:val="0"/>
        <w:autoSpaceDN w:val="0"/>
        <w:adjustRightInd w:val="0"/>
        <w:spacing w:line="360" w:lineRule="auto"/>
        <w:ind w:right="-232"/>
        <w:rPr>
          <w:rFonts w:asciiTheme="majorHAnsi" w:hAnsiTheme="majorHAnsi" w:cstheme="majorHAnsi"/>
          <w:b/>
          <w:sz w:val="22"/>
          <w:szCs w:val="24"/>
          <w:lang w:val="es-MX"/>
        </w:rPr>
      </w:pPr>
    </w:p>
    <w:p w14:paraId="3A57D0C6" w14:textId="55F114CB" w:rsidR="00830A41" w:rsidRDefault="00830A41" w:rsidP="00564934">
      <w:pPr>
        <w:autoSpaceDE w:val="0"/>
        <w:autoSpaceDN w:val="0"/>
        <w:adjustRightInd w:val="0"/>
        <w:spacing w:line="360" w:lineRule="auto"/>
        <w:ind w:right="-232"/>
        <w:rPr>
          <w:rFonts w:asciiTheme="majorHAnsi" w:hAnsiTheme="majorHAnsi" w:cstheme="majorHAnsi"/>
          <w:b/>
          <w:sz w:val="22"/>
          <w:szCs w:val="24"/>
          <w:lang w:val="es-MX"/>
        </w:rPr>
      </w:pPr>
    </w:p>
    <w:p w14:paraId="1CB799EC" w14:textId="77777777" w:rsidR="00830A41" w:rsidRPr="00830A41" w:rsidRDefault="00830A41" w:rsidP="00564934">
      <w:pPr>
        <w:autoSpaceDE w:val="0"/>
        <w:autoSpaceDN w:val="0"/>
        <w:adjustRightInd w:val="0"/>
        <w:spacing w:line="360" w:lineRule="auto"/>
        <w:ind w:right="-232"/>
        <w:rPr>
          <w:rFonts w:asciiTheme="majorHAnsi" w:hAnsiTheme="majorHAnsi" w:cstheme="majorHAnsi"/>
          <w:b/>
          <w:sz w:val="22"/>
          <w:szCs w:val="24"/>
          <w:lang w:val="es-MX"/>
        </w:rPr>
      </w:pPr>
    </w:p>
    <w:p w14:paraId="55E8CD92" w14:textId="7E071EE3" w:rsidR="003F5595" w:rsidRPr="00830A41" w:rsidRDefault="003F5595" w:rsidP="00564934">
      <w:pPr>
        <w:autoSpaceDE w:val="0"/>
        <w:autoSpaceDN w:val="0"/>
        <w:adjustRightInd w:val="0"/>
        <w:spacing w:line="360" w:lineRule="auto"/>
        <w:ind w:right="-232"/>
        <w:rPr>
          <w:rFonts w:asciiTheme="majorHAnsi" w:hAnsiTheme="majorHAnsi" w:cstheme="majorHAnsi"/>
          <w:b/>
          <w:szCs w:val="24"/>
          <w:lang w:val="es-MX"/>
        </w:rPr>
      </w:pPr>
      <w:r w:rsidRPr="00830A41">
        <w:rPr>
          <w:rFonts w:asciiTheme="majorHAnsi" w:hAnsiTheme="majorHAnsi" w:cstheme="majorHAnsi"/>
          <w:b/>
          <w:szCs w:val="24"/>
          <w:lang w:val="es-MX"/>
        </w:rPr>
        <w:lastRenderedPageBreak/>
        <w:t>II. OBJETIVOS ANUALES, ESTRATEGIAS Y METAS.</w:t>
      </w:r>
    </w:p>
    <w:p w14:paraId="27FA7AAE" w14:textId="77777777" w:rsidR="004E2E26" w:rsidRPr="00830A41" w:rsidRDefault="004E2E26" w:rsidP="00835F9F">
      <w:pPr>
        <w:autoSpaceDE w:val="0"/>
        <w:autoSpaceDN w:val="0"/>
        <w:adjustRightInd w:val="0"/>
        <w:spacing w:line="360" w:lineRule="auto"/>
        <w:ind w:right="-232"/>
        <w:rPr>
          <w:rFonts w:asciiTheme="majorHAnsi" w:hAnsiTheme="majorHAnsi" w:cstheme="majorHAnsi"/>
          <w:szCs w:val="24"/>
        </w:rPr>
      </w:pPr>
    </w:p>
    <w:p w14:paraId="42BBC3B9" w14:textId="7F073EDE" w:rsidR="00835F9F" w:rsidRPr="00830A41" w:rsidRDefault="00835F9F" w:rsidP="00835F9F">
      <w:pPr>
        <w:autoSpaceDE w:val="0"/>
        <w:autoSpaceDN w:val="0"/>
        <w:adjustRightInd w:val="0"/>
        <w:spacing w:line="360" w:lineRule="auto"/>
        <w:ind w:right="-232"/>
        <w:rPr>
          <w:rFonts w:asciiTheme="majorHAnsi" w:hAnsiTheme="majorHAnsi" w:cstheme="majorHAnsi"/>
          <w:szCs w:val="24"/>
        </w:rPr>
      </w:pPr>
      <w:r w:rsidRPr="00830A41">
        <w:rPr>
          <w:rFonts w:asciiTheme="majorHAnsi" w:hAnsiTheme="majorHAnsi" w:cstheme="majorHAnsi"/>
          <w:szCs w:val="24"/>
        </w:rPr>
        <w:t>Dando cabal cumplimiento al Artículo 5 fracción I de la Ley de Disciplina Financiera de las Entidades Federativas y los Municipios; así como, al artículo 13 fracción I de la Ley de Presupuesto y Responsabilidad Hacendaria del Estado de Tabasco y sus Municipios; se mencionan a continuación la política de ingresos para el ejercicio fiscal 2019, la cual se sustenta en los siguientes objetivos, estrategias y metas anuales:</w:t>
      </w:r>
    </w:p>
    <w:p w14:paraId="7682E9A2" w14:textId="77777777" w:rsidR="00D55CFB" w:rsidRPr="00830A41" w:rsidRDefault="00D55CFB" w:rsidP="00835F9F">
      <w:pPr>
        <w:autoSpaceDE w:val="0"/>
        <w:autoSpaceDN w:val="0"/>
        <w:adjustRightInd w:val="0"/>
        <w:spacing w:line="360" w:lineRule="auto"/>
        <w:ind w:right="-232"/>
        <w:rPr>
          <w:rFonts w:asciiTheme="majorHAnsi" w:hAnsiTheme="majorHAnsi" w:cstheme="majorHAnsi"/>
          <w:b/>
          <w:szCs w:val="24"/>
        </w:rPr>
      </w:pPr>
    </w:p>
    <w:p w14:paraId="021D87B9" w14:textId="402185B8" w:rsidR="00835F9F" w:rsidRPr="00830A41" w:rsidRDefault="00835F9F" w:rsidP="00835F9F">
      <w:pPr>
        <w:autoSpaceDE w:val="0"/>
        <w:autoSpaceDN w:val="0"/>
        <w:adjustRightInd w:val="0"/>
        <w:spacing w:line="360" w:lineRule="auto"/>
        <w:ind w:right="-232"/>
        <w:rPr>
          <w:rFonts w:asciiTheme="majorHAnsi" w:hAnsiTheme="majorHAnsi" w:cstheme="majorHAnsi"/>
          <w:b/>
          <w:szCs w:val="24"/>
        </w:rPr>
      </w:pPr>
      <w:r w:rsidRPr="00830A41">
        <w:rPr>
          <w:rFonts w:asciiTheme="majorHAnsi" w:hAnsiTheme="majorHAnsi" w:cstheme="majorHAnsi"/>
          <w:b/>
          <w:szCs w:val="24"/>
        </w:rPr>
        <w:t>Objetivos anuales</w:t>
      </w:r>
    </w:p>
    <w:p w14:paraId="41EC6FBE" w14:textId="77777777"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Cumplir con el pronóstico de ingresos previstos en el Artículo 1 de la Ley de Ingresos del Estado de Tabasco para el ejercicio fiscal 2019.</w:t>
      </w:r>
    </w:p>
    <w:p w14:paraId="268793F5" w14:textId="77777777"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Brindar una atención eficiente al contribuyente en todas las Receptorías de Rentas del Estado de Tabasco; así como, en los diversos puntos de cobro aperturados.</w:t>
      </w:r>
    </w:p>
    <w:p w14:paraId="744C429A" w14:textId="66100CF5" w:rsidR="007F0944" w:rsidRPr="00830A41" w:rsidRDefault="007F0944"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Otorgar facilidades a los contribuyentes en materia de trámites fiscales.</w:t>
      </w:r>
    </w:p>
    <w:p w14:paraId="3A43F6DF" w14:textId="23E890FE"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Fortalecer los ingresos propios del Estado, a través de la fiscalización y vigilancia oportun</w:t>
      </w:r>
      <w:r w:rsidR="007F0944" w:rsidRPr="00830A41">
        <w:rPr>
          <w:rFonts w:asciiTheme="majorHAnsi" w:hAnsiTheme="majorHAnsi" w:cstheme="majorHAnsi"/>
          <w:sz w:val="24"/>
          <w:szCs w:val="24"/>
          <w:lang w:val="es-MX"/>
        </w:rPr>
        <w:t>a del cumplimiento de las obligaciones</w:t>
      </w:r>
      <w:r w:rsidRPr="00830A41">
        <w:rPr>
          <w:rFonts w:asciiTheme="majorHAnsi" w:hAnsiTheme="majorHAnsi" w:cstheme="majorHAnsi"/>
          <w:sz w:val="24"/>
          <w:szCs w:val="24"/>
          <w:lang w:val="es-MX"/>
        </w:rPr>
        <w:t xml:space="preserve"> de los contribuyentes.</w:t>
      </w:r>
    </w:p>
    <w:p w14:paraId="5C628CD2" w14:textId="36243AAE"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Aumentar la base de contribuyentes a través de verificaciones focalizadas.</w:t>
      </w:r>
    </w:p>
    <w:p w14:paraId="4BC13CE3" w14:textId="77777777"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Impulsar la recuperación de cartera vencida a través del Procedimiento Administrativo de Ejecución.</w:t>
      </w:r>
    </w:p>
    <w:p w14:paraId="4F49C02F" w14:textId="26EBE31B"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Fortalecer la coordinación fiscal entre la Federación, el Estado y los Municipios.</w:t>
      </w:r>
    </w:p>
    <w:p w14:paraId="5B5E9E3E" w14:textId="77777777"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Cumplir con el Programa Operativo Anual de Auditorías Fiscales, aumentando la calidad de la actuación de los actos realizados e incrementar la percepción de riesgo en los contribuyentes.</w:t>
      </w:r>
    </w:p>
    <w:p w14:paraId="57E9A230" w14:textId="77777777"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 xml:space="preserve">Vigilar el cumplimiento de las obligaciones fiscales Estatales y Federales de los Entes Públicos del Estado y sus Municipios. </w:t>
      </w:r>
    </w:p>
    <w:p w14:paraId="38FFFA55" w14:textId="77777777" w:rsidR="00835F9F" w:rsidRPr="00830A41" w:rsidRDefault="00835F9F" w:rsidP="00835F9F">
      <w:pPr>
        <w:autoSpaceDE w:val="0"/>
        <w:autoSpaceDN w:val="0"/>
        <w:adjustRightInd w:val="0"/>
        <w:spacing w:line="360" w:lineRule="auto"/>
        <w:ind w:right="-232"/>
        <w:rPr>
          <w:rFonts w:asciiTheme="majorHAnsi" w:hAnsiTheme="majorHAnsi" w:cstheme="majorHAnsi"/>
          <w:b/>
          <w:szCs w:val="24"/>
        </w:rPr>
      </w:pPr>
      <w:r w:rsidRPr="00830A41">
        <w:rPr>
          <w:rFonts w:asciiTheme="majorHAnsi" w:hAnsiTheme="majorHAnsi" w:cstheme="majorHAnsi"/>
          <w:b/>
          <w:szCs w:val="24"/>
        </w:rPr>
        <w:t>Estrategias</w:t>
      </w:r>
    </w:p>
    <w:p w14:paraId="4F336220" w14:textId="250202ED"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 xml:space="preserve">Cobro vía internet, a través de </w:t>
      </w:r>
      <w:r w:rsidR="007F0944" w:rsidRPr="00830A41">
        <w:rPr>
          <w:rFonts w:asciiTheme="majorHAnsi" w:hAnsiTheme="majorHAnsi" w:cstheme="majorHAnsi"/>
          <w:sz w:val="24"/>
          <w:szCs w:val="24"/>
          <w:lang w:val="es-MX"/>
        </w:rPr>
        <w:t xml:space="preserve">la página electrónica de </w:t>
      </w:r>
      <w:r w:rsidRPr="00830A41">
        <w:rPr>
          <w:rFonts w:asciiTheme="majorHAnsi" w:hAnsiTheme="majorHAnsi" w:cstheme="majorHAnsi"/>
          <w:sz w:val="24"/>
          <w:szCs w:val="24"/>
          <w:lang w:val="es-MX"/>
        </w:rPr>
        <w:t xml:space="preserve">Recaudanet, lo cual permite a los contribuyentes cumplir con sus obligaciones de manera rápida y sencilla. </w:t>
      </w:r>
    </w:p>
    <w:p w14:paraId="014837E7" w14:textId="77777777"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rPr>
        <w:lastRenderedPageBreak/>
        <w:t>Habilitación de dos Tramita Bus para atender cobros de manera itinerante en la ciudad de Villahermosa, con la finalidad de facilitarles a los contribuyentes el cumplimiento de sus obligaciones fiscales.</w:t>
      </w:r>
    </w:p>
    <w:p w14:paraId="10CE11DC" w14:textId="68BF809F" w:rsidR="007F0944" w:rsidRPr="00830A41" w:rsidRDefault="007F0944"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rPr>
        <w:t xml:space="preserve">Implementación de herramienta tecnológica para </w:t>
      </w:r>
      <w:r w:rsidR="00280604" w:rsidRPr="00830A41">
        <w:rPr>
          <w:rFonts w:asciiTheme="majorHAnsi" w:hAnsiTheme="majorHAnsi" w:cstheme="majorHAnsi"/>
          <w:sz w:val="24"/>
          <w:szCs w:val="24"/>
        </w:rPr>
        <w:t xml:space="preserve">realizar </w:t>
      </w:r>
      <w:r w:rsidRPr="00830A41">
        <w:rPr>
          <w:rFonts w:asciiTheme="majorHAnsi" w:hAnsiTheme="majorHAnsi" w:cstheme="majorHAnsi"/>
          <w:sz w:val="24"/>
          <w:szCs w:val="24"/>
        </w:rPr>
        <w:t xml:space="preserve">trámites fiscales </w:t>
      </w:r>
      <w:r w:rsidR="00280604" w:rsidRPr="00830A41">
        <w:rPr>
          <w:rFonts w:asciiTheme="majorHAnsi" w:hAnsiTheme="majorHAnsi" w:cstheme="majorHAnsi"/>
          <w:sz w:val="24"/>
          <w:szCs w:val="24"/>
        </w:rPr>
        <w:t xml:space="preserve">estatales </w:t>
      </w:r>
      <w:r w:rsidRPr="00830A41">
        <w:rPr>
          <w:rFonts w:asciiTheme="majorHAnsi" w:hAnsiTheme="majorHAnsi" w:cstheme="majorHAnsi"/>
          <w:sz w:val="24"/>
          <w:szCs w:val="24"/>
        </w:rPr>
        <w:t>en línea</w:t>
      </w:r>
      <w:r w:rsidR="00280604" w:rsidRPr="00830A41">
        <w:rPr>
          <w:rFonts w:asciiTheme="majorHAnsi" w:hAnsiTheme="majorHAnsi" w:cstheme="majorHAnsi"/>
          <w:sz w:val="24"/>
          <w:szCs w:val="24"/>
        </w:rPr>
        <w:t>.</w:t>
      </w:r>
    </w:p>
    <w:p w14:paraId="4A9536F7" w14:textId="77777777"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Asesoría a contribuyentes en aspectos fiscales para el cumplimiento y regularización de sus obligaciones, de impuestos estatales y federales.</w:t>
      </w:r>
    </w:p>
    <w:p w14:paraId="596A755A" w14:textId="7DAED221"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 xml:space="preserve">Mejora en atención de contribuyentes en las Receptorías de Rentas del Estado, logrando hacer eficiente los servicios, disminuyendo los tiempos </w:t>
      </w:r>
      <w:r w:rsidR="00DF5CBA" w:rsidRPr="00830A41">
        <w:rPr>
          <w:rFonts w:asciiTheme="majorHAnsi" w:hAnsiTheme="majorHAnsi" w:cstheme="majorHAnsi"/>
          <w:sz w:val="24"/>
          <w:szCs w:val="24"/>
          <w:lang w:val="es-MX"/>
        </w:rPr>
        <w:t>de espera</w:t>
      </w:r>
      <w:r w:rsidRPr="00830A41">
        <w:rPr>
          <w:rFonts w:asciiTheme="majorHAnsi" w:hAnsiTheme="majorHAnsi" w:cstheme="majorHAnsi"/>
          <w:sz w:val="24"/>
          <w:szCs w:val="24"/>
          <w:lang w:val="es-MX"/>
        </w:rPr>
        <w:t>.</w:t>
      </w:r>
    </w:p>
    <w:p w14:paraId="6424D7E8" w14:textId="415BF179"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 xml:space="preserve">Emisión oportuna de los ordenamientos legales, para brindar incentivos y certeza jurídica a los contribuyentes </w:t>
      </w:r>
      <w:r w:rsidR="00DF5CBA" w:rsidRPr="00830A41">
        <w:rPr>
          <w:rFonts w:asciiTheme="majorHAnsi" w:hAnsiTheme="majorHAnsi" w:cstheme="majorHAnsi"/>
          <w:sz w:val="24"/>
          <w:szCs w:val="24"/>
          <w:lang w:val="es-MX"/>
        </w:rPr>
        <w:t>en</w:t>
      </w:r>
      <w:r w:rsidRPr="00830A41">
        <w:rPr>
          <w:rFonts w:asciiTheme="majorHAnsi" w:hAnsiTheme="majorHAnsi" w:cstheme="majorHAnsi"/>
          <w:sz w:val="24"/>
          <w:szCs w:val="24"/>
          <w:lang w:val="es-MX"/>
        </w:rPr>
        <w:t xml:space="preserve"> el cumplimiento de sus obligaciones.</w:t>
      </w:r>
    </w:p>
    <w:p w14:paraId="747BD3CB" w14:textId="3F6DA361"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 xml:space="preserve">Continuidad de programas </w:t>
      </w:r>
      <w:r w:rsidR="00DF5CBA" w:rsidRPr="00830A41">
        <w:rPr>
          <w:rFonts w:asciiTheme="majorHAnsi" w:hAnsiTheme="majorHAnsi" w:cstheme="majorHAnsi"/>
          <w:sz w:val="24"/>
          <w:szCs w:val="24"/>
          <w:lang w:val="es-MX"/>
        </w:rPr>
        <w:t xml:space="preserve">coordinados con el Servicio de Administración Tributaria (SAT) </w:t>
      </w:r>
      <w:r w:rsidRPr="00830A41">
        <w:rPr>
          <w:rFonts w:asciiTheme="majorHAnsi" w:hAnsiTheme="majorHAnsi" w:cstheme="majorHAnsi"/>
          <w:sz w:val="24"/>
          <w:szCs w:val="24"/>
          <w:lang w:val="es-MX"/>
        </w:rPr>
        <w:t>derivados del Convenio de Colaboración Administrativa en Materia Fiscal Federal.</w:t>
      </w:r>
    </w:p>
    <w:p w14:paraId="4D78FDE5" w14:textId="77777777"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Notificación de obligaciones omitidas y cobranza coactiva para abatir el rezago en los impuestos estatales y federales coordinados, a través de las Receptorías de Rentas del Estado.</w:t>
      </w:r>
    </w:p>
    <w:p w14:paraId="35B10A71" w14:textId="77777777"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Fiscalización dirigida a contribuyentes omisos más representativos.</w:t>
      </w:r>
    </w:p>
    <w:p w14:paraId="63EA5921" w14:textId="77777777"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Combatir esquemas de evasión fiscal a través de los diversos métodos de fiscalización, generando una mayor percepción de riesgo en los contribuyentes.</w:t>
      </w:r>
    </w:p>
    <w:p w14:paraId="306A3D27" w14:textId="77777777"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Aumentar la productividad por auditor, y robustecer la programación de los actos de fiscalización a fin de lograr mayor eficiencia recaudatoria.</w:t>
      </w:r>
    </w:p>
    <w:p w14:paraId="29893200" w14:textId="77777777" w:rsidR="00835F9F" w:rsidRPr="00830A41" w:rsidRDefault="00835F9F" w:rsidP="00835F9F">
      <w:pPr>
        <w:autoSpaceDE w:val="0"/>
        <w:autoSpaceDN w:val="0"/>
        <w:adjustRightInd w:val="0"/>
        <w:spacing w:line="360" w:lineRule="auto"/>
        <w:ind w:right="-232"/>
        <w:rPr>
          <w:rFonts w:asciiTheme="majorHAnsi" w:hAnsiTheme="majorHAnsi" w:cstheme="majorHAnsi"/>
          <w:b/>
          <w:szCs w:val="24"/>
        </w:rPr>
      </w:pPr>
      <w:r w:rsidRPr="00830A41">
        <w:rPr>
          <w:rFonts w:asciiTheme="majorHAnsi" w:hAnsiTheme="majorHAnsi" w:cstheme="majorHAnsi"/>
          <w:b/>
          <w:szCs w:val="24"/>
        </w:rPr>
        <w:t>Metas</w:t>
      </w:r>
    </w:p>
    <w:p w14:paraId="0F4FEC77" w14:textId="77777777"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Atención eficiente al contribuyente y reducción de tiempos de respuesta en trámites.</w:t>
      </w:r>
    </w:p>
    <w:p w14:paraId="082F4921" w14:textId="2516C6FB"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Fomentar el uso de Recaudanet para el pago de las contribuciones</w:t>
      </w:r>
      <w:r w:rsidR="00DF5CBA" w:rsidRPr="00830A41">
        <w:rPr>
          <w:rFonts w:asciiTheme="majorHAnsi" w:hAnsiTheme="majorHAnsi" w:cstheme="majorHAnsi"/>
          <w:sz w:val="24"/>
          <w:szCs w:val="24"/>
          <w:lang w:val="es-MX"/>
        </w:rPr>
        <w:t xml:space="preserve"> y actualizaciones en trámites fiscales</w:t>
      </w:r>
      <w:r w:rsidRPr="00830A41">
        <w:rPr>
          <w:rFonts w:asciiTheme="majorHAnsi" w:hAnsiTheme="majorHAnsi" w:cstheme="majorHAnsi"/>
          <w:sz w:val="24"/>
          <w:szCs w:val="24"/>
          <w:lang w:val="es-MX"/>
        </w:rPr>
        <w:t>.</w:t>
      </w:r>
    </w:p>
    <w:p w14:paraId="19153DCC" w14:textId="77777777"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Incentivar el cumplimiento de obligaciones a través de Programas de Descuentos Vehiculares y facilidades administrativas.</w:t>
      </w:r>
    </w:p>
    <w:p w14:paraId="5EF08789" w14:textId="77777777"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Abatir el rezago en los impuestos estatales y federales coordinados, a través de las Receptorías de Rentas del Estado.</w:t>
      </w:r>
    </w:p>
    <w:p w14:paraId="4C8C7719" w14:textId="77777777" w:rsidR="00835F9F" w:rsidRPr="00830A41" w:rsidRDefault="00835F9F"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lastRenderedPageBreak/>
        <w:t>Aumentar la presencia fiscal y la recaudación a través de los métodos de fiscalización aplicados.</w:t>
      </w:r>
    </w:p>
    <w:p w14:paraId="43C1DC3D" w14:textId="142D5725" w:rsidR="00835F9F" w:rsidRPr="00830A41" w:rsidRDefault="00DF5CBA" w:rsidP="00835F9F">
      <w:pPr>
        <w:pStyle w:val="Prrafodelista"/>
        <w:numPr>
          <w:ilvl w:val="1"/>
          <w:numId w:val="31"/>
        </w:numPr>
        <w:autoSpaceDE w:val="0"/>
        <w:autoSpaceDN w:val="0"/>
        <w:adjustRightInd w:val="0"/>
        <w:spacing w:line="360" w:lineRule="auto"/>
        <w:ind w:left="426" w:right="-232" w:hanging="426"/>
        <w:jc w:val="both"/>
        <w:rPr>
          <w:rFonts w:asciiTheme="majorHAnsi" w:hAnsiTheme="majorHAnsi" w:cstheme="majorHAnsi"/>
          <w:sz w:val="24"/>
          <w:szCs w:val="24"/>
          <w:lang w:val="es-MX"/>
        </w:rPr>
      </w:pPr>
      <w:r w:rsidRPr="00830A41">
        <w:rPr>
          <w:rFonts w:asciiTheme="majorHAnsi" w:hAnsiTheme="majorHAnsi" w:cstheme="majorHAnsi"/>
          <w:sz w:val="24"/>
          <w:szCs w:val="24"/>
          <w:lang w:val="es-MX"/>
        </w:rPr>
        <w:t>Incrementar la recaudación y el cumplimiento fiscal en el Estado.</w:t>
      </w:r>
      <w:r w:rsidR="00835F9F" w:rsidRPr="00830A41">
        <w:rPr>
          <w:rFonts w:asciiTheme="majorHAnsi" w:hAnsiTheme="majorHAnsi" w:cstheme="majorHAnsi"/>
          <w:sz w:val="24"/>
          <w:szCs w:val="24"/>
          <w:lang w:val="es-MX"/>
        </w:rPr>
        <w:t xml:space="preserve"> </w:t>
      </w:r>
    </w:p>
    <w:p w14:paraId="5F233929" w14:textId="70621222" w:rsidR="003F5595" w:rsidRPr="00830A41" w:rsidRDefault="003F5595" w:rsidP="00564934">
      <w:pPr>
        <w:autoSpaceDE w:val="0"/>
        <w:autoSpaceDN w:val="0"/>
        <w:adjustRightInd w:val="0"/>
        <w:spacing w:line="360" w:lineRule="auto"/>
        <w:ind w:right="-232"/>
        <w:rPr>
          <w:rFonts w:asciiTheme="majorHAnsi" w:hAnsiTheme="majorHAnsi" w:cstheme="majorHAnsi"/>
          <w:b/>
          <w:szCs w:val="24"/>
          <w:lang w:val="es-MX"/>
        </w:rPr>
      </w:pPr>
      <w:r w:rsidRPr="00830A41">
        <w:rPr>
          <w:rFonts w:asciiTheme="majorHAnsi" w:hAnsiTheme="majorHAnsi" w:cstheme="majorHAnsi"/>
          <w:b/>
          <w:szCs w:val="24"/>
          <w:lang w:val="es-MX"/>
        </w:rPr>
        <w:t>III. PROYECCIONES DE LAS FINANZAS PÚBLICAS</w:t>
      </w:r>
      <w:r w:rsidR="00A968BE" w:rsidRPr="00830A41">
        <w:rPr>
          <w:rFonts w:asciiTheme="majorHAnsi" w:hAnsiTheme="majorHAnsi" w:cstheme="majorHAnsi"/>
          <w:b/>
          <w:szCs w:val="24"/>
          <w:lang w:val="es-MX"/>
        </w:rPr>
        <w:t xml:space="preserve"> DE LOS AÑOS 20</w:t>
      </w:r>
      <w:r w:rsidR="00493795" w:rsidRPr="00830A41">
        <w:rPr>
          <w:rFonts w:asciiTheme="majorHAnsi" w:hAnsiTheme="majorHAnsi" w:cstheme="majorHAnsi"/>
          <w:b/>
          <w:szCs w:val="24"/>
          <w:lang w:val="es-MX"/>
        </w:rPr>
        <w:t>20</w:t>
      </w:r>
      <w:r w:rsidR="00A968BE" w:rsidRPr="00830A41">
        <w:rPr>
          <w:rFonts w:asciiTheme="majorHAnsi" w:hAnsiTheme="majorHAnsi" w:cstheme="majorHAnsi"/>
          <w:b/>
          <w:szCs w:val="24"/>
          <w:lang w:val="es-MX"/>
        </w:rPr>
        <w:t xml:space="preserve"> AL 202</w:t>
      </w:r>
      <w:r w:rsidR="00493795" w:rsidRPr="00830A41">
        <w:rPr>
          <w:rFonts w:asciiTheme="majorHAnsi" w:hAnsiTheme="majorHAnsi" w:cstheme="majorHAnsi"/>
          <w:b/>
          <w:szCs w:val="24"/>
          <w:lang w:val="es-MX"/>
        </w:rPr>
        <w:t>4</w:t>
      </w:r>
      <w:r w:rsidR="001F5890" w:rsidRPr="00830A41">
        <w:rPr>
          <w:rFonts w:asciiTheme="majorHAnsi" w:hAnsiTheme="majorHAnsi" w:cstheme="majorHAnsi"/>
          <w:b/>
          <w:szCs w:val="24"/>
          <w:lang w:val="es-MX"/>
        </w:rPr>
        <w:t>; ASÍ COMO, EJERCICIO FISCAL 201</w:t>
      </w:r>
      <w:r w:rsidR="00493795" w:rsidRPr="00830A41">
        <w:rPr>
          <w:rFonts w:asciiTheme="majorHAnsi" w:hAnsiTheme="majorHAnsi" w:cstheme="majorHAnsi"/>
          <w:b/>
          <w:szCs w:val="24"/>
          <w:lang w:val="es-MX"/>
        </w:rPr>
        <w:t>9</w:t>
      </w:r>
      <w:r w:rsidR="00A968BE" w:rsidRPr="00830A41">
        <w:rPr>
          <w:rFonts w:asciiTheme="majorHAnsi" w:hAnsiTheme="majorHAnsi" w:cstheme="majorHAnsi"/>
          <w:b/>
          <w:szCs w:val="24"/>
          <w:lang w:val="es-MX"/>
        </w:rPr>
        <w:t>.</w:t>
      </w:r>
    </w:p>
    <w:p w14:paraId="60CB499D" w14:textId="77777777" w:rsidR="001F5890" w:rsidRPr="00830A41" w:rsidRDefault="001F5890" w:rsidP="00564934">
      <w:pPr>
        <w:autoSpaceDE w:val="0"/>
        <w:autoSpaceDN w:val="0"/>
        <w:adjustRightInd w:val="0"/>
        <w:spacing w:line="360" w:lineRule="auto"/>
        <w:ind w:right="-232"/>
        <w:rPr>
          <w:rFonts w:asciiTheme="majorHAnsi" w:hAnsiTheme="majorHAnsi" w:cstheme="majorHAnsi"/>
          <w:b/>
          <w:szCs w:val="24"/>
          <w:lang w:val="es-MX"/>
        </w:rPr>
      </w:pPr>
    </w:p>
    <w:p w14:paraId="5785F41D" w14:textId="70B23173" w:rsidR="00A968BE" w:rsidRPr="00830A41" w:rsidRDefault="00A968BE" w:rsidP="00564934">
      <w:pPr>
        <w:autoSpaceDE w:val="0"/>
        <w:autoSpaceDN w:val="0"/>
        <w:adjustRightInd w:val="0"/>
        <w:spacing w:line="360" w:lineRule="auto"/>
        <w:ind w:right="-232"/>
        <w:rPr>
          <w:rFonts w:asciiTheme="majorHAnsi" w:hAnsiTheme="majorHAnsi" w:cstheme="majorHAnsi"/>
          <w:szCs w:val="24"/>
        </w:rPr>
      </w:pPr>
      <w:r w:rsidRPr="00830A41">
        <w:rPr>
          <w:rFonts w:asciiTheme="majorHAnsi" w:hAnsiTheme="majorHAnsi" w:cstheme="majorHAnsi"/>
          <w:szCs w:val="24"/>
        </w:rPr>
        <w:t xml:space="preserve">A fin de observar lo establecido en el artículo 5, fracción II de la Ley de Disciplina </w:t>
      </w:r>
      <w:r w:rsidR="00493795" w:rsidRPr="00830A41">
        <w:rPr>
          <w:rFonts w:asciiTheme="majorHAnsi" w:hAnsiTheme="majorHAnsi" w:cstheme="majorHAnsi"/>
          <w:szCs w:val="24"/>
        </w:rPr>
        <w:t xml:space="preserve">Financiera </w:t>
      </w:r>
      <w:r w:rsidRPr="00830A41">
        <w:rPr>
          <w:rFonts w:asciiTheme="majorHAnsi" w:hAnsiTheme="majorHAnsi" w:cstheme="majorHAnsi"/>
          <w:szCs w:val="24"/>
        </w:rPr>
        <w:t>de las Entidades</w:t>
      </w:r>
      <w:r w:rsidR="00493795" w:rsidRPr="00830A41">
        <w:rPr>
          <w:rFonts w:asciiTheme="majorHAnsi" w:hAnsiTheme="majorHAnsi" w:cstheme="majorHAnsi"/>
          <w:szCs w:val="24"/>
        </w:rPr>
        <w:t xml:space="preserve"> Federativas</w:t>
      </w:r>
      <w:r w:rsidRPr="00830A41">
        <w:rPr>
          <w:rFonts w:asciiTheme="majorHAnsi" w:hAnsiTheme="majorHAnsi" w:cstheme="majorHAnsi"/>
          <w:szCs w:val="24"/>
        </w:rPr>
        <w:t xml:space="preserve"> y los Municipios; así como, en el artículo 13, fracción II de la Ley de Presupuesto y Responsabilidad Hacendaria del Estado de Tabasco y sus Municipios, se presenta el pronóstico de los ingresos, a rubro mayor, para los ejercicios fiscales </w:t>
      </w:r>
      <w:r w:rsidR="004E1E29" w:rsidRPr="00830A41">
        <w:rPr>
          <w:rFonts w:asciiTheme="majorHAnsi" w:hAnsiTheme="majorHAnsi" w:cstheme="majorHAnsi"/>
          <w:szCs w:val="24"/>
          <w:shd w:val="clear" w:color="auto" w:fill="FFFFFF" w:themeFill="background1"/>
        </w:rPr>
        <w:t>2020 al 2024</w:t>
      </w:r>
      <w:r w:rsidR="001F5890" w:rsidRPr="00830A41">
        <w:rPr>
          <w:rFonts w:asciiTheme="majorHAnsi" w:hAnsiTheme="majorHAnsi" w:cstheme="majorHAnsi"/>
          <w:szCs w:val="24"/>
          <w:shd w:val="clear" w:color="auto" w:fill="FFFFFF" w:themeFill="background1"/>
        </w:rPr>
        <w:t>; as</w:t>
      </w:r>
      <w:r w:rsidR="004E1E29" w:rsidRPr="00830A41">
        <w:rPr>
          <w:rFonts w:asciiTheme="majorHAnsi" w:hAnsiTheme="majorHAnsi" w:cstheme="majorHAnsi"/>
          <w:szCs w:val="24"/>
          <w:shd w:val="clear" w:color="auto" w:fill="FFFFFF" w:themeFill="background1"/>
        </w:rPr>
        <w:t>í como, el ejercicio fiscal 2019</w:t>
      </w:r>
      <w:r w:rsidR="001F5890" w:rsidRPr="00830A41">
        <w:rPr>
          <w:rFonts w:asciiTheme="majorHAnsi" w:hAnsiTheme="majorHAnsi" w:cstheme="majorHAnsi"/>
          <w:szCs w:val="24"/>
          <w:shd w:val="clear" w:color="auto" w:fill="FFFFFF" w:themeFill="background1"/>
        </w:rPr>
        <w:t xml:space="preserve"> que se proyecta en la presente Ley</w:t>
      </w:r>
      <w:r w:rsidRPr="00830A41">
        <w:rPr>
          <w:rFonts w:asciiTheme="majorHAnsi" w:hAnsiTheme="majorHAnsi" w:cstheme="majorHAnsi"/>
          <w:szCs w:val="24"/>
        </w:rPr>
        <w:t>:</w:t>
      </w:r>
      <w:r w:rsidR="00840DA2" w:rsidRPr="00830A41">
        <w:rPr>
          <w:rFonts w:asciiTheme="majorHAnsi" w:hAnsiTheme="majorHAnsi" w:cstheme="majorHAnsi"/>
          <w:szCs w:val="24"/>
        </w:rPr>
        <w:t xml:space="preserve"> </w:t>
      </w:r>
    </w:p>
    <w:p w14:paraId="6B99D079" w14:textId="77777777" w:rsidR="008469E4" w:rsidRDefault="008469E4" w:rsidP="0062205B">
      <w:pPr>
        <w:autoSpaceDE w:val="0"/>
        <w:autoSpaceDN w:val="0"/>
        <w:adjustRightInd w:val="0"/>
        <w:ind w:right="-232"/>
        <w:rPr>
          <w:b/>
          <w:sz w:val="14"/>
          <w:szCs w:val="24"/>
        </w:rPr>
      </w:pPr>
    </w:p>
    <w:p w14:paraId="06DFB203" w14:textId="77777777" w:rsidR="008469E4" w:rsidRDefault="008469E4" w:rsidP="0062205B">
      <w:pPr>
        <w:autoSpaceDE w:val="0"/>
        <w:autoSpaceDN w:val="0"/>
        <w:adjustRightInd w:val="0"/>
        <w:ind w:right="-232"/>
        <w:rPr>
          <w:b/>
          <w:sz w:val="14"/>
          <w:szCs w:val="24"/>
        </w:rPr>
      </w:pPr>
    </w:p>
    <w:p w14:paraId="4EBCE0E6" w14:textId="32D663C2" w:rsidR="008469E4" w:rsidRDefault="002D2232" w:rsidP="0062205B">
      <w:pPr>
        <w:autoSpaceDE w:val="0"/>
        <w:autoSpaceDN w:val="0"/>
        <w:adjustRightInd w:val="0"/>
        <w:ind w:right="-232"/>
        <w:rPr>
          <w:b/>
          <w:sz w:val="14"/>
          <w:szCs w:val="24"/>
        </w:rPr>
      </w:pPr>
      <w:r w:rsidRPr="002D2232">
        <w:rPr>
          <w:noProof/>
          <w:lang w:eastAsia="es-ES"/>
        </w:rPr>
        <w:drawing>
          <wp:inline distT="0" distB="0" distL="0" distR="0" wp14:anchorId="69D5F6DE" wp14:editId="147DC92E">
            <wp:extent cx="5613400" cy="3695878"/>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3400" cy="3695878"/>
                    </a:xfrm>
                    <a:prstGeom prst="rect">
                      <a:avLst/>
                    </a:prstGeom>
                    <a:noFill/>
                    <a:ln>
                      <a:noFill/>
                    </a:ln>
                  </pic:spPr>
                </pic:pic>
              </a:graphicData>
            </a:graphic>
          </wp:inline>
        </w:drawing>
      </w:r>
    </w:p>
    <w:p w14:paraId="3F0CC028" w14:textId="77777777" w:rsidR="008469E4" w:rsidRDefault="008469E4" w:rsidP="0062205B">
      <w:pPr>
        <w:autoSpaceDE w:val="0"/>
        <w:autoSpaceDN w:val="0"/>
        <w:adjustRightInd w:val="0"/>
        <w:ind w:right="-232"/>
        <w:rPr>
          <w:b/>
          <w:sz w:val="14"/>
          <w:szCs w:val="24"/>
        </w:rPr>
      </w:pPr>
    </w:p>
    <w:p w14:paraId="7D702FD4" w14:textId="4D66CFBD" w:rsidR="0062205B" w:rsidRPr="002B2C6F" w:rsidRDefault="0062205B" w:rsidP="0062205B">
      <w:pPr>
        <w:autoSpaceDE w:val="0"/>
        <w:autoSpaceDN w:val="0"/>
        <w:adjustRightInd w:val="0"/>
        <w:ind w:right="-232"/>
        <w:rPr>
          <w:sz w:val="14"/>
          <w:szCs w:val="24"/>
        </w:rPr>
      </w:pPr>
      <w:r w:rsidRPr="00C15707">
        <w:rPr>
          <w:b/>
          <w:sz w:val="14"/>
          <w:szCs w:val="24"/>
        </w:rPr>
        <w:t>Fuent</w:t>
      </w:r>
      <w:r w:rsidRPr="00C15707">
        <w:rPr>
          <w:sz w:val="14"/>
          <w:szCs w:val="24"/>
        </w:rPr>
        <w:t>e: Secretaría de Planeación y Finanzas.</w:t>
      </w:r>
      <w:r w:rsidR="00C15707">
        <w:rPr>
          <w:sz w:val="14"/>
          <w:szCs w:val="24"/>
        </w:rPr>
        <w:t xml:space="preserve"> </w:t>
      </w:r>
    </w:p>
    <w:p w14:paraId="07F2C72D" w14:textId="21736999" w:rsidR="00830A41" w:rsidRDefault="00830A41">
      <w:pPr>
        <w:jc w:val="left"/>
        <w:rPr>
          <w:b/>
          <w:szCs w:val="24"/>
          <w:lang w:val="es-MX"/>
        </w:rPr>
      </w:pPr>
      <w:r>
        <w:rPr>
          <w:b/>
          <w:szCs w:val="24"/>
          <w:lang w:val="es-MX"/>
        </w:rPr>
        <w:br w:type="page"/>
      </w:r>
    </w:p>
    <w:p w14:paraId="63A6E53A" w14:textId="77777777" w:rsidR="00840DA2" w:rsidRDefault="00840DA2" w:rsidP="004E1E29">
      <w:pPr>
        <w:autoSpaceDE w:val="0"/>
        <w:autoSpaceDN w:val="0"/>
        <w:adjustRightInd w:val="0"/>
        <w:spacing w:line="360" w:lineRule="auto"/>
        <w:ind w:right="-232"/>
        <w:rPr>
          <w:b/>
          <w:szCs w:val="24"/>
          <w:lang w:val="es-MX"/>
        </w:rPr>
      </w:pPr>
    </w:p>
    <w:p w14:paraId="3AEFEBF4" w14:textId="29D5BE50" w:rsidR="004E1E29" w:rsidRPr="00830A41" w:rsidRDefault="00A968BE" w:rsidP="004E1E29">
      <w:pPr>
        <w:autoSpaceDE w:val="0"/>
        <w:autoSpaceDN w:val="0"/>
        <w:adjustRightInd w:val="0"/>
        <w:spacing w:line="360" w:lineRule="auto"/>
        <w:ind w:right="-232"/>
        <w:rPr>
          <w:rFonts w:asciiTheme="majorHAnsi" w:hAnsiTheme="majorHAnsi" w:cstheme="majorHAnsi"/>
          <w:b/>
          <w:szCs w:val="24"/>
          <w:lang w:val="es-MX"/>
        </w:rPr>
      </w:pPr>
      <w:r w:rsidRPr="00830A41">
        <w:rPr>
          <w:rFonts w:asciiTheme="majorHAnsi" w:hAnsiTheme="majorHAnsi" w:cstheme="majorHAnsi"/>
          <w:b/>
          <w:szCs w:val="24"/>
          <w:lang w:val="es-MX"/>
        </w:rPr>
        <w:t xml:space="preserve">IV. </w:t>
      </w:r>
      <w:r w:rsidR="004E1E29" w:rsidRPr="00830A41">
        <w:rPr>
          <w:rFonts w:asciiTheme="majorHAnsi" w:hAnsiTheme="majorHAnsi" w:cstheme="majorHAnsi"/>
          <w:b/>
          <w:szCs w:val="24"/>
          <w:lang w:val="es-MX"/>
        </w:rPr>
        <w:t>DESCRIPCIÓN DE LOS RIESGOS RELEVANTES PARA LAS FINANZAS PÚBLICAS Y PROPUESTAS DE ACCIÓN PARA ENFRENTARLOS.</w:t>
      </w:r>
    </w:p>
    <w:p w14:paraId="213BD552" w14:textId="77777777" w:rsidR="004E1E29" w:rsidRPr="00830A41" w:rsidRDefault="004E1E29" w:rsidP="004E1E29">
      <w:pPr>
        <w:spacing w:line="360" w:lineRule="auto"/>
        <w:rPr>
          <w:rFonts w:asciiTheme="majorHAnsi" w:hAnsiTheme="majorHAnsi" w:cstheme="majorHAnsi"/>
          <w:szCs w:val="24"/>
        </w:rPr>
      </w:pPr>
    </w:p>
    <w:p w14:paraId="0F7370ED" w14:textId="47EBD013" w:rsidR="004E1E29" w:rsidRPr="00830A41" w:rsidRDefault="004E1E29" w:rsidP="004E1E29">
      <w:pPr>
        <w:spacing w:line="360" w:lineRule="auto"/>
        <w:rPr>
          <w:rFonts w:asciiTheme="majorHAnsi" w:hAnsiTheme="majorHAnsi" w:cstheme="majorHAnsi"/>
          <w:szCs w:val="24"/>
        </w:rPr>
      </w:pPr>
      <w:r w:rsidRPr="00830A41">
        <w:rPr>
          <w:rFonts w:asciiTheme="majorHAnsi" w:hAnsiTheme="majorHAnsi" w:cstheme="majorHAnsi"/>
          <w:szCs w:val="24"/>
        </w:rPr>
        <w:t xml:space="preserve">En armonía a lo que estipula en el artículo 5, fracción III de la Ley de Disciplina Financiera de las Entidades Federativas y los Municipios; así como, el </w:t>
      </w:r>
      <w:r w:rsidR="000E6AF3" w:rsidRPr="00830A41">
        <w:rPr>
          <w:rFonts w:asciiTheme="majorHAnsi" w:hAnsiTheme="majorHAnsi" w:cstheme="majorHAnsi"/>
          <w:szCs w:val="24"/>
        </w:rPr>
        <w:t xml:space="preserve">Artículo 13 </w:t>
      </w:r>
      <w:r w:rsidR="00806D66" w:rsidRPr="00830A41">
        <w:rPr>
          <w:rFonts w:asciiTheme="majorHAnsi" w:hAnsiTheme="majorHAnsi" w:cstheme="majorHAnsi"/>
          <w:szCs w:val="24"/>
        </w:rPr>
        <w:t>fracción III</w:t>
      </w:r>
      <w:r w:rsidRPr="00830A41">
        <w:rPr>
          <w:rFonts w:asciiTheme="majorHAnsi" w:hAnsiTheme="majorHAnsi" w:cstheme="majorHAnsi"/>
          <w:szCs w:val="24"/>
        </w:rPr>
        <w:t xml:space="preserve"> de la Ley de Presupuesto y Responsabilidad Hacendaria del Estado de Tabasco y sus Municipios, se presentan algunos riesgos que pudieran impactar las finanzas públicas del Estado; de igual manera las propuestas de acción para enfrentarlos.</w:t>
      </w:r>
    </w:p>
    <w:p w14:paraId="558CEC93" w14:textId="77777777" w:rsidR="007A322D" w:rsidRPr="00830A41" w:rsidRDefault="007A322D" w:rsidP="007A322D">
      <w:pPr>
        <w:spacing w:line="360" w:lineRule="auto"/>
        <w:ind w:left="426" w:right="35"/>
        <w:contextualSpacing/>
        <w:rPr>
          <w:rFonts w:asciiTheme="majorHAnsi" w:hAnsiTheme="majorHAnsi" w:cstheme="majorHAnsi"/>
          <w:b/>
          <w:szCs w:val="24"/>
          <w:lang w:val="es-MX"/>
        </w:rPr>
      </w:pPr>
    </w:p>
    <w:p w14:paraId="6CBA26DD" w14:textId="53281417" w:rsidR="00035A37" w:rsidRPr="00830A41" w:rsidRDefault="007A322D" w:rsidP="007A322D">
      <w:pPr>
        <w:spacing w:line="360" w:lineRule="auto"/>
        <w:ind w:right="35"/>
        <w:contextualSpacing/>
        <w:rPr>
          <w:rFonts w:asciiTheme="majorHAnsi" w:hAnsiTheme="majorHAnsi" w:cstheme="majorHAnsi"/>
          <w:szCs w:val="24"/>
          <w:lang w:val="es-MX"/>
        </w:rPr>
      </w:pPr>
      <w:r w:rsidRPr="00830A41">
        <w:rPr>
          <w:rFonts w:asciiTheme="majorHAnsi" w:hAnsiTheme="majorHAnsi" w:cstheme="majorHAnsi"/>
          <w:szCs w:val="24"/>
        </w:rPr>
        <w:t>Se considera que de conformidad con las políticas que implementará el</w:t>
      </w:r>
      <w:r w:rsidRPr="00830A41">
        <w:rPr>
          <w:rFonts w:asciiTheme="majorHAnsi" w:hAnsiTheme="majorHAnsi" w:cstheme="majorHAnsi"/>
          <w:szCs w:val="24"/>
          <w:lang w:val="es-MX"/>
        </w:rPr>
        <w:t xml:space="preserve"> nuevo gobierno federal, </w:t>
      </w:r>
      <w:r w:rsidR="00035A37" w:rsidRPr="00830A41">
        <w:rPr>
          <w:rFonts w:asciiTheme="majorHAnsi" w:hAnsiTheme="majorHAnsi" w:cstheme="majorHAnsi"/>
          <w:szCs w:val="24"/>
        </w:rPr>
        <w:t>respecto a los ajustes salariales, misma</w:t>
      </w:r>
      <w:r w:rsidR="0021662C" w:rsidRPr="00830A41">
        <w:rPr>
          <w:rFonts w:asciiTheme="majorHAnsi" w:hAnsiTheme="majorHAnsi" w:cstheme="majorHAnsi"/>
          <w:szCs w:val="24"/>
        </w:rPr>
        <w:t>s</w:t>
      </w:r>
      <w:r w:rsidR="00881D2F" w:rsidRPr="00830A41">
        <w:rPr>
          <w:rFonts w:asciiTheme="majorHAnsi" w:hAnsiTheme="majorHAnsi" w:cstheme="majorHAnsi"/>
          <w:szCs w:val="24"/>
        </w:rPr>
        <w:t xml:space="preserve"> </w:t>
      </w:r>
      <w:r w:rsidR="00035A37" w:rsidRPr="00830A41">
        <w:rPr>
          <w:rFonts w:asciiTheme="majorHAnsi" w:hAnsiTheme="majorHAnsi" w:cstheme="majorHAnsi"/>
          <w:szCs w:val="24"/>
        </w:rPr>
        <w:t>que pud</w:t>
      </w:r>
      <w:r w:rsidR="0021662C" w:rsidRPr="00830A41">
        <w:rPr>
          <w:rFonts w:asciiTheme="majorHAnsi" w:hAnsiTheme="majorHAnsi" w:cstheme="majorHAnsi"/>
          <w:szCs w:val="24"/>
        </w:rPr>
        <w:t>ieran</w:t>
      </w:r>
      <w:r w:rsidR="00035A37" w:rsidRPr="00830A41">
        <w:rPr>
          <w:rFonts w:asciiTheme="majorHAnsi" w:hAnsiTheme="majorHAnsi" w:cstheme="majorHAnsi"/>
          <w:szCs w:val="24"/>
        </w:rPr>
        <w:t xml:space="preserve"> ser replicada</w:t>
      </w:r>
      <w:r w:rsidR="0021662C" w:rsidRPr="00830A41">
        <w:rPr>
          <w:rFonts w:asciiTheme="majorHAnsi" w:hAnsiTheme="majorHAnsi" w:cstheme="majorHAnsi"/>
          <w:szCs w:val="24"/>
        </w:rPr>
        <w:t>s</w:t>
      </w:r>
      <w:r w:rsidR="00035A37" w:rsidRPr="00830A41">
        <w:rPr>
          <w:rFonts w:asciiTheme="majorHAnsi" w:hAnsiTheme="majorHAnsi" w:cstheme="majorHAnsi"/>
          <w:szCs w:val="24"/>
        </w:rPr>
        <w:t xml:space="preserve"> en los tres ámbitos de gobierno; </w:t>
      </w:r>
      <w:r w:rsidR="0021662C" w:rsidRPr="00830A41">
        <w:rPr>
          <w:rFonts w:asciiTheme="majorHAnsi" w:hAnsiTheme="majorHAnsi" w:cstheme="majorHAnsi"/>
          <w:szCs w:val="24"/>
        </w:rPr>
        <w:t xml:space="preserve">podría </w:t>
      </w:r>
      <w:r w:rsidR="00035A37" w:rsidRPr="00830A41">
        <w:rPr>
          <w:rFonts w:asciiTheme="majorHAnsi" w:hAnsiTheme="majorHAnsi" w:cstheme="majorHAnsi"/>
          <w:szCs w:val="24"/>
          <w:lang w:val="es-MX"/>
        </w:rPr>
        <w:t>existi</w:t>
      </w:r>
      <w:r w:rsidR="0021662C" w:rsidRPr="00830A41">
        <w:rPr>
          <w:rFonts w:asciiTheme="majorHAnsi" w:hAnsiTheme="majorHAnsi" w:cstheme="majorHAnsi"/>
          <w:szCs w:val="24"/>
          <w:lang w:val="es-MX"/>
        </w:rPr>
        <w:t>r</w:t>
      </w:r>
      <w:r w:rsidR="00035A37" w:rsidRPr="00830A41">
        <w:rPr>
          <w:rFonts w:asciiTheme="majorHAnsi" w:hAnsiTheme="majorHAnsi" w:cstheme="majorHAnsi"/>
          <w:szCs w:val="24"/>
          <w:lang w:val="es-MX"/>
        </w:rPr>
        <w:t xml:space="preserve"> una disminución en los ingresos percibidos por los siguientes conceptos:</w:t>
      </w:r>
    </w:p>
    <w:p w14:paraId="165C146A" w14:textId="77777777" w:rsidR="007A322D" w:rsidRPr="00830A41" w:rsidRDefault="007A322D" w:rsidP="007A322D">
      <w:pPr>
        <w:spacing w:line="360" w:lineRule="auto"/>
        <w:ind w:right="35"/>
        <w:contextualSpacing/>
        <w:rPr>
          <w:rFonts w:asciiTheme="majorHAnsi" w:hAnsiTheme="majorHAnsi" w:cstheme="majorHAnsi"/>
          <w:szCs w:val="24"/>
          <w:lang w:val="es-MX"/>
        </w:rPr>
      </w:pPr>
    </w:p>
    <w:p w14:paraId="31198C6B" w14:textId="76204606" w:rsidR="007A322D" w:rsidRPr="00830A41" w:rsidRDefault="004E1E29" w:rsidP="00A51EEC">
      <w:pPr>
        <w:pStyle w:val="Prrafodelista"/>
        <w:numPr>
          <w:ilvl w:val="0"/>
          <w:numId w:val="41"/>
        </w:numPr>
        <w:spacing w:line="360" w:lineRule="auto"/>
        <w:jc w:val="both"/>
        <w:rPr>
          <w:rFonts w:asciiTheme="majorHAnsi" w:hAnsiTheme="majorHAnsi" w:cstheme="majorHAnsi"/>
          <w:sz w:val="24"/>
          <w:szCs w:val="24"/>
        </w:rPr>
      </w:pPr>
      <w:r w:rsidRPr="00830A41">
        <w:rPr>
          <w:rFonts w:asciiTheme="majorHAnsi" w:hAnsiTheme="majorHAnsi" w:cstheme="majorHAnsi"/>
          <w:sz w:val="24"/>
          <w:szCs w:val="24"/>
        </w:rPr>
        <w:t>Impuesto Sobre Nóminas</w:t>
      </w:r>
      <w:r w:rsidR="007A322D" w:rsidRPr="00830A41">
        <w:rPr>
          <w:rFonts w:asciiTheme="majorHAnsi" w:hAnsiTheme="majorHAnsi" w:cstheme="majorHAnsi"/>
          <w:sz w:val="24"/>
          <w:szCs w:val="24"/>
        </w:rPr>
        <w:t xml:space="preserve"> (ISN)</w:t>
      </w:r>
      <w:r w:rsidR="00A51EEC" w:rsidRPr="00830A41">
        <w:rPr>
          <w:rFonts w:asciiTheme="majorHAnsi" w:hAnsiTheme="majorHAnsi" w:cstheme="majorHAnsi"/>
        </w:rPr>
        <w:t xml:space="preserve"> </w:t>
      </w:r>
      <w:r w:rsidR="00A51EEC" w:rsidRPr="00830A41">
        <w:rPr>
          <w:rFonts w:asciiTheme="majorHAnsi" w:hAnsiTheme="majorHAnsi" w:cstheme="majorHAnsi"/>
          <w:sz w:val="24"/>
          <w:szCs w:val="24"/>
        </w:rPr>
        <w:t>de Entes Públicos y Órganos Autónomos de los Poderes de la Federación y del Estado.</w:t>
      </w:r>
    </w:p>
    <w:p w14:paraId="20C8F708" w14:textId="77777777" w:rsidR="007A322D" w:rsidRPr="00830A41" w:rsidRDefault="007A322D" w:rsidP="004E1E29">
      <w:pPr>
        <w:pStyle w:val="Prrafodelista"/>
        <w:numPr>
          <w:ilvl w:val="0"/>
          <w:numId w:val="41"/>
        </w:numPr>
        <w:spacing w:line="360" w:lineRule="auto"/>
        <w:jc w:val="both"/>
        <w:rPr>
          <w:rFonts w:asciiTheme="majorHAnsi" w:hAnsiTheme="majorHAnsi" w:cstheme="majorHAnsi"/>
          <w:sz w:val="24"/>
          <w:szCs w:val="24"/>
        </w:rPr>
      </w:pPr>
      <w:r w:rsidRPr="00830A41">
        <w:rPr>
          <w:rFonts w:asciiTheme="majorHAnsi" w:hAnsiTheme="majorHAnsi" w:cstheme="majorHAnsi"/>
          <w:sz w:val="24"/>
          <w:szCs w:val="24"/>
        </w:rPr>
        <w:t>Fondo del Impuesto sobre la Renta (Fondo ISR)</w:t>
      </w:r>
    </w:p>
    <w:p w14:paraId="67242594" w14:textId="77777777" w:rsidR="006708B9" w:rsidRPr="00830A41" w:rsidRDefault="006708B9" w:rsidP="00195218">
      <w:pPr>
        <w:spacing w:line="360" w:lineRule="auto"/>
        <w:rPr>
          <w:rFonts w:asciiTheme="majorHAnsi" w:hAnsiTheme="majorHAnsi" w:cstheme="majorHAnsi"/>
          <w:szCs w:val="24"/>
        </w:rPr>
      </w:pPr>
    </w:p>
    <w:p w14:paraId="1A5395A9" w14:textId="3FB65B4A" w:rsidR="00A51EEC" w:rsidRPr="00830A41" w:rsidRDefault="00035A37" w:rsidP="00195218">
      <w:pPr>
        <w:spacing w:line="360" w:lineRule="auto"/>
        <w:rPr>
          <w:rFonts w:asciiTheme="majorHAnsi" w:hAnsiTheme="majorHAnsi" w:cstheme="majorHAnsi"/>
          <w:szCs w:val="24"/>
        </w:rPr>
      </w:pPr>
      <w:r w:rsidRPr="00830A41">
        <w:rPr>
          <w:rFonts w:asciiTheme="majorHAnsi" w:hAnsiTheme="majorHAnsi" w:cstheme="majorHAnsi"/>
          <w:szCs w:val="24"/>
        </w:rPr>
        <w:t xml:space="preserve">No obstante, esta disminución </w:t>
      </w:r>
      <w:r w:rsidR="0021662C" w:rsidRPr="00830A41">
        <w:rPr>
          <w:rFonts w:asciiTheme="majorHAnsi" w:hAnsiTheme="majorHAnsi" w:cstheme="majorHAnsi"/>
          <w:szCs w:val="24"/>
        </w:rPr>
        <w:t>se</w:t>
      </w:r>
      <w:r w:rsidRPr="00830A41">
        <w:rPr>
          <w:rFonts w:asciiTheme="majorHAnsi" w:hAnsiTheme="majorHAnsi" w:cstheme="majorHAnsi"/>
          <w:szCs w:val="24"/>
        </w:rPr>
        <w:t xml:space="preserve"> subsana</w:t>
      </w:r>
      <w:r w:rsidR="0021662C" w:rsidRPr="00830A41">
        <w:rPr>
          <w:rFonts w:asciiTheme="majorHAnsi" w:hAnsiTheme="majorHAnsi" w:cstheme="majorHAnsi"/>
          <w:szCs w:val="24"/>
        </w:rPr>
        <w:t>ría</w:t>
      </w:r>
      <w:r w:rsidRPr="00830A41">
        <w:rPr>
          <w:rFonts w:asciiTheme="majorHAnsi" w:hAnsiTheme="majorHAnsi" w:cstheme="majorHAnsi"/>
          <w:szCs w:val="24"/>
        </w:rPr>
        <w:t>, en caso de reactivarse la población económicamente activa del Estado, lo que impactaría en una mayor recaudación en el Impuesto sobre Nóminas de Contribuyentes Generales (ISN).</w:t>
      </w:r>
      <w:r w:rsidR="007A322D" w:rsidRPr="00830A41">
        <w:rPr>
          <w:rFonts w:asciiTheme="majorHAnsi" w:hAnsiTheme="majorHAnsi" w:cstheme="majorHAnsi"/>
          <w:szCs w:val="24"/>
        </w:rPr>
        <w:t xml:space="preserve"> </w:t>
      </w:r>
    </w:p>
    <w:p w14:paraId="4F2B5308" w14:textId="77777777" w:rsidR="00A51EEC" w:rsidRPr="00830A41" w:rsidRDefault="00A51EEC" w:rsidP="00195218">
      <w:pPr>
        <w:spacing w:line="360" w:lineRule="auto"/>
        <w:rPr>
          <w:rFonts w:asciiTheme="majorHAnsi" w:hAnsiTheme="majorHAnsi" w:cstheme="majorHAnsi"/>
          <w:szCs w:val="24"/>
        </w:rPr>
      </w:pPr>
    </w:p>
    <w:p w14:paraId="1F237840" w14:textId="2758AD4A" w:rsidR="00693BE8" w:rsidRPr="00830A41" w:rsidRDefault="00693BE8" w:rsidP="00693BE8">
      <w:pPr>
        <w:pStyle w:val="Prrafodelista"/>
        <w:spacing w:line="360" w:lineRule="auto"/>
        <w:ind w:left="0"/>
        <w:jc w:val="both"/>
        <w:rPr>
          <w:rFonts w:asciiTheme="majorHAnsi" w:hAnsiTheme="majorHAnsi" w:cstheme="majorHAnsi"/>
          <w:szCs w:val="24"/>
        </w:rPr>
      </w:pPr>
      <w:r w:rsidRPr="00830A41">
        <w:rPr>
          <w:rFonts w:asciiTheme="majorHAnsi" w:hAnsiTheme="majorHAnsi" w:cstheme="majorHAnsi"/>
          <w:sz w:val="24"/>
          <w:szCs w:val="24"/>
        </w:rPr>
        <w:t xml:space="preserve">Cabe señalar que la estrategia principal para enfrentar dichos </w:t>
      </w:r>
      <w:r w:rsidR="008C5569" w:rsidRPr="00830A41">
        <w:rPr>
          <w:rFonts w:asciiTheme="majorHAnsi" w:hAnsiTheme="majorHAnsi" w:cstheme="majorHAnsi"/>
          <w:sz w:val="24"/>
          <w:szCs w:val="24"/>
        </w:rPr>
        <w:t>riegos</w:t>
      </w:r>
      <w:r w:rsidRPr="00830A41">
        <w:rPr>
          <w:rFonts w:asciiTheme="majorHAnsi" w:hAnsiTheme="majorHAnsi" w:cstheme="majorHAnsi"/>
          <w:sz w:val="24"/>
          <w:szCs w:val="24"/>
        </w:rPr>
        <w:t xml:space="preserve"> es a través del fortalecimiento de las acciones de fiscalización, supervisión, vigilancia y comprobación del cumplimiento de obligaciones fiscales de los padrones de contribuyentes estatales y federales coordinados; asimismo, mantener una relación estrecha con las distintas autoridades del orden federal, estatal y municipal.</w:t>
      </w:r>
      <w:r w:rsidRPr="00830A41">
        <w:rPr>
          <w:rFonts w:asciiTheme="majorHAnsi" w:hAnsiTheme="majorHAnsi" w:cstheme="majorHAnsi"/>
          <w:szCs w:val="24"/>
        </w:rPr>
        <w:t xml:space="preserve"> </w:t>
      </w:r>
    </w:p>
    <w:p w14:paraId="0C0C972F" w14:textId="08E2F60D" w:rsidR="004E1E29" w:rsidRPr="00830A41" w:rsidRDefault="00195218" w:rsidP="008B388C">
      <w:pPr>
        <w:spacing w:line="360" w:lineRule="auto"/>
        <w:rPr>
          <w:rFonts w:asciiTheme="majorHAnsi" w:hAnsiTheme="majorHAnsi" w:cstheme="majorHAnsi"/>
          <w:szCs w:val="24"/>
        </w:rPr>
      </w:pPr>
      <w:r w:rsidRPr="00830A41">
        <w:rPr>
          <w:rFonts w:asciiTheme="majorHAnsi" w:hAnsiTheme="majorHAnsi" w:cstheme="majorHAnsi"/>
          <w:szCs w:val="24"/>
        </w:rPr>
        <w:lastRenderedPageBreak/>
        <w:t xml:space="preserve">Asimismo, las cifras presentadas para los </w:t>
      </w:r>
      <w:r w:rsidR="00A51EEC" w:rsidRPr="00830A41">
        <w:rPr>
          <w:rFonts w:asciiTheme="majorHAnsi" w:hAnsiTheme="majorHAnsi" w:cstheme="majorHAnsi"/>
          <w:szCs w:val="24"/>
        </w:rPr>
        <w:t>Ingresos Federales</w:t>
      </w:r>
      <w:r w:rsidR="005522BF" w:rsidRPr="00830A41">
        <w:rPr>
          <w:rFonts w:asciiTheme="majorHAnsi" w:hAnsiTheme="majorHAnsi" w:cstheme="majorHAnsi"/>
          <w:szCs w:val="24"/>
        </w:rPr>
        <w:t>, fueron estimadas</w:t>
      </w:r>
      <w:r w:rsidR="00693BE8" w:rsidRPr="00830A41">
        <w:rPr>
          <w:rFonts w:asciiTheme="majorHAnsi" w:hAnsiTheme="majorHAnsi" w:cstheme="majorHAnsi"/>
          <w:szCs w:val="24"/>
        </w:rPr>
        <w:t xml:space="preserve"> en base a los Pre-Criterios Generales de Política Económica 2019</w:t>
      </w:r>
      <w:r w:rsidR="005522BF" w:rsidRPr="00830A41">
        <w:rPr>
          <w:rFonts w:asciiTheme="majorHAnsi" w:hAnsiTheme="majorHAnsi" w:cstheme="majorHAnsi"/>
          <w:szCs w:val="24"/>
        </w:rPr>
        <w:t>, en virtud de que la Federaci</w:t>
      </w:r>
      <w:r w:rsidR="00693BE8" w:rsidRPr="00830A41">
        <w:rPr>
          <w:rFonts w:asciiTheme="majorHAnsi" w:hAnsiTheme="majorHAnsi" w:cstheme="majorHAnsi"/>
          <w:szCs w:val="24"/>
        </w:rPr>
        <w:t xml:space="preserve">ón no ha dado a conocer </w:t>
      </w:r>
      <w:r w:rsidR="00A51EEC" w:rsidRPr="00830A41">
        <w:rPr>
          <w:rFonts w:asciiTheme="majorHAnsi" w:hAnsiTheme="majorHAnsi" w:cstheme="majorHAnsi"/>
          <w:szCs w:val="24"/>
        </w:rPr>
        <w:t>su Paquete E</w:t>
      </w:r>
      <w:r w:rsidR="005522BF" w:rsidRPr="00830A41">
        <w:rPr>
          <w:rFonts w:asciiTheme="majorHAnsi" w:hAnsiTheme="majorHAnsi" w:cstheme="majorHAnsi"/>
          <w:szCs w:val="24"/>
        </w:rPr>
        <w:t>conómico</w:t>
      </w:r>
      <w:r w:rsidR="00A51EEC" w:rsidRPr="00830A41">
        <w:rPr>
          <w:rFonts w:asciiTheme="majorHAnsi" w:hAnsiTheme="majorHAnsi" w:cstheme="majorHAnsi"/>
          <w:szCs w:val="24"/>
        </w:rPr>
        <w:t xml:space="preserve"> 2019, por lo que estas se ajustarán, una vez aprobado y publicado el Presupuesto de Egresos de la Federación para el ejercicio fiscal 2019, en el Diario Oficial de la Federación.</w:t>
      </w:r>
    </w:p>
    <w:p w14:paraId="465C0878" w14:textId="77777777" w:rsidR="00035A37" w:rsidRPr="00830A41" w:rsidRDefault="00035A37" w:rsidP="00A968BE">
      <w:pPr>
        <w:autoSpaceDE w:val="0"/>
        <w:autoSpaceDN w:val="0"/>
        <w:adjustRightInd w:val="0"/>
        <w:spacing w:line="360" w:lineRule="auto"/>
        <w:ind w:right="-232"/>
        <w:rPr>
          <w:rFonts w:asciiTheme="majorHAnsi" w:hAnsiTheme="majorHAnsi" w:cstheme="majorHAnsi"/>
          <w:b/>
          <w:szCs w:val="24"/>
          <w:lang w:val="es-MX"/>
        </w:rPr>
      </w:pPr>
    </w:p>
    <w:p w14:paraId="583F942D" w14:textId="77777777" w:rsidR="00AC0B61" w:rsidRPr="00830A41" w:rsidRDefault="00AC0B61" w:rsidP="00A968BE">
      <w:pPr>
        <w:autoSpaceDE w:val="0"/>
        <w:autoSpaceDN w:val="0"/>
        <w:adjustRightInd w:val="0"/>
        <w:spacing w:line="360" w:lineRule="auto"/>
        <w:ind w:right="-232"/>
        <w:rPr>
          <w:rFonts w:asciiTheme="majorHAnsi" w:hAnsiTheme="majorHAnsi" w:cstheme="majorHAnsi"/>
          <w:b/>
          <w:szCs w:val="24"/>
          <w:lang w:val="es-MX"/>
        </w:rPr>
      </w:pPr>
    </w:p>
    <w:p w14:paraId="416BA25C" w14:textId="3F31B6C7" w:rsidR="00A968BE" w:rsidRPr="00830A41" w:rsidRDefault="004E1E29" w:rsidP="00A968BE">
      <w:pPr>
        <w:autoSpaceDE w:val="0"/>
        <w:autoSpaceDN w:val="0"/>
        <w:adjustRightInd w:val="0"/>
        <w:spacing w:line="360" w:lineRule="auto"/>
        <w:ind w:right="-232"/>
        <w:rPr>
          <w:rFonts w:asciiTheme="majorHAnsi" w:hAnsiTheme="majorHAnsi" w:cstheme="majorHAnsi"/>
          <w:b/>
          <w:szCs w:val="24"/>
          <w:lang w:val="es-MX"/>
        </w:rPr>
      </w:pPr>
      <w:r w:rsidRPr="00830A41">
        <w:rPr>
          <w:rFonts w:asciiTheme="majorHAnsi" w:hAnsiTheme="majorHAnsi" w:cstheme="majorHAnsi"/>
          <w:b/>
          <w:szCs w:val="24"/>
          <w:lang w:val="es-MX"/>
        </w:rPr>
        <w:t xml:space="preserve">V. </w:t>
      </w:r>
      <w:r w:rsidR="00A968BE" w:rsidRPr="00830A41">
        <w:rPr>
          <w:rFonts w:asciiTheme="majorHAnsi" w:hAnsiTheme="majorHAnsi" w:cstheme="majorHAnsi"/>
          <w:b/>
          <w:szCs w:val="24"/>
          <w:lang w:val="es-MX"/>
        </w:rPr>
        <w:t>RESULTADOS DE LAS FINANZAS PÚBLIC</w:t>
      </w:r>
      <w:r w:rsidRPr="00830A41">
        <w:rPr>
          <w:rFonts w:asciiTheme="majorHAnsi" w:hAnsiTheme="majorHAnsi" w:cstheme="majorHAnsi"/>
          <w:b/>
          <w:szCs w:val="24"/>
          <w:lang w:val="es-MX"/>
        </w:rPr>
        <w:t>AS DE LOS AÑOS 2013</w:t>
      </w:r>
      <w:r w:rsidR="00A968BE" w:rsidRPr="00830A41">
        <w:rPr>
          <w:rFonts w:asciiTheme="majorHAnsi" w:hAnsiTheme="majorHAnsi" w:cstheme="majorHAnsi"/>
          <w:b/>
          <w:szCs w:val="24"/>
          <w:lang w:val="es-MX"/>
        </w:rPr>
        <w:t xml:space="preserve"> AL 201</w:t>
      </w:r>
      <w:r w:rsidRPr="00830A41">
        <w:rPr>
          <w:rFonts w:asciiTheme="majorHAnsi" w:hAnsiTheme="majorHAnsi" w:cstheme="majorHAnsi"/>
          <w:b/>
          <w:szCs w:val="24"/>
          <w:lang w:val="es-MX"/>
        </w:rPr>
        <w:t>7</w:t>
      </w:r>
      <w:r w:rsidR="00A968BE" w:rsidRPr="00830A41">
        <w:rPr>
          <w:rFonts w:asciiTheme="majorHAnsi" w:hAnsiTheme="majorHAnsi" w:cstheme="majorHAnsi"/>
          <w:b/>
          <w:szCs w:val="24"/>
          <w:lang w:val="es-MX"/>
        </w:rPr>
        <w:t xml:space="preserve"> Y LA ESTIMACIÓN AL </w:t>
      </w:r>
      <w:r w:rsidRPr="00830A41">
        <w:rPr>
          <w:rFonts w:asciiTheme="majorHAnsi" w:hAnsiTheme="majorHAnsi" w:cstheme="majorHAnsi"/>
          <w:b/>
          <w:szCs w:val="24"/>
          <w:lang w:val="es-MX"/>
        </w:rPr>
        <w:t>CIERRE DEL EJERCICIO FISCAL 2018</w:t>
      </w:r>
      <w:r w:rsidR="00A968BE" w:rsidRPr="00830A41">
        <w:rPr>
          <w:rFonts w:asciiTheme="majorHAnsi" w:hAnsiTheme="majorHAnsi" w:cstheme="majorHAnsi"/>
          <w:b/>
          <w:szCs w:val="24"/>
          <w:lang w:val="es-MX"/>
        </w:rPr>
        <w:t>.</w:t>
      </w:r>
    </w:p>
    <w:p w14:paraId="3B46B275" w14:textId="77777777" w:rsidR="00A968BE" w:rsidRPr="00830A41" w:rsidRDefault="00A968BE" w:rsidP="00A968BE">
      <w:pPr>
        <w:autoSpaceDE w:val="0"/>
        <w:autoSpaceDN w:val="0"/>
        <w:adjustRightInd w:val="0"/>
        <w:spacing w:line="360" w:lineRule="auto"/>
        <w:ind w:right="-232"/>
        <w:rPr>
          <w:rFonts w:asciiTheme="majorHAnsi" w:hAnsiTheme="majorHAnsi" w:cstheme="majorHAnsi"/>
          <w:b/>
          <w:szCs w:val="24"/>
          <w:lang w:val="es-MX"/>
        </w:rPr>
      </w:pPr>
    </w:p>
    <w:p w14:paraId="2C6FDE8A" w14:textId="6EA8CD4A" w:rsidR="00ED7F47" w:rsidRPr="00830A41" w:rsidRDefault="00ED7F47" w:rsidP="004C3DB3">
      <w:pPr>
        <w:autoSpaceDE w:val="0"/>
        <w:autoSpaceDN w:val="0"/>
        <w:adjustRightInd w:val="0"/>
        <w:spacing w:line="360" w:lineRule="auto"/>
        <w:ind w:right="-232"/>
        <w:rPr>
          <w:rFonts w:asciiTheme="majorHAnsi" w:hAnsiTheme="majorHAnsi" w:cstheme="majorHAnsi"/>
          <w:szCs w:val="24"/>
        </w:rPr>
      </w:pPr>
      <w:r w:rsidRPr="00830A41">
        <w:rPr>
          <w:rFonts w:asciiTheme="majorHAnsi" w:hAnsiTheme="majorHAnsi" w:cstheme="majorHAnsi"/>
          <w:szCs w:val="24"/>
        </w:rPr>
        <w:t xml:space="preserve">En </w:t>
      </w:r>
      <w:r w:rsidR="00856B5E" w:rsidRPr="00830A41">
        <w:rPr>
          <w:rFonts w:asciiTheme="majorHAnsi" w:hAnsiTheme="majorHAnsi" w:cstheme="majorHAnsi"/>
          <w:szCs w:val="24"/>
        </w:rPr>
        <w:t>razón</w:t>
      </w:r>
      <w:r w:rsidRPr="00830A41">
        <w:rPr>
          <w:rFonts w:asciiTheme="majorHAnsi" w:hAnsiTheme="majorHAnsi" w:cstheme="majorHAnsi"/>
          <w:szCs w:val="24"/>
        </w:rPr>
        <w:t xml:space="preserve"> a lo establecido en el artículo</w:t>
      </w:r>
      <w:r w:rsidR="004C3DB3" w:rsidRPr="00830A41">
        <w:rPr>
          <w:rFonts w:asciiTheme="majorHAnsi" w:hAnsiTheme="majorHAnsi" w:cstheme="majorHAnsi"/>
          <w:szCs w:val="24"/>
        </w:rPr>
        <w:t xml:space="preserve"> 5</w:t>
      </w:r>
      <w:r w:rsidR="009C7CA3" w:rsidRPr="00830A41">
        <w:rPr>
          <w:rFonts w:asciiTheme="majorHAnsi" w:hAnsiTheme="majorHAnsi" w:cstheme="majorHAnsi"/>
          <w:szCs w:val="24"/>
        </w:rPr>
        <w:t>,</w:t>
      </w:r>
      <w:r w:rsidR="004C3DB3" w:rsidRPr="00830A41">
        <w:rPr>
          <w:rFonts w:asciiTheme="majorHAnsi" w:hAnsiTheme="majorHAnsi" w:cstheme="majorHAnsi"/>
          <w:szCs w:val="24"/>
        </w:rPr>
        <w:t xml:space="preserve"> fracción IV de la Ley de Disciplina</w:t>
      </w:r>
      <w:r w:rsidR="004E1E29" w:rsidRPr="00830A41">
        <w:rPr>
          <w:rFonts w:asciiTheme="majorHAnsi" w:hAnsiTheme="majorHAnsi" w:cstheme="majorHAnsi"/>
          <w:szCs w:val="24"/>
        </w:rPr>
        <w:t xml:space="preserve"> Financiera</w:t>
      </w:r>
      <w:r w:rsidR="004C3DB3" w:rsidRPr="00830A41">
        <w:rPr>
          <w:rFonts w:asciiTheme="majorHAnsi" w:hAnsiTheme="majorHAnsi" w:cstheme="majorHAnsi"/>
          <w:szCs w:val="24"/>
        </w:rPr>
        <w:t xml:space="preserve"> de las Entidades </w:t>
      </w:r>
      <w:r w:rsidR="004E1E29" w:rsidRPr="00830A41">
        <w:rPr>
          <w:rFonts w:asciiTheme="majorHAnsi" w:hAnsiTheme="majorHAnsi" w:cstheme="majorHAnsi"/>
          <w:szCs w:val="24"/>
        </w:rPr>
        <w:t xml:space="preserve">Federativas </w:t>
      </w:r>
      <w:r w:rsidR="004C3DB3" w:rsidRPr="00830A41">
        <w:rPr>
          <w:rFonts w:asciiTheme="majorHAnsi" w:hAnsiTheme="majorHAnsi" w:cstheme="majorHAnsi"/>
          <w:szCs w:val="24"/>
        </w:rPr>
        <w:t xml:space="preserve">y los Municipios; así como, </w:t>
      </w:r>
      <w:r w:rsidR="00B01514" w:rsidRPr="00830A41">
        <w:rPr>
          <w:rFonts w:asciiTheme="majorHAnsi" w:hAnsiTheme="majorHAnsi" w:cstheme="majorHAnsi"/>
          <w:szCs w:val="24"/>
        </w:rPr>
        <w:t xml:space="preserve">en el </w:t>
      </w:r>
      <w:r w:rsidR="004C3DB3" w:rsidRPr="00830A41">
        <w:rPr>
          <w:rFonts w:asciiTheme="majorHAnsi" w:hAnsiTheme="majorHAnsi" w:cstheme="majorHAnsi"/>
          <w:szCs w:val="24"/>
        </w:rPr>
        <w:t>artículo</w:t>
      </w:r>
      <w:r w:rsidRPr="00830A41">
        <w:rPr>
          <w:rFonts w:asciiTheme="majorHAnsi" w:hAnsiTheme="majorHAnsi" w:cstheme="majorHAnsi"/>
          <w:szCs w:val="24"/>
        </w:rPr>
        <w:t xml:space="preserve"> </w:t>
      </w:r>
      <w:r w:rsidR="00F54834" w:rsidRPr="00830A41">
        <w:rPr>
          <w:rFonts w:asciiTheme="majorHAnsi" w:hAnsiTheme="majorHAnsi" w:cstheme="majorHAnsi"/>
          <w:szCs w:val="24"/>
        </w:rPr>
        <w:t>13</w:t>
      </w:r>
      <w:r w:rsidR="00B01514" w:rsidRPr="00830A41">
        <w:rPr>
          <w:rFonts w:asciiTheme="majorHAnsi" w:hAnsiTheme="majorHAnsi" w:cstheme="majorHAnsi"/>
          <w:szCs w:val="24"/>
        </w:rPr>
        <w:t>,</w:t>
      </w:r>
      <w:r w:rsidR="00F54834" w:rsidRPr="00830A41">
        <w:rPr>
          <w:rFonts w:asciiTheme="majorHAnsi" w:hAnsiTheme="majorHAnsi" w:cstheme="majorHAnsi"/>
          <w:szCs w:val="24"/>
        </w:rPr>
        <w:t xml:space="preserve"> fracci</w:t>
      </w:r>
      <w:r w:rsidR="00947B3E" w:rsidRPr="00830A41">
        <w:rPr>
          <w:rFonts w:asciiTheme="majorHAnsi" w:hAnsiTheme="majorHAnsi" w:cstheme="majorHAnsi"/>
          <w:szCs w:val="24"/>
        </w:rPr>
        <w:t>ón</w:t>
      </w:r>
      <w:r w:rsidR="00F54834" w:rsidRPr="00830A41">
        <w:rPr>
          <w:rFonts w:asciiTheme="majorHAnsi" w:hAnsiTheme="majorHAnsi" w:cstheme="majorHAnsi"/>
          <w:szCs w:val="24"/>
        </w:rPr>
        <w:t xml:space="preserve"> IV </w:t>
      </w:r>
      <w:r w:rsidRPr="00830A41">
        <w:rPr>
          <w:rFonts w:asciiTheme="majorHAnsi" w:hAnsiTheme="majorHAnsi" w:cstheme="majorHAnsi"/>
          <w:szCs w:val="24"/>
        </w:rPr>
        <w:t>de la Ley de Presupuesto</w:t>
      </w:r>
      <w:r w:rsidR="00B01514" w:rsidRPr="00830A41">
        <w:rPr>
          <w:rFonts w:asciiTheme="majorHAnsi" w:hAnsiTheme="majorHAnsi" w:cstheme="majorHAnsi"/>
          <w:szCs w:val="24"/>
        </w:rPr>
        <w:t xml:space="preserve"> </w:t>
      </w:r>
      <w:r w:rsidRPr="00830A41">
        <w:rPr>
          <w:rFonts w:asciiTheme="majorHAnsi" w:hAnsiTheme="majorHAnsi" w:cstheme="majorHAnsi"/>
          <w:szCs w:val="24"/>
        </w:rPr>
        <w:t>y Responsabilidad Hacendaria del Estado de Tabasco y sus Municipios, se presentan los montos de los ingresos a rubro mayor de los últimos cinco ejercicios fiscales</w:t>
      </w:r>
      <w:r w:rsidR="001F5890" w:rsidRPr="00830A41">
        <w:rPr>
          <w:rFonts w:asciiTheme="majorHAnsi" w:hAnsiTheme="majorHAnsi" w:cstheme="majorHAnsi"/>
          <w:szCs w:val="24"/>
        </w:rPr>
        <w:t>; así como, la estimación al cierre de ingresos del ejercicio 201</w:t>
      </w:r>
      <w:r w:rsidR="004E1E29" w:rsidRPr="00830A41">
        <w:rPr>
          <w:rFonts w:asciiTheme="majorHAnsi" w:hAnsiTheme="majorHAnsi" w:cstheme="majorHAnsi"/>
          <w:szCs w:val="24"/>
        </w:rPr>
        <w:t>8</w:t>
      </w:r>
      <w:r w:rsidRPr="00830A41">
        <w:rPr>
          <w:rFonts w:asciiTheme="majorHAnsi" w:hAnsiTheme="majorHAnsi" w:cstheme="majorHAnsi"/>
          <w:szCs w:val="24"/>
        </w:rPr>
        <w:t>:</w:t>
      </w:r>
      <w:r w:rsidR="00514718" w:rsidRPr="00830A41">
        <w:rPr>
          <w:rFonts w:asciiTheme="majorHAnsi" w:hAnsiTheme="majorHAnsi" w:cstheme="majorHAnsi"/>
          <w:szCs w:val="24"/>
        </w:rPr>
        <w:t xml:space="preserve"> </w:t>
      </w:r>
    </w:p>
    <w:p w14:paraId="3A8ABB70" w14:textId="77777777" w:rsidR="00D65D91" w:rsidRPr="00D65D91" w:rsidRDefault="00D65D91" w:rsidP="004C3DB3">
      <w:pPr>
        <w:autoSpaceDE w:val="0"/>
        <w:autoSpaceDN w:val="0"/>
        <w:adjustRightInd w:val="0"/>
        <w:spacing w:line="360" w:lineRule="auto"/>
        <w:ind w:right="-232"/>
        <w:rPr>
          <w:sz w:val="16"/>
        </w:rPr>
      </w:pPr>
    </w:p>
    <w:p w14:paraId="61516B92" w14:textId="520EE16F" w:rsidR="008E6D68" w:rsidRDefault="0073457C" w:rsidP="008E6D68">
      <w:pPr>
        <w:autoSpaceDE w:val="0"/>
        <w:autoSpaceDN w:val="0"/>
        <w:adjustRightInd w:val="0"/>
        <w:spacing w:line="360" w:lineRule="auto"/>
        <w:ind w:right="-232"/>
        <w:rPr>
          <w:b/>
          <w:sz w:val="14"/>
          <w:szCs w:val="24"/>
        </w:rPr>
      </w:pPr>
      <w:r w:rsidRPr="0073457C">
        <w:rPr>
          <w:noProof/>
          <w:lang w:eastAsia="es-ES"/>
        </w:rPr>
        <w:drawing>
          <wp:inline distT="0" distB="0" distL="0" distR="0" wp14:anchorId="6D8B0804" wp14:editId="1E937662">
            <wp:extent cx="5613400" cy="3580419"/>
            <wp:effectExtent l="0" t="0" r="635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3400" cy="3580419"/>
                    </a:xfrm>
                    <a:prstGeom prst="rect">
                      <a:avLst/>
                    </a:prstGeom>
                    <a:noFill/>
                    <a:ln>
                      <a:noFill/>
                    </a:ln>
                  </pic:spPr>
                </pic:pic>
              </a:graphicData>
            </a:graphic>
          </wp:inline>
        </w:drawing>
      </w:r>
    </w:p>
    <w:p w14:paraId="6C1DB114" w14:textId="0B98ADBD" w:rsidR="002B2C6F" w:rsidRPr="002B2C6F" w:rsidRDefault="002B2C6F" w:rsidP="008E6D68">
      <w:pPr>
        <w:autoSpaceDE w:val="0"/>
        <w:autoSpaceDN w:val="0"/>
        <w:adjustRightInd w:val="0"/>
        <w:ind w:right="-232"/>
        <w:rPr>
          <w:sz w:val="14"/>
          <w:szCs w:val="24"/>
        </w:rPr>
      </w:pPr>
      <w:r w:rsidRPr="002B2C6F">
        <w:rPr>
          <w:b/>
          <w:sz w:val="14"/>
          <w:szCs w:val="24"/>
        </w:rPr>
        <w:t>Fuent</w:t>
      </w:r>
      <w:r w:rsidRPr="002B2C6F">
        <w:rPr>
          <w:sz w:val="14"/>
          <w:szCs w:val="24"/>
        </w:rPr>
        <w:t>e: Secretaría de Planeación y Finanzas.</w:t>
      </w:r>
    </w:p>
    <w:p w14:paraId="4A1F30BF" w14:textId="2691194B" w:rsidR="002B2C6F" w:rsidRPr="002B2C6F" w:rsidRDefault="002B2C6F" w:rsidP="008E6D68">
      <w:pPr>
        <w:autoSpaceDE w:val="0"/>
        <w:autoSpaceDN w:val="0"/>
        <w:adjustRightInd w:val="0"/>
        <w:ind w:right="-232"/>
        <w:rPr>
          <w:szCs w:val="24"/>
        </w:rPr>
      </w:pPr>
      <w:r w:rsidRPr="002B2C6F">
        <w:rPr>
          <w:sz w:val="14"/>
          <w:szCs w:val="24"/>
        </w:rPr>
        <w:t xml:space="preserve">Cifras </w:t>
      </w:r>
      <w:r w:rsidR="00993189">
        <w:rPr>
          <w:sz w:val="14"/>
          <w:szCs w:val="24"/>
        </w:rPr>
        <w:t>de Cuenta Pública</w:t>
      </w:r>
      <w:r w:rsidRPr="002B2C6F">
        <w:rPr>
          <w:sz w:val="14"/>
          <w:szCs w:val="24"/>
        </w:rPr>
        <w:t xml:space="preserve"> 201</w:t>
      </w:r>
      <w:r w:rsidR="00C20DAE">
        <w:rPr>
          <w:sz w:val="14"/>
          <w:szCs w:val="24"/>
        </w:rPr>
        <w:t>3</w:t>
      </w:r>
      <w:r>
        <w:rPr>
          <w:sz w:val="14"/>
          <w:szCs w:val="24"/>
        </w:rPr>
        <w:t>-201</w:t>
      </w:r>
      <w:r w:rsidR="00C20DAE">
        <w:rPr>
          <w:sz w:val="14"/>
          <w:szCs w:val="24"/>
        </w:rPr>
        <w:t>7</w:t>
      </w:r>
      <w:r w:rsidRPr="002B2C6F">
        <w:rPr>
          <w:sz w:val="14"/>
          <w:szCs w:val="24"/>
        </w:rPr>
        <w:t xml:space="preserve"> y cifras preliminares 201</w:t>
      </w:r>
      <w:r w:rsidR="00C20DAE">
        <w:rPr>
          <w:sz w:val="14"/>
          <w:szCs w:val="24"/>
        </w:rPr>
        <w:t>8</w:t>
      </w:r>
      <w:r w:rsidRPr="002B2C6F">
        <w:rPr>
          <w:sz w:val="14"/>
          <w:szCs w:val="24"/>
        </w:rPr>
        <w:t>.</w:t>
      </w:r>
    </w:p>
    <w:p w14:paraId="27A2036B" w14:textId="77777777" w:rsidR="002B2C6F" w:rsidRDefault="002B2C6F" w:rsidP="00564934">
      <w:pPr>
        <w:autoSpaceDE w:val="0"/>
        <w:autoSpaceDN w:val="0"/>
        <w:adjustRightInd w:val="0"/>
        <w:spacing w:line="360" w:lineRule="auto"/>
        <w:ind w:right="-232"/>
        <w:rPr>
          <w:szCs w:val="24"/>
        </w:rPr>
      </w:pPr>
    </w:p>
    <w:p w14:paraId="397F4788" w14:textId="106BE9E8" w:rsidR="00CD53DF" w:rsidRPr="00830A41" w:rsidRDefault="00CD53DF" w:rsidP="00CD53DF">
      <w:pPr>
        <w:autoSpaceDE w:val="0"/>
        <w:autoSpaceDN w:val="0"/>
        <w:adjustRightInd w:val="0"/>
        <w:spacing w:line="360" w:lineRule="auto"/>
        <w:ind w:right="-232"/>
        <w:rPr>
          <w:rFonts w:asciiTheme="majorHAnsi" w:hAnsiTheme="majorHAnsi" w:cstheme="majorHAnsi"/>
          <w:szCs w:val="24"/>
        </w:rPr>
      </w:pPr>
      <w:r w:rsidRPr="00830A41">
        <w:rPr>
          <w:rFonts w:asciiTheme="majorHAnsi" w:hAnsiTheme="majorHAnsi" w:cstheme="majorHAnsi"/>
          <w:b/>
          <w:szCs w:val="24"/>
          <w:lang w:val="es-MX"/>
        </w:rPr>
        <w:t>VI. ESTIMACIÓN DE LOS INGRESOS DEL ESTADO DE TABASCO PARA EL EJERCICIO FISCAL 201</w:t>
      </w:r>
      <w:r w:rsidR="00C20DAE" w:rsidRPr="00830A41">
        <w:rPr>
          <w:rFonts w:asciiTheme="majorHAnsi" w:hAnsiTheme="majorHAnsi" w:cstheme="majorHAnsi"/>
          <w:b/>
          <w:szCs w:val="24"/>
          <w:lang w:val="es-MX"/>
        </w:rPr>
        <w:t>9</w:t>
      </w:r>
      <w:r w:rsidRPr="00830A41">
        <w:rPr>
          <w:rFonts w:asciiTheme="majorHAnsi" w:hAnsiTheme="majorHAnsi" w:cstheme="majorHAnsi"/>
          <w:b/>
          <w:szCs w:val="24"/>
          <w:lang w:val="es-MX"/>
        </w:rPr>
        <w:t>.</w:t>
      </w:r>
    </w:p>
    <w:p w14:paraId="09117A48" w14:textId="77777777" w:rsidR="00CD53DF" w:rsidRPr="00830A41" w:rsidRDefault="00CD53DF" w:rsidP="00947B3E">
      <w:pPr>
        <w:spacing w:line="360" w:lineRule="auto"/>
        <w:ind w:right="-232"/>
        <w:rPr>
          <w:rFonts w:asciiTheme="majorHAnsi" w:hAnsiTheme="majorHAnsi" w:cstheme="majorHAnsi"/>
          <w:b/>
          <w:szCs w:val="24"/>
          <w:lang w:val="es-MX"/>
        </w:rPr>
      </w:pPr>
    </w:p>
    <w:p w14:paraId="13FFF92A" w14:textId="7E20D9B3" w:rsidR="00F92CD4" w:rsidRPr="00830A41" w:rsidRDefault="00F92CD4" w:rsidP="00947B3E">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t xml:space="preserve">La </w:t>
      </w:r>
      <w:r w:rsidR="00CD53DF" w:rsidRPr="00830A41">
        <w:rPr>
          <w:rFonts w:asciiTheme="majorHAnsi" w:hAnsiTheme="majorHAnsi" w:cstheme="majorHAnsi"/>
          <w:szCs w:val="24"/>
          <w:lang w:val="es-MX"/>
        </w:rPr>
        <w:t>Ley de Ingresos</w:t>
      </w:r>
      <w:r w:rsidRPr="00830A41">
        <w:rPr>
          <w:rFonts w:asciiTheme="majorHAnsi" w:hAnsiTheme="majorHAnsi" w:cstheme="majorHAnsi"/>
          <w:szCs w:val="24"/>
          <w:lang w:val="es-MX"/>
        </w:rPr>
        <w:t xml:space="preserve"> del Estado de Tabasco para el ejercicio fiscal 201</w:t>
      </w:r>
      <w:r w:rsidR="00C20DAE" w:rsidRPr="00830A41">
        <w:rPr>
          <w:rFonts w:asciiTheme="majorHAnsi" w:hAnsiTheme="majorHAnsi" w:cstheme="majorHAnsi"/>
          <w:szCs w:val="24"/>
          <w:lang w:val="es-MX"/>
        </w:rPr>
        <w:t>9</w:t>
      </w:r>
      <w:r w:rsidR="00CD53DF" w:rsidRPr="00830A41">
        <w:rPr>
          <w:rFonts w:asciiTheme="majorHAnsi" w:hAnsiTheme="majorHAnsi" w:cstheme="majorHAnsi"/>
          <w:szCs w:val="24"/>
          <w:lang w:val="es-MX"/>
        </w:rPr>
        <w:t xml:space="preserve">, es congruente con los </w:t>
      </w:r>
      <w:r w:rsidR="009E7AFB" w:rsidRPr="00830A41">
        <w:rPr>
          <w:rFonts w:asciiTheme="majorHAnsi" w:hAnsiTheme="majorHAnsi" w:cstheme="majorHAnsi"/>
          <w:szCs w:val="24"/>
          <w:lang w:val="es-MX"/>
        </w:rPr>
        <w:t>P</w:t>
      </w:r>
      <w:r w:rsidR="00C20DAE" w:rsidRPr="00830A41">
        <w:rPr>
          <w:rFonts w:asciiTheme="majorHAnsi" w:hAnsiTheme="majorHAnsi" w:cstheme="majorHAnsi"/>
          <w:szCs w:val="24"/>
          <w:lang w:val="es-MX"/>
        </w:rPr>
        <w:t>re-</w:t>
      </w:r>
      <w:r w:rsidR="009E7AFB" w:rsidRPr="00830A41">
        <w:rPr>
          <w:rFonts w:asciiTheme="majorHAnsi" w:hAnsiTheme="majorHAnsi" w:cstheme="majorHAnsi"/>
          <w:szCs w:val="24"/>
          <w:lang w:val="es-MX"/>
        </w:rPr>
        <w:t>C</w:t>
      </w:r>
      <w:r w:rsidR="00C20DAE" w:rsidRPr="00830A41">
        <w:rPr>
          <w:rFonts w:asciiTheme="majorHAnsi" w:hAnsiTheme="majorHAnsi" w:cstheme="majorHAnsi"/>
          <w:szCs w:val="24"/>
          <w:lang w:val="es-MX"/>
        </w:rPr>
        <w:t>riterios</w:t>
      </w:r>
      <w:r w:rsidR="00CD53DF" w:rsidRPr="00830A41">
        <w:rPr>
          <w:rFonts w:asciiTheme="majorHAnsi" w:hAnsiTheme="majorHAnsi" w:cstheme="majorHAnsi"/>
          <w:szCs w:val="24"/>
          <w:lang w:val="es-MX"/>
        </w:rPr>
        <w:t xml:space="preserve"> de Política Económica</w:t>
      </w:r>
      <w:r w:rsidRPr="00830A41">
        <w:rPr>
          <w:rFonts w:asciiTheme="majorHAnsi" w:hAnsiTheme="majorHAnsi" w:cstheme="majorHAnsi"/>
          <w:szCs w:val="24"/>
          <w:lang w:val="es-MX"/>
        </w:rPr>
        <w:t xml:space="preserve">, y con las disposiciones que emanan de la Ley de Disciplina Financiera de las Entidades Federativas y los Municipios, Ley General de Contabilidad Gubernamental; así como, Ley de Presupuesto y Responsabilidad Hacendaria del Estado de Tabasco y sus Municipios. </w:t>
      </w:r>
    </w:p>
    <w:p w14:paraId="4A5C100A" w14:textId="77777777" w:rsidR="00AC0B61" w:rsidRPr="00830A41" w:rsidRDefault="00AC0B61" w:rsidP="007F1226">
      <w:pPr>
        <w:autoSpaceDE w:val="0"/>
        <w:autoSpaceDN w:val="0"/>
        <w:adjustRightInd w:val="0"/>
        <w:spacing w:line="360" w:lineRule="auto"/>
        <w:ind w:right="-232"/>
        <w:rPr>
          <w:rFonts w:asciiTheme="majorHAnsi" w:hAnsiTheme="majorHAnsi" w:cstheme="majorHAnsi"/>
          <w:b/>
          <w:szCs w:val="24"/>
        </w:rPr>
      </w:pPr>
    </w:p>
    <w:p w14:paraId="71F846E8" w14:textId="664E63F8" w:rsidR="007F1226" w:rsidRPr="00830A41" w:rsidRDefault="007F1226" w:rsidP="007F1226">
      <w:pPr>
        <w:autoSpaceDE w:val="0"/>
        <w:autoSpaceDN w:val="0"/>
        <w:adjustRightInd w:val="0"/>
        <w:spacing w:line="360" w:lineRule="auto"/>
        <w:ind w:right="-232"/>
        <w:rPr>
          <w:rFonts w:asciiTheme="majorHAnsi" w:hAnsiTheme="majorHAnsi" w:cstheme="majorHAnsi"/>
          <w:b/>
          <w:szCs w:val="24"/>
        </w:rPr>
      </w:pPr>
      <w:r w:rsidRPr="00830A41">
        <w:rPr>
          <w:rFonts w:asciiTheme="majorHAnsi" w:hAnsiTheme="majorHAnsi" w:cstheme="majorHAnsi"/>
          <w:b/>
          <w:szCs w:val="24"/>
        </w:rPr>
        <w:t>Modificaciones al Clasificador por Rubro de Ingresos</w:t>
      </w:r>
      <w:r w:rsidR="005D0257" w:rsidRPr="00830A41">
        <w:rPr>
          <w:rFonts w:asciiTheme="majorHAnsi" w:hAnsiTheme="majorHAnsi" w:cstheme="majorHAnsi"/>
          <w:b/>
          <w:szCs w:val="24"/>
        </w:rPr>
        <w:t xml:space="preserve"> (CRI)</w:t>
      </w:r>
    </w:p>
    <w:p w14:paraId="7C746D30" w14:textId="77777777" w:rsidR="00C00CB8" w:rsidRPr="00830A41" w:rsidRDefault="00C00CB8" w:rsidP="007F1226">
      <w:pPr>
        <w:spacing w:line="360" w:lineRule="auto"/>
        <w:rPr>
          <w:rFonts w:asciiTheme="majorHAnsi" w:hAnsiTheme="majorHAnsi" w:cstheme="majorHAnsi"/>
          <w:sz w:val="22"/>
          <w:szCs w:val="24"/>
        </w:rPr>
      </w:pPr>
    </w:p>
    <w:p w14:paraId="5CC521D9" w14:textId="44E97BEB" w:rsidR="007F1226" w:rsidRPr="00830A41" w:rsidRDefault="007F1226" w:rsidP="007F1226">
      <w:pPr>
        <w:spacing w:line="360" w:lineRule="auto"/>
        <w:rPr>
          <w:rFonts w:asciiTheme="majorHAnsi" w:hAnsiTheme="majorHAnsi" w:cstheme="majorHAnsi"/>
          <w:szCs w:val="24"/>
        </w:rPr>
      </w:pPr>
      <w:r w:rsidRPr="00830A41">
        <w:rPr>
          <w:rFonts w:asciiTheme="majorHAnsi" w:hAnsiTheme="majorHAnsi" w:cstheme="majorHAnsi"/>
          <w:szCs w:val="24"/>
        </w:rPr>
        <w:t xml:space="preserve">La presente Ley, se </w:t>
      </w:r>
      <w:r w:rsidR="009E7AFB" w:rsidRPr="00830A41">
        <w:rPr>
          <w:rFonts w:asciiTheme="majorHAnsi" w:hAnsiTheme="majorHAnsi" w:cstheme="majorHAnsi"/>
          <w:szCs w:val="24"/>
        </w:rPr>
        <w:t>elabora en base a</w:t>
      </w:r>
      <w:r w:rsidRPr="00830A41">
        <w:rPr>
          <w:rFonts w:asciiTheme="majorHAnsi" w:hAnsiTheme="majorHAnsi" w:cstheme="majorHAnsi"/>
          <w:szCs w:val="24"/>
        </w:rPr>
        <w:t xml:space="preserve"> la estructura del Clasificador por Rubro de Ingresos (CRI), reformado por el Consejo Nacional de Armonización Contable (CONAC) publicado en el Diario Oficial de la Federación el 11 de junio del 2018, </w:t>
      </w:r>
      <w:r w:rsidR="00C00CB8" w:rsidRPr="00830A41">
        <w:rPr>
          <w:rFonts w:asciiTheme="majorHAnsi" w:hAnsiTheme="majorHAnsi" w:cstheme="majorHAnsi"/>
          <w:szCs w:val="24"/>
        </w:rPr>
        <w:t xml:space="preserve">destacando </w:t>
      </w:r>
      <w:r w:rsidRPr="00830A41">
        <w:rPr>
          <w:rFonts w:asciiTheme="majorHAnsi" w:hAnsiTheme="majorHAnsi" w:cstheme="majorHAnsi"/>
          <w:szCs w:val="24"/>
        </w:rPr>
        <w:t xml:space="preserve">las siguientes: </w:t>
      </w:r>
    </w:p>
    <w:p w14:paraId="11B06D82" w14:textId="77777777" w:rsidR="007F1226" w:rsidRPr="00830A41" w:rsidRDefault="007F1226" w:rsidP="007F1226">
      <w:pPr>
        <w:rPr>
          <w:rFonts w:asciiTheme="majorHAnsi" w:hAnsiTheme="majorHAnsi" w:cstheme="majorHAnsi"/>
          <w:b/>
          <w:sz w:val="12"/>
        </w:rPr>
      </w:pPr>
    </w:p>
    <w:p w14:paraId="33C4F4E6" w14:textId="383D2C86" w:rsidR="007F1226" w:rsidRPr="00830A41" w:rsidRDefault="007F1226" w:rsidP="007F1226">
      <w:pPr>
        <w:spacing w:line="360" w:lineRule="auto"/>
        <w:rPr>
          <w:rFonts w:asciiTheme="majorHAnsi" w:hAnsiTheme="majorHAnsi" w:cstheme="majorHAnsi"/>
          <w:szCs w:val="24"/>
        </w:rPr>
      </w:pPr>
      <w:r w:rsidRPr="00830A41">
        <w:rPr>
          <w:rFonts w:asciiTheme="majorHAnsi" w:hAnsiTheme="majorHAnsi" w:cstheme="majorHAnsi"/>
          <w:szCs w:val="24"/>
        </w:rPr>
        <w:t xml:space="preserve">En el rubro 5. Productos, la cuenta denominada 5.1 Productos de Tipo Corriente, se modificó con el nombre 5.1 Productos; de igual manera se modifica el concepto de Productos, eliminando de él “uso, aprovechamiento o enajenación de bienes del dominio privado”; los cuales pasaron a formar parte </w:t>
      </w:r>
      <w:r w:rsidR="009E7AFB" w:rsidRPr="00830A41">
        <w:rPr>
          <w:rFonts w:asciiTheme="majorHAnsi" w:hAnsiTheme="majorHAnsi" w:cstheme="majorHAnsi"/>
          <w:szCs w:val="24"/>
        </w:rPr>
        <w:t>d</w:t>
      </w:r>
      <w:r w:rsidRPr="00830A41">
        <w:rPr>
          <w:rFonts w:asciiTheme="majorHAnsi" w:hAnsiTheme="majorHAnsi" w:cstheme="majorHAnsi"/>
          <w:szCs w:val="24"/>
        </w:rPr>
        <w:t>el rubro de Aprovechamientos:</w:t>
      </w:r>
    </w:p>
    <w:p w14:paraId="25F3F638" w14:textId="1DE1DF95" w:rsidR="007F1226" w:rsidRDefault="00EC4EA1" w:rsidP="007F1226">
      <w:pPr>
        <w:pStyle w:val="Default"/>
        <w:ind w:left="720"/>
        <w:jc w:val="both"/>
        <w:rPr>
          <w:color w:val="auto"/>
          <w:sz w:val="22"/>
          <w:szCs w:val="22"/>
          <w:lang w:eastAsia="es-MX"/>
        </w:rPr>
      </w:pPr>
      <w:r w:rsidRPr="0082363D">
        <w:rPr>
          <w:noProof/>
        </w:rPr>
        <w:drawing>
          <wp:anchor distT="0" distB="0" distL="114300" distR="114300" simplePos="0" relativeHeight="251658240" behindDoc="0" locked="0" layoutInCell="1" allowOverlap="1" wp14:anchorId="13DD4092" wp14:editId="496C275C">
            <wp:simplePos x="0" y="0"/>
            <wp:positionH relativeFrom="column">
              <wp:posOffset>37465</wp:posOffset>
            </wp:positionH>
            <wp:positionV relativeFrom="paragraph">
              <wp:posOffset>178435</wp:posOffset>
            </wp:positionV>
            <wp:extent cx="5605780" cy="588010"/>
            <wp:effectExtent l="0" t="0" r="0" b="254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578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7AE7E" w14:textId="77777777" w:rsidR="00EC4EA1" w:rsidRDefault="00EC4EA1" w:rsidP="007F1226">
      <w:pPr>
        <w:pStyle w:val="Default"/>
        <w:spacing w:line="360" w:lineRule="auto"/>
        <w:jc w:val="both"/>
        <w:rPr>
          <w:rFonts w:ascii="Arial" w:eastAsia="Calibri" w:hAnsi="Arial" w:cs="Arial"/>
          <w:color w:val="auto"/>
          <w:lang w:eastAsia="en-US"/>
        </w:rPr>
      </w:pPr>
    </w:p>
    <w:p w14:paraId="1B3993F1" w14:textId="30F9AD2A" w:rsidR="007F1226" w:rsidRPr="00830A41" w:rsidRDefault="007F1226" w:rsidP="007F1226">
      <w:pPr>
        <w:pStyle w:val="Default"/>
        <w:spacing w:line="360" w:lineRule="auto"/>
        <w:jc w:val="both"/>
        <w:rPr>
          <w:rFonts w:asciiTheme="majorHAnsi" w:eastAsia="Calibri" w:hAnsiTheme="majorHAnsi" w:cstheme="majorHAnsi"/>
          <w:color w:val="auto"/>
          <w:lang w:eastAsia="en-US"/>
        </w:rPr>
      </w:pPr>
      <w:r w:rsidRPr="00830A41">
        <w:rPr>
          <w:rFonts w:asciiTheme="majorHAnsi" w:eastAsia="Calibri" w:hAnsiTheme="majorHAnsi" w:cstheme="majorHAnsi"/>
          <w:color w:val="auto"/>
          <w:lang w:eastAsia="en-US"/>
        </w:rPr>
        <w:t>En el rubro 6. Aprovechamientos, la cuenta denominada 6.1 Aprovechamientos de Tipo Corriente, se modificó con el nombre 6.1 Aprovechamientos.</w:t>
      </w:r>
    </w:p>
    <w:p w14:paraId="0AED56FA" w14:textId="77777777" w:rsidR="007F1226" w:rsidRPr="00830A41" w:rsidRDefault="007F1226" w:rsidP="007F1226">
      <w:pPr>
        <w:pStyle w:val="Default"/>
        <w:jc w:val="both"/>
        <w:rPr>
          <w:rFonts w:asciiTheme="majorHAnsi" w:hAnsiTheme="majorHAnsi" w:cstheme="majorHAnsi"/>
          <w:color w:val="auto"/>
          <w:szCs w:val="28"/>
          <w:lang w:eastAsia="es-MX"/>
        </w:rPr>
      </w:pPr>
    </w:p>
    <w:p w14:paraId="4E2E60CD" w14:textId="77777777" w:rsidR="007F1226" w:rsidRPr="00830A41" w:rsidRDefault="007F1226" w:rsidP="007F1226">
      <w:pPr>
        <w:pStyle w:val="Default"/>
        <w:spacing w:line="360" w:lineRule="auto"/>
        <w:jc w:val="both"/>
        <w:rPr>
          <w:rFonts w:asciiTheme="majorHAnsi" w:eastAsia="Calibri" w:hAnsiTheme="majorHAnsi" w:cstheme="majorHAnsi"/>
          <w:color w:val="auto"/>
          <w:lang w:eastAsia="en-US"/>
        </w:rPr>
      </w:pPr>
      <w:r w:rsidRPr="00830A41">
        <w:rPr>
          <w:rFonts w:asciiTheme="majorHAnsi" w:eastAsia="Calibri" w:hAnsiTheme="majorHAnsi" w:cstheme="majorHAnsi"/>
          <w:color w:val="auto"/>
          <w:lang w:eastAsia="en-US"/>
        </w:rPr>
        <w:t>Los conceptos de ingresos contenidos en la cuenta 6.1.1 Incentivos Derivados de Colaboración Fiscal, que a su vez está comprendida por las subcuentas: 6.1.1.1 Incentivos reintegrados por la TESOFE y la subcuenta 6.1.1.2 Incentivos por la Recaudación de Ingresos Federales, quedaron comprendidas dentro del rubro de</w:t>
      </w:r>
      <w:r w:rsidRPr="0082363D">
        <w:rPr>
          <w:rFonts w:ascii="Arial" w:eastAsia="Calibri" w:hAnsi="Arial" w:cs="Arial"/>
          <w:color w:val="auto"/>
          <w:lang w:eastAsia="en-US"/>
        </w:rPr>
        <w:t xml:space="preserve"> Participaciones, </w:t>
      </w:r>
      <w:r w:rsidRPr="00830A41">
        <w:rPr>
          <w:rFonts w:asciiTheme="majorHAnsi" w:eastAsia="Calibri" w:hAnsiTheme="majorHAnsi" w:cstheme="majorHAnsi"/>
          <w:color w:val="auto"/>
          <w:lang w:eastAsia="en-US"/>
        </w:rPr>
        <w:lastRenderedPageBreak/>
        <w:t>Aportaciones, Convenios, Incentivos Derivados de la Colaboración Fiscal y Fondos Distintos de Aportaciones, en la cuenta 8.4 Incentivos Derivados de la Colaboración Fiscal.</w:t>
      </w:r>
    </w:p>
    <w:p w14:paraId="64448A36" w14:textId="77777777" w:rsidR="007F1226" w:rsidRPr="00830A41" w:rsidRDefault="007F1226" w:rsidP="007F1226">
      <w:pPr>
        <w:pStyle w:val="Default"/>
        <w:jc w:val="both"/>
        <w:rPr>
          <w:rFonts w:asciiTheme="majorHAnsi" w:hAnsiTheme="majorHAnsi" w:cstheme="majorHAnsi"/>
          <w:sz w:val="28"/>
          <w:szCs w:val="28"/>
        </w:rPr>
      </w:pPr>
    </w:p>
    <w:p w14:paraId="34772F7B" w14:textId="7E65F6D5" w:rsidR="007F1226" w:rsidRPr="00830A41" w:rsidRDefault="007F1226" w:rsidP="007F1226">
      <w:pPr>
        <w:pStyle w:val="Default"/>
        <w:spacing w:line="360" w:lineRule="auto"/>
        <w:jc w:val="both"/>
        <w:rPr>
          <w:rFonts w:asciiTheme="majorHAnsi" w:eastAsia="Calibri" w:hAnsiTheme="majorHAnsi" w:cstheme="majorHAnsi"/>
          <w:color w:val="auto"/>
          <w:lang w:eastAsia="en-US"/>
        </w:rPr>
      </w:pPr>
      <w:r w:rsidRPr="00830A41">
        <w:rPr>
          <w:rFonts w:asciiTheme="majorHAnsi" w:eastAsia="Calibri" w:hAnsiTheme="majorHAnsi" w:cstheme="majorHAnsi"/>
          <w:color w:val="auto"/>
          <w:lang w:eastAsia="en-US"/>
        </w:rPr>
        <w:t>Asimismo, dentro de este rubro, la cuenta denominada 6.2 Aprovechamientos de Capital, se modificó con el nombre 6.2 Aprovechamientos Patrimoniales.</w:t>
      </w:r>
    </w:p>
    <w:p w14:paraId="58D9E7D8" w14:textId="77777777" w:rsidR="007F1226" w:rsidRPr="00830A41" w:rsidRDefault="007F1226" w:rsidP="007F1226">
      <w:pPr>
        <w:pStyle w:val="Default"/>
        <w:spacing w:line="360" w:lineRule="auto"/>
        <w:jc w:val="both"/>
        <w:rPr>
          <w:rFonts w:asciiTheme="majorHAnsi" w:eastAsia="Calibri" w:hAnsiTheme="majorHAnsi" w:cstheme="majorHAnsi"/>
          <w:color w:val="auto"/>
          <w:lang w:eastAsia="en-US"/>
        </w:rPr>
      </w:pPr>
      <w:r w:rsidRPr="00830A41">
        <w:rPr>
          <w:rFonts w:asciiTheme="majorHAnsi" w:eastAsia="Calibri" w:hAnsiTheme="majorHAnsi" w:cstheme="majorHAnsi"/>
          <w:color w:val="auto"/>
          <w:lang w:eastAsia="en-US"/>
        </w:rPr>
        <w:t>De igual manera se incorpora la cuenta 6.3 Accesorios de Aprovechamientos, en donde quedarían comprendidos los conceptos de ingresos que actualmente se contabilizan dentro de la cuenta 6.1 Aprovechamientos de Tipo Corriente, subcuenta 6.1.8 Accesorios de Aprovechamientos.</w:t>
      </w:r>
    </w:p>
    <w:p w14:paraId="3AA030B8" w14:textId="77777777" w:rsidR="007F1226" w:rsidRDefault="007F1226" w:rsidP="007F1226">
      <w:pPr>
        <w:rPr>
          <w:sz w:val="28"/>
          <w:szCs w:val="28"/>
        </w:rPr>
      </w:pPr>
      <w:r>
        <w:rPr>
          <w:noProof/>
          <w:lang w:eastAsia="es-ES"/>
        </w:rPr>
        <w:drawing>
          <wp:anchor distT="0" distB="0" distL="114300" distR="114300" simplePos="0" relativeHeight="251659264" behindDoc="1" locked="0" layoutInCell="1" allowOverlap="1" wp14:anchorId="49889EA9" wp14:editId="552ED275">
            <wp:simplePos x="0" y="0"/>
            <wp:positionH relativeFrom="column">
              <wp:posOffset>1270</wp:posOffset>
            </wp:positionH>
            <wp:positionV relativeFrom="paragraph">
              <wp:posOffset>100965</wp:posOffset>
            </wp:positionV>
            <wp:extent cx="5605780" cy="835025"/>
            <wp:effectExtent l="0" t="0" r="0" b="3175"/>
            <wp:wrapTight wrapText="bothSides">
              <wp:wrapPolygon edited="0">
                <wp:start x="16516" y="0"/>
                <wp:lineTo x="0" y="493"/>
                <wp:lineTo x="0" y="21189"/>
                <wp:lineTo x="21507" y="21189"/>
                <wp:lineTo x="21507" y="3449"/>
                <wp:lineTo x="16883" y="0"/>
                <wp:lineTo x="16516"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5780"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C823F" w14:textId="5639C95F" w:rsidR="007F1226" w:rsidRPr="00830A41" w:rsidRDefault="007F1226" w:rsidP="007F1226">
      <w:pPr>
        <w:spacing w:line="360" w:lineRule="auto"/>
        <w:rPr>
          <w:rFonts w:asciiTheme="majorHAnsi" w:hAnsiTheme="majorHAnsi" w:cstheme="majorHAnsi"/>
          <w:szCs w:val="24"/>
        </w:rPr>
      </w:pPr>
      <w:r w:rsidRPr="00830A41">
        <w:rPr>
          <w:rFonts w:asciiTheme="majorHAnsi" w:hAnsiTheme="majorHAnsi" w:cstheme="majorHAnsi"/>
          <w:szCs w:val="24"/>
        </w:rPr>
        <w:t xml:space="preserve">Dentro del rubro 8 que incluye Participaciones, Aportaciones y Convenios, </w:t>
      </w:r>
      <w:r w:rsidR="009E7AFB" w:rsidRPr="00830A41">
        <w:rPr>
          <w:rFonts w:asciiTheme="majorHAnsi" w:hAnsiTheme="majorHAnsi" w:cstheme="majorHAnsi"/>
          <w:szCs w:val="24"/>
        </w:rPr>
        <w:t>se modificó el</w:t>
      </w:r>
      <w:r w:rsidRPr="00830A41">
        <w:rPr>
          <w:rFonts w:asciiTheme="majorHAnsi" w:hAnsiTheme="majorHAnsi" w:cstheme="majorHAnsi"/>
          <w:szCs w:val="24"/>
        </w:rPr>
        <w:t xml:space="preserve"> nombre a 8. Participaciones, Aportaciones, Convenios, Incentivos Derivados de la Colaboración Fiscal y Fondos Distintos de Aportaciones, donde se adicionaron los rubros 8.4 y 8.5 Incentivos Derivados de la Colaboración Fiscal y los Fondos Distintos de Aportaciones, respectivamente.</w:t>
      </w:r>
    </w:p>
    <w:p w14:paraId="6BBD7164" w14:textId="77777777" w:rsidR="007F1226" w:rsidRPr="005D0257" w:rsidRDefault="007F1226" w:rsidP="007F1226">
      <w:pPr>
        <w:spacing w:line="360" w:lineRule="auto"/>
        <w:rPr>
          <w:sz w:val="22"/>
          <w:szCs w:val="24"/>
        </w:rPr>
      </w:pPr>
    </w:p>
    <w:p w14:paraId="5DB4069B" w14:textId="21A1CF24" w:rsidR="007F1226" w:rsidRPr="0082363D" w:rsidRDefault="005D0257" w:rsidP="007F1226">
      <w:pPr>
        <w:spacing w:line="360" w:lineRule="auto"/>
        <w:rPr>
          <w:szCs w:val="24"/>
        </w:rPr>
      </w:pPr>
      <w:r w:rsidRPr="00830A41">
        <w:rPr>
          <w:rFonts w:asciiTheme="majorHAnsi" w:hAnsiTheme="majorHAnsi" w:cstheme="majorHAnsi"/>
          <w:noProof/>
          <w:szCs w:val="24"/>
          <w:lang w:eastAsia="es-ES"/>
        </w:rPr>
        <w:drawing>
          <wp:anchor distT="0" distB="0" distL="114300" distR="114300" simplePos="0" relativeHeight="251654144" behindDoc="0" locked="0" layoutInCell="1" allowOverlap="1" wp14:anchorId="1CAC008F" wp14:editId="004CAAC6">
            <wp:simplePos x="0" y="0"/>
            <wp:positionH relativeFrom="column">
              <wp:posOffset>-1270</wp:posOffset>
            </wp:positionH>
            <wp:positionV relativeFrom="paragraph">
              <wp:posOffset>892810</wp:posOffset>
            </wp:positionV>
            <wp:extent cx="5605780" cy="1376045"/>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5780" cy="1376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226" w:rsidRPr="00830A41">
        <w:rPr>
          <w:rFonts w:asciiTheme="majorHAnsi" w:hAnsiTheme="majorHAnsi" w:cstheme="majorHAnsi"/>
          <w:szCs w:val="24"/>
        </w:rPr>
        <w:t>Los Incentivos Derivados de la Colaboración Fiscal incluyen los Incentivos Reintegrados por la TESOFE y los Ingresos Federales Coordinados, los cuales se encontraban en el rubro 6. Aprovechamientos</w:t>
      </w:r>
      <w:r w:rsidR="00554CE3">
        <w:rPr>
          <w:szCs w:val="24"/>
        </w:rPr>
        <w:t>.</w:t>
      </w:r>
    </w:p>
    <w:p w14:paraId="42A4FF57" w14:textId="15E58812" w:rsidR="007F1226" w:rsidRDefault="007F1226" w:rsidP="007F1226">
      <w:pPr>
        <w:rPr>
          <w:rFonts w:eastAsia="Times New Roman"/>
          <w:sz w:val="28"/>
          <w:szCs w:val="28"/>
          <w:lang w:eastAsia="es-MX"/>
        </w:rPr>
      </w:pPr>
    </w:p>
    <w:p w14:paraId="4EE4768F" w14:textId="0E041D45" w:rsidR="007F1226" w:rsidRPr="00830A41" w:rsidRDefault="007F1226" w:rsidP="007F1226">
      <w:pPr>
        <w:spacing w:line="360" w:lineRule="auto"/>
        <w:rPr>
          <w:rFonts w:asciiTheme="majorHAnsi" w:hAnsiTheme="majorHAnsi" w:cstheme="majorHAnsi"/>
          <w:szCs w:val="24"/>
        </w:rPr>
      </w:pPr>
      <w:r w:rsidRPr="00830A41">
        <w:rPr>
          <w:rFonts w:asciiTheme="majorHAnsi" w:hAnsiTheme="majorHAnsi" w:cstheme="majorHAnsi"/>
          <w:szCs w:val="24"/>
        </w:rPr>
        <w:t>Fondos Distintos de Aportaciones</w:t>
      </w:r>
      <w:r w:rsidR="00554CE3" w:rsidRPr="00830A41">
        <w:rPr>
          <w:rFonts w:asciiTheme="majorHAnsi" w:hAnsiTheme="majorHAnsi" w:cstheme="majorHAnsi"/>
          <w:szCs w:val="24"/>
        </w:rPr>
        <w:t>, i</w:t>
      </w:r>
      <w:r w:rsidRPr="00830A41">
        <w:rPr>
          <w:rFonts w:asciiTheme="majorHAnsi" w:hAnsiTheme="majorHAnsi" w:cstheme="majorHAnsi"/>
          <w:szCs w:val="24"/>
        </w:rPr>
        <w:t xml:space="preserve">ncluye el Fondo para Entidades Federativas y Municipios Productores de Hidrocarburos, el cual se encontraba clasificado dentro del Rubro </w:t>
      </w:r>
      <w:r w:rsidR="00D61C79" w:rsidRPr="00830A41">
        <w:rPr>
          <w:rFonts w:asciiTheme="majorHAnsi" w:hAnsiTheme="majorHAnsi" w:cstheme="majorHAnsi"/>
          <w:szCs w:val="24"/>
        </w:rPr>
        <w:t>9. Transferencias</w:t>
      </w:r>
      <w:r w:rsidRPr="00830A41">
        <w:rPr>
          <w:rFonts w:asciiTheme="majorHAnsi" w:hAnsiTheme="majorHAnsi" w:cstheme="majorHAnsi"/>
          <w:szCs w:val="24"/>
        </w:rPr>
        <w:t>, Asignaciones, Subsidios y Otras Ayudas.</w:t>
      </w:r>
    </w:p>
    <w:p w14:paraId="2DA53081" w14:textId="4EE39065" w:rsidR="007F1226" w:rsidRDefault="00554CE3" w:rsidP="007F1226">
      <w:pPr>
        <w:rPr>
          <w:rFonts w:eastAsia="Times New Roman"/>
          <w:sz w:val="28"/>
          <w:szCs w:val="28"/>
          <w:lang w:eastAsia="es-MX"/>
        </w:rPr>
      </w:pPr>
      <w:r w:rsidRPr="0082363D">
        <w:rPr>
          <w:noProof/>
          <w:szCs w:val="24"/>
          <w:lang w:eastAsia="es-ES"/>
        </w:rPr>
        <w:lastRenderedPageBreak/>
        <w:drawing>
          <wp:anchor distT="0" distB="0" distL="114300" distR="114300" simplePos="0" relativeHeight="251655168" behindDoc="0" locked="0" layoutInCell="1" allowOverlap="1" wp14:anchorId="08918BF6" wp14:editId="1840205C">
            <wp:simplePos x="0" y="0"/>
            <wp:positionH relativeFrom="column">
              <wp:posOffset>-67310</wp:posOffset>
            </wp:positionH>
            <wp:positionV relativeFrom="paragraph">
              <wp:posOffset>211455</wp:posOffset>
            </wp:positionV>
            <wp:extent cx="5605780" cy="1120775"/>
            <wp:effectExtent l="0" t="0" r="0" b="317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5780" cy="1120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29590" w14:textId="57097F85" w:rsidR="007F1226" w:rsidRPr="00830A41" w:rsidRDefault="007F1226" w:rsidP="007F1226">
      <w:pPr>
        <w:spacing w:line="360" w:lineRule="auto"/>
        <w:rPr>
          <w:rFonts w:asciiTheme="majorHAnsi" w:hAnsiTheme="majorHAnsi" w:cstheme="majorHAnsi"/>
          <w:szCs w:val="24"/>
        </w:rPr>
      </w:pPr>
      <w:r w:rsidRPr="00830A41">
        <w:rPr>
          <w:rFonts w:asciiTheme="majorHAnsi" w:hAnsiTheme="majorHAnsi" w:cstheme="majorHAnsi"/>
          <w:szCs w:val="24"/>
        </w:rPr>
        <w:t>El rubro de Convenios, cambian su clasificación a tres grandes rubros 8.3.1, 8.3.2 y 8.3.3, tal y como se muestra a continuación:</w:t>
      </w:r>
    </w:p>
    <w:p w14:paraId="567080D7" w14:textId="226DF114" w:rsidR="007F1226" w:rsidRPr="00BD3AB8" w:rsidRDefault="00DA1128" w:rsidP="007F1226">
      <w:pPr>
        <w:rPr>
          <w:rFonts w:eastAsia="Times New Roman"/>
          <w:sz w:val="28"/>
          <w:szCs w:val="28"/>
          <w:lang w:eastAsia="es-MX"/>
        </w:rPr>
      </w:pPr>
      <w:r w:rsidRPr="0082363D">
        <w:rPr>
          <w:noProof/>
          <w:szCs w:val="24"/>
          <w:lang w:eastAsia="es-ES"/>
        </w:rPr>
        <w:drawing>
          <wp:anchor distT="0" distB="0" distL="114300" distR="114300" simplePos="0" relativeHeight="251661312" behindDoc="0" locked="0" layoutInCell="1" allowOverlap="1" wp14:anchorId="3942F0DA" wp14:editId="6F262643">
            <wp:simplePos x="0" y="0"/>
            <wp:positionH relativeFrom="column">
              <wp:posOffset>-70485</wp:posOffset>
            </wp:positionH>
            <wp:positionV relativeFrom="paragraph">
              <wp:posOffset>147320</wp:posOffset>
            </wp:positionV>
            <wp:extent cx="5605780" cy="970280"/>
            <wp:effectExtent l="0" t="0" r="0" b="127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5780"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B958B" w14:textId="6BCD68FE" w:rsidR="007F1226" w:rsidRPr="00830A41" w:rsidRDefault="007F1226" w:rsidP="007F1226">
      <w:pPr>
        <w:spacing w:line="360" w:lineRule="auto"/>
        <w:rPr>
          <w:rFonts w:asciiTheme="majorHAnsi" w:hAnsiTheme="majorHAnsi" w:cstheme="majorHAnsi"/>
          <w:szCs w:val="24"/>
        </w:rPr>
      </w:pPr>
      <w:r w:rsidRPr="00830A41">
        <w:rPr>
          <w:rFonts w:asciiTheme="majorHAnsi" w:hAnsiTheme="majorHAnsi" w:cstheme="majorHAnsi"/>
          <w:szCs w:val="24"/>
        </w:rPr>
        <w:t>De igual manera dentro del rubro 9. Transferencias, Asignaciones, Subsidios y Otras Ayudas se modificó el nombre a 9. Transferencias, Asignaciones, Subsidios y Subvenciones, y Pensiones y Jubilaciones, en el cual se derogó la clasificación 9.2, 9.4 y 9.6 y se adicionó la clasificación 9.7 Transferencias del Fondo Mexicano del Petróleo para la Estabilización y Desarrollo, donde se registrarán los ingresos que se reciban por las transferencias de dicho fondo.</w:t>
      </w:r>
    </w:p>
    <w:p w14:paraId="1874BC62" w14:textId="77777777" w:rsidR="007F1226" w:rsidRDefault="007F1226" w:rsidP="007F1226">
      <w:pPr>
        <w:rPr>
          <w:b/>
          <w:sz w:val="28"/>
          <w:szCs w:val="28"/>
        </w:rPr>
      </w:pPr>
      <w:r w:rsidRPr="0082363D">
        <w:rPr>
          <w:noProof/>
          <w:szCs w:val="24"/>
          <w:lang w:eastAsia="es-ES"/>
        </w:rPr>
        <w:drawing>
          <wp:anchor distT="0" distB="0" distL="114300" distR="114300" simplePos="0" relativeHeight="251657216" behindDoc="0" locked="0" layoutInCell="1" allowOverlap="1" wp14:anchorId="297C1554" wp14:editId="2596D36E">
            <wp:simplePos x="0" y="0"/>
            <wp:positionH relativeFrom="column">
              <wp:posOffset>-65405</wp:posOffset>
            </wp:positionH>
            <wp:positionV relativeFrom="paragraph">
              <wp:posOffset>164465</wp:posOffset>
            </wp:positionV>
            <wp:extent cx="5598160" cy="1677035"/>
            <wp:effectExtent l="0" t="0" r="254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8160" cy="167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8558E" w14:textId="06E8092A" w:rsidR="007F1226" w:rsidRPr="00830A41" w:rsidRDefault="007F1226" w:rsidP="007F1226">
      <w:pPr>
        <w:spacing w:line="360" w:lineRule="auto"/>
        <w:rPr>
          <w:rFonts w:asciiTheme="majorHAnsi" w:hAnsiTheme="majorHAnsi" w:cstheme="majorHAnsi"/>
          <w:szCs w:val="24"/>
        </w:rPr>
      </w:pPr>
      <w:r w:rsidRPr="00830A41">
        <w:rPr>
          <w:rFonts w:asciiTheme="majorHAnsi" w:hAnsiTheme="majorHAnsi" w:cstheme="majorHAnsi"/>
          <w:szCs w:val="24"/>
        </w:rPr>
        <w:t xml:space="preserve">En los Ingresos Derivados de Financiamiento, se adicionaron los clasificadores 01 Endeudamiento Interno, 02 Endeudamiento Externo y 03 Financiamiento Interno. </w:t>
      </w:r>
    </w:p>
    <w:p w14:paraId="7F26F04A" w14:textId="77777777" w:rsidR="007F1226" w:rsidRPr="0082363D" w:rsidRDefault="007F1226" w:rsidP="007F1226">
      <w:pPr>
        <w:autoSpaceDE w:val="0"/>
        <w:autoSpaceDN w:val="0"/>
        <w:adjustRightInd w:val="0"/>
        <w:spacing w:line="360" w:lineRule="auto"/>
        <w:ind w:right="-232"/>
        <w:rPr>
          <w:b/>
          <w:szCs w:val="24"/>
        </w:rPr>
      </w:pPr>
      <w:r w:rsidRPr="0082363D">
        <w:rPr>
          <w:noProof/>
          <w:szCs w:val="24"/>
          <w:lang w:eastAsia="es-ES"/>
        </w:rPr>
        <w:lastRenderedPageBreak/>
        <w:drawing>
          <wp:anchor distT="0" distB="0" distL="114300" distR="114300" simplePos="0" relativeHeight="251660288" behindDoc="0" locked="0" layoutInCell="1" allowOverlap="1" wp14:anchorId="0F3C8BE5" wp14:editId="2639EF04">
            <wp:simplePos x="0" y="0"/>
            <wp:positionH relativeFrom="column">
              <wp:posOffset>-1905</wp:posOffset>
            </wp:positionH>
            <wp:positionV relativeFrom="paragraph">
              <wp:posOffset>124460</wp:posOffset>
            </wp:positionV>
            <wp:extent cx="5605780" cy="912495"/>
            <wp:effectExtent l="0" t="0" r="0" b="190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578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24E95" w14:textId="485C93FC" w:rsidR="00F92CD4" w:rsidRPr="00830A41" w:rsidRDefault="00F92CD4" w:rsidP="00947B3E">
      <w:pPr>
        <w:spacing w:line="360" w:lineRule="auto"/>
        <w:ind w:right="-232"/>
        <w:rPr>
          <w:rFonts w:asciiTheme="majorHAnsi" w:hAnsiTheme="majorHAnsi" w:cstheme="majorHAnsi"/>
          <w:szCs w:val="24"/>
          <w:lang w:val="es-MX" w:eastAsia="es-MX"/>
        </w:rPr>
      </w:pPr>
      <w:r w:rsidRPr="00830A41">
        <w:rPr>
          <w:rFonts w:asciiTheme="majorHAnsi" w:hAnsiTheme="majorHAnsi" w:cstheme="majorHAnsi"/>
          <w:szCs w:val="24"/>
          <w:lang w:val="es-MX" w:eastAsia="es-MX"/>
        </w:rPr>
        <w:t xml:space="preserve">A continuación se detallan los </w:t>
      </w:r>
      <w:r w:rsidR="003E5446" w:rsidRPr="00830A41">
        <w:rPr>
          <w:rFonts w:asciiTheme="majorHAnsi" w:hAnsiTheme="majorHAnsi" w:cstheme="majorHAnsi"/>
          <w:szCs w:val="24"/>
          <w:lang w:val="es-MX" w:eastAsia="es-MX"/>
        </w:rPr>
        <w:t xml:space="preserve">rubros y </w:t>
      </w:r>
      <w:r w:rsidRPr="00830A41">
        <w:rPr>
          <w:rFonts w:asciiTheme="majorHAnsi" w:hAnsiTheme="majorHAnsi" w:cstheme="majorHAnsi"/>
          <w:szCs w:val="24"/>
          <w:lang w:val="es-MX" w:eastAsia="es-MX"/>
        </w:rPr>
        <w:t>conceptos que integran la Ley en cuestión y las acciones de fortalecimiento de ingresos propuestas:</w:t>
      </w:r>
    </w:p>
    <w:p w14:paraId="60A60740" w14:textId="77777777" w:rsidR="00F92CD4" w:rsidRDefault="00F92CD4" w:rsidP="00947B3E">
      <w:pPr>
        <w:spacing w:line="360" w:lineRule="auto"/>
        <w:ind w:right="-232"/>
        <w:rPr>
          <w:szCs w:val="24"/>
          <w:lang w:val="es-MX"/>
        </w:rPr>
      </w:pPr>
    </w:p>
    <w:p w14:paraId="26C2A79F" w14:textId="77777777" w:rsidR="00947B3E" w:rsidRPr="00830A41" w:rsidRDefault="00947B3E" w:rsidP="00947B3E">
      <w:pPr>
        <w:spacing w:line="360" w:lineRule="auto"/>
        <w:ind w:right="-232"/>
        <w:rPr>
          <w:rFonts w:asciiTheme="majorHAnsi" w:hAnsiTheme="majorHAnsi" w:cstheme="majorHAnsi"/>
          <w:b/>
          <w:szCs w:val="24"/>
          <w:lang w:val="es-MX"/>
        </w:rPr>
      </w:pPr>
      <w:r w:rsidRPr="00830A41">
        <w:rPr>
          <w:rFonts w:asciiTheme="majorHAnsi" w:hAnsiTheme="majorHAnsi" w:cstheme="majorHAnsi"/>
          <w:b/>
          <w:szCs w:val="24"/>
          <w:lang w:val="es-MX"/>
        </w:rPr>
        <w:t>Ingresos Estatales</w:t>
      </w:r>
    </w:p>
    <w:p w14:paraId="14A5492B" w14:textId="77777777" w:rsidR="00947B3E" w:rsidRPr="00830A41" w:rsidRDefault="00947B3E" w:rsidP="00947B3E">
      <w:pPr>
        <w:spacing w:line="360" w:lineRule="auto"/>
        <w:ind w:right="-232"/>
        <w:rPr>
          <w:rFonts w:asciiTheme="majorHAnsi" w:hAnsiTheme="majorHAnsi" w:cstheme="majorHAnsi"/>
          <w:b/>
          <w:szCs w:val="24"/>
          <w:lang w:val="es-MX"/>
        </w:rPr>
      </w:pPr>
    </w:p>
    <w:p w14:paraId="23F4B843" w14:textId="73B12C49" w:rsidR="00947B3E" w:rsidRPr="00830A41" w:rsidRDefault="00947B3E" w:rsidP="00947B3E">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t xml:space="preserve">Son recursos provenientes de la recaudación propia del Estado obtenida durante un ejercicio fiscal, por los conceptos comprendidos en la Ley de Hacienda del Estado vigente, cuyo objetivo principal es financiar los servicios y obras públicas que requiere la población; así como, los gastos de operación y administrativos generados </w:t>
      </w:r>
      <w:r w:rsidR="002B2C6F" w:rsidRPr="00830A41">
        <w:rPr>
          <w:rFonts w:asciiTheme="majorHAnsi" w:hAnsiTheme="majorHAnsi" w:cstheme="majorHAnsi"/>
          <w:szCs w:val="24"/>
          <w:lang w:val="es-MX"/>
        </w:rPr>
        <w:t>por las dependencias, órganos desconcentrados, entidades y cualquier otro ente análogo de la Administración Pública Estatal.</w:t>
      </w:r>
    </w:p>
    <w:p w14:paraId="44546E96" w14:textId="77777777" w:rsidR="00F92CD4" w:rsidRPr="00830A41" w:rsidRDefault="00F92CD4" w:rsidP="00947B3E">
      <w:pPr>
        <w:spacing w:line="360" w:lineRule="auto"/>
        <w:ind w:right="-232"/>
        <w:rPr>
          <w:rFonts w:asciiTheme="majorHAnsi" w:hAnsiTheme="majorHAnsi" w:cstheme="majorHAnsi"/>
          <w:szCs w:val="24"/>
          <w:lang w:val="es-MX"/>
        </w:rPr>
      </w:pPr>
    </w:p>
    <w:p w14:paraId="0225BCD8" w14:textId="0D945016" w:rsidR="00947B3E" w:rsidRPr="00830A41" w:rsidRDefault="00947B3E" w:rsidP="00947B3E">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t>Esta recaudación está comprendida por los rubros de: Impuestos, Derechos, Productos y Aprovechamientos, siendo los más representativos los dos primeros del orden; ya que son tomados en consid</w:t>
      </w:r>
      <w:r w:rsidR="00554CE3" w:rsidRPr="00830A41">
        <w:rPr>
          <w:rFonts w:asciiTheme="majorHAnsi" w:hAnsiTheme="majorHAnsi" w:cstheme="majorHAnsi"/>
          <w:szCs w:val="24"/>
          <w:lang w:val="es-MX"/>
        </w:rPr>
        <w:t xml:space="preserve">eración para el cálculo de los coeficientes de las </w:t>
      </w:r>
      <w:r w:rsidR="00B01514" w:rsidRPr="00830A41">
        <w:rPr>
          <w:rFonts w:asciiTheme="majorHAnsi" w:hAnsiTheme="majorHAnsi" w:cstheme="majorHAnsi"/>
          <w:szCs w:val="24"/>
          <w:lang w:val="es-MX"/>
        </w:rPr>
        <w:t>Participaciones F</w:t>
      </w:r>
      <w:r w:rsidR="00554CE3" w:rsidRPr="00830A41">
        <w:rPr>
          <w:rFonts w:asciiTheme="majorHAnsi" w:hAnsiTheme="majorHAnsi" w:cstheme="majorHAnsi"/>
          <w:szCs w:val="24"/>
          <w:lang w:val="es-MX"/>
        </w:rPr>
        <w:t>ederales de la e</w:t>
      </w:r>
      <w:r w:rsidRPr="00830A41">
        <w:rPr>
          <w:rFonts w:asciiTheme="majorHAnsi" w:hAnsiTheme="majorHAnsi" w:cstheme="majorHAnsi"/>
          <w:szCs w:val="24"/>
          <w:lang w:val="es-MX"/>
        </w:rPr>
        <w:t xml:space="preserve">ntidad. </w:t>
      </w:r>
    </w:p>
    <w:p w14:paraId="7CCA4C8F" w14:textId="77777777" w:rsidR="00947B3E" w:rsidRPr="00830A41" w:rsidRDefault="00947B3E" w:rsidP="00947B3E">
      <w:pPr>
        <w:spacing w:line="360" w:lineRule="auto"/>
        <w:ind w:right="-232"/>
        <w:rPr>
          <w:rFonts w:asciiTheme="majorHAnsi" w:hAnsiTheme="majorHAnsi" w:cstheme="majorHAnsi"/>
          <w:szCs w:val="24"/>
          <w:lang w:val="es-MX"/>
        </w:rPr>
      </w:pPr>
    </w:p>
    <w:p w14:paraId="77E7FC97" w14:textId="73F1E540" w:rsidR="00947B3E" w:rsidRPr="00830A41" w:rsidRDefault="00947B3E" w:rsidP="00947B3E">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t>Los</w:t>
      </w:r>
      <w:r w:rsidRPr="00830A41">
        <w:rPr>
          <w:rFonts w:asciiTheme="majorHAnsi" w:hAnsiTheme="majorHAnsi" w:cstheme="majorHAnsi"/>
          <w:b/>
          <w:szCs w:val="24"/>
          <w:lang w:val="es-MX"/>
        </w:rPr>
        <w:t xml:space="preserve"> Impuestos</w:t>
      </w:r>
      <w:r w:rsidRPr="00830A41">
        <w:rPr>
          <w:rFonts w:asciiTheme="majorHAnsi" w:hAnsiTheme="majorHAnsi" w:cstheme="majorHAnsi"/>
          <w:szCs w:val="24"/>
          <w:lang w:val="es-MX"/>
        </w:rPr>
        <w:t xml:space="preserve"> son las contribuciones establecidas en Ley que deben pagar las personas físicas y jurídicas colectivas, que se encuentren en la situación jurídica o de hecho </w:t>
      </w:r>
      <w:r w:rsidR="00220F68" w:rsidRPr="00830A41">
        <w:rPr>
          <w:rFonts w:asciiTheme="majorHAnsi" w:hAnsiTheme="majorHAnsi" w:cstheme="majorHAnsi"/>
          <w:szCs w:val="24"/>
          <w:lang w:val="es-MX"/>
        </w:rPr>
        <w:t>previstos</w:t>
      </w:r>
      <w:r w:rsidRPr="00830A41">
        <w:rPr>
          <w:rFonts w:asciiTheme="majorHAnsi" w:hAnsiTheme="majorHAnsi" w:cstheme="majorHAnsi"/>
          <w:szCs w:val="24"/>
          <w:lang w:val="es-MX"/>
        </w:rPr>
        <w:t xml:space="preserve"> por la misma. El principal concepto de recaudación es: Impuesto sobre Nóminas (ISN); el cual representa el </w:t>
      </w:r>
      <w:r w:rsidRPr="00830A41">
        <w:rPr>
          <w:rFonts w:asciiTheme="majorHAnsi" w:hAnsiTheme="majorHAnsi" w:cstheme="majorHAnsi"/>
          <w:b/>
          <w:szCs w:val="24"/>
          <w:lang w:val="es-MX"/>
        </w:rPr>
        <w:t>8</w:t>
      </w:r>
      <w:r w:rsidR="00220F68" w:rsidRPr="00830A41">
        <w:rPr>
          <w:rFonts w:asciiTheme="majorHAnsi" w:hAnsiTheme="majorHAnsi" w:cstheme="majorHAnsi"/>
          <w:b/>
          <w:szCs w:val="24"/>
          <w:lang w:val="es-MX"/>
        </w:rPr>
        <w:t>9</w:t>
      </w:r>
      <w:r w:rsidRPr="00830A41">
        <w:rPr>
          <w:rFonts w:asciiTheme="majorHAnsi" w:hAnsiTheme="majorHAnsi" w:cstheme="majorHAnsi"/>
          <w:b/>
          <w:szCs w:val="24"/>
          <w:lang w:val="es-MX"/>
        </w:rPr>
        <w:t>.</w:t>
      </w:r>
      <w:r w:rsidR="002C79A7" w:rsidRPr="00830A41">
        <w:rPr>
          <w:rFonts w:asciiTheme="majorHAnsi" w:hAnsiTheme="majorHAnsi" w:cstheme="majorHAnsi"/>
          <w:b/>
          <w:szCs w:val="24"/>
          <w:lang w:val="es-MX"/>
        </w:rPr>
        <w:t>97</w:t>
      </w:r>
      <w:r w:rsidRPr="00830A41">
        <w:rPr>
          <w:rFonts w:asciiTheme="majorHAnsi" w:hAnsiTheme="majorHAnsi" w:cstheme="majorHAnsi"/>
          <w:b/>
          <w:szCs w:val="24"/>
          <w:lang w:val="es-MX"/>
        </w:rPr>
        <w:t xml:space="preserve"> por ciento </w:t>
      </w:r>
      <w:r w:rsidRPr="00830A41">
        <w:rPr>
          <w:rFonts w:asciiTheme="majorHAnsi" w:hAnsiTheme="majorHAnsi" w:cstheme="majorHAnsi"/>
          <w:szCs w:val="24"/>
          <w:lang w:val="es-MX"/>
        </w:rPr>
        <w:t xml:space="preserve">de </w:t>
      </w:r>
      <w:r w:rsidR="002C79A7" w:rsidRPr="00830A41">
        <w:rPr>
          <w:rFonts w:asciiTheme="majorHAnsi" w:hAnsiTheme="majorHAnsi" w:cstheme="majorHAnsi"/>
          <w:szCs w:val="24"/>
          <w:lang w:val="es-MX"/>
        </w:rPr>
        <w:t>este</w:t>
      </w:r>
      <w:r w:rsidRPr="00830A41">
        <w:rPr>
          <w:rFonts w:asciiTheme="majorHAnsi" w:hAnsiTheme="majorHAnsi" w:cstheme="majorHAnsi"/>
          <w:szCs w:val="24"/>
          <w:lang w:val="es-MX"/>
        </w:rPr>
        <w:t xml:space="preserve"> rubro. De manera global, el rubro de impuestos constituye un </w:t>
      </w:r>
      <w:r w:rsidR="002C79A7" w:rsidRPr="00830A41">
        <w:rPr>
          <w:rFonts w:asciiTheme="majorHAnsi" w:hAnsiTheme="majorHAnsi" w:cstheme="majorHAnsi"/>
          <w:b/>
          <w:szCs w:val="24"/>
          <w:lang w:val="es-MX"/>
        </w:rPr>
        <w:t>57</w:t>
      </w:r>
      <w:r w:rsidR="00C44687" w:rsidRPr="00830A41">
        <w:rPr>
          <w:rFonts w:asciiTheme="majorHAnsi" w:hAnsiTheme="majorHAnsi" w:cstheme="majorHAnsi"/>
          <w:b/>
          <w:szCs w:val="24"/>
          <w:lang w:val="es-MX"/>
        </w:rPr>
        <w:t>.</w:t>
      </w:r>
      <w:r w:rsidR="002C79A7" w:rsidRPr="00830A41">
        <w:rPr>
          <w:rFonts w:asciiTheme="majorHAnsi" w:hAnsiTheme="majorHAnsi" w:cstheme="majorHAnsi"/>
          <w:b/>
          <w:szCs w:val="24"/>
          <w:lang w:val="es-MX"/>
        </w:rPr>
        <w:t>9</w:t>
      </w:r>
      <w:r w:rsidR="00586030" w:rsidRPr="00830A41">
        <w:rPr>
          <w:rFonts w:asciiTheme="majorHAnsi" w:hAnsiTheme="majorHAnsi" w:cstheme="majorHAnsi"/>
          <w:b/>
          <w:szCs w:val="24"/>
          <w:lang w:val="es-MX"/>
        </w:rPr>
        <w:t>0</w:t>
      </w:r>
      <w:r w:rsidRPr="00830A41">
        <w:rPr>
          <w:rFonts w:asciiTheme="majorHAnsi" w:hAnsiTheme="majorHAnsi" w:cstheme="majorHAnsi"/>
          <w:b/>
          <w:szCs w:val="24"/>
          <w:lang w:val="es-MX"/>
        </w:rPr>
        <w:t xml:space="preserve"> por ciento</w:t>
      </w:r>
      <w:r w:rsidRPr="00830A41">
        <w:rPr>
          <w:rFonts w:asciiTheme="majorHAnsi" w:hAnsiTheme="majorHAnsi" w:cstheme="majorHAnsi"/>
          <w:szCs w:val="24"/>
          <w:lang w:val="es-MX"/>
        </w:rPr>
        <w:t xml:space="preserve"> del total de ingresos estatales estimados en esta Ley.</w:t>
      </w:r>
    </w:p>
    <w:p w14:paraId="19D21A54" w14:textId="77777777" w:rsidR="00947B3E" w:rsidRPr="00830A41" w:rsidRDefault="00947B3E" w:rsidP="00947B3E">
      <w:pPr>
        <w:spacing w:line="360" w:lineRule="auto"/>
        <w:ind w:right="-232"/>
        <w:rPr>
          <w:rFonts w:asciiTheme="majorHAnsi" w:hAnsiTheme="majorHAnsi" w:cstheme="majorHAnsi"/>
          <w:szCs w:val="24"/>
          <w:lang w:val="es-MX"/>
        </w:rPr>
      </w:pPr>
    </w:p>
    <w:p w14:paraId="2C48CA87" w14:textId="77777777" w:rsidR="00947B3E" w:rsidRPr="00830A41" w:rsidRDefault="00947B3E" w:rsidP="00947B3E">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t xml:space="preserve">A efecto de lograr mejores resultados en la recaudación de impuestos, se continuará realizando programas de fiscalización, vigilancia, depuración de padrones y requerimiento </w:t>
      </w:r>
      <w:r w:rsidRPr="00830A41">
        <w:rPr>
          <w:rFonts w:asciiTheme="majorHAnsi" w:hAnsiTheme="majorHAnsi" w:cstheme="majorHAnsi"/>
          <w:szCs w:val="24"/>
          <w:lang w:val="es-MX"/>
        </w:rPr>
        <w:lastRenderedPageBreak/>
        <w:t xml:space="preserve">de obligaciones a contribuyentes omisos y morosos en los impuestos estatales y/o federales, a los que le compete su cobro al Estado. </w:t>
      </w:r>
    </w:p>
    <w:p w14:paraId="7F8E77DA" w14:textId="77777777" w:rsidR="00947B3E" w:rsidRPr="00830A41" w:rsidRDefault="00947B3E" w:rsidP="00947B3E">
      <w:pPr>
        <w:spacing w:line="360" w:lineRule="auto"/>
        <w:ind w:right="-232"/>
        <w:rPr>
          <w:rFonts w:asciiTheme="majorHAnsi" w:hAnsiTheme="majorHAnsi" w:cstheme="majorHAnsi"/>
          <w:szCs w:val="24"/>
          <w:lang w:val="es-MX"/>
        </w:rPr>
      </w:pPr>
    </w:p>
    <w:p w14:paraId="1798EC18" w14:textId="7D75A35F" w:rsidR="00947B3E" w:rsidRPr="00830A41" w:rsidRDefault="003234FD" w:rsidP="00947B3E">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t>De igual forma, permanecerán las</w:t>
      </w:r>
      <w:r w:rsidR="00947B3E" w:rsidRPr="00830A41">
        <w:rPr>
          <w:rFonts w:asciiTheme="majorHAnsi" w:hAnsiTheme="majorHAnsi" w:cstheme="majorHAnsi"/>
          <w:szCs w:val="24"/>
          <w:lang w:val="es-MX"/>
        </w:rPr>
        <w:t xml:space="preserve"> acciones </w:t>
      </w:r>
      <w:r w:rsidRPr="00830A41">
        <w:rPr>
          <w:rFonts w:asciiTheme="majorHAnsi" w:hAnsiTheme="majorHAnsi" w:cstheme="majorHAnsi"/>
          <w:szCs w:val="24"/>
          <w:lang w:val="es-MX"/>
        </w:rPr>
        <w:t xml:space="preserve">que </w:t>
      </w:r>
      <w:r w:rsidR="00947B3E" w:rsidRPr="00830A41">
        <w:rPr>
          <w:rFonts w:asciiTheme="majorHAnsi" w:hAnsiTheme="majorHAnsi" w:cstheme="majorHAnsi"/>
          <w:szCs w:val="24"/>
          <w:lang w:val="es-MX"/>
        </w:rPr>
        <w:t>coadyuvarán a la obtención de las metas fijadas en los Programas derivados del Convenio de Colaboración Administrativa en Materia Fiscal Federal, firmado con el Servicio de Administración Tributaria (SAT) de fecha 18 de agosto del 2015, publicado en el Diario Oficial de la Federación</w:t>
      </w:r>
      <w:r w:rsidRPr="00830A41">
        <w:rPr>
          <w:rFonts w:asciiTheme="majorHAnsi" w:hAnsiTheme="majorHAnsi" w:cstheme="majorHAnsi"/>
          <w:szCs w:val="24"/>
          <w:lang w:val="es-MX"/>
        </w:rPr>
        <w:t>, tales como: Programa de Control de Obligaciones, Programa de Multas Administrativas Federales no Fiscales, Programa del Régimen de Incorporación Fiscal (RIF)</w:t>
      </w:r>
      <w:r w:rsidR="005D43C3" w:rsidRPr="00830A41">
        <w:rPr>
          <w:rFonts w:asciiTheme="majorHAnsi" w:hAnsiTheme="majorHAnsi" w:cstheme="majorHAnsi"/>
          <w:szCs w:val="24"/>
          <w:lang w:val="es-MX"/>
        </w:rPr>
        <w:t xml:space="preserve"> y Programa Operativo Anual de Auditorías Fiscales Federales</w:t>
      </w:r>
      <w:r w:rsidRPr="00830A41">
        <w:rPr>
          <w:rFonts w:asciiTheme="majorHAnsi" w:hAnsiTheme="majorHAnsi" w:cstheme="majorHAnsi"/>
          <w:szCs w:val="24"/>
          <w:lang w:val="es-MX"/>
        </w:rPr>
        <w:t>, los cuales generan al Estado, incentivos económicos que impactan positivamente los ingresos de la hacienda estatal.</w:t>
      </w:r>
    </w:p>
    <w:p w14:paraId="60A61EF9" w14:textId="77777777" w:rsidR="00947B3E" w:rsidRPr="006533F8" w:rsidRDefault="00947B3E" w:rsidP="00947B3E">
      <w:pPr>
        <w:spacing w:line="360" w:lineRule="auto"/>
        <w:ind w:right="-232"/>
        <w:rPr>
          <w:szCs w:val="24"/>
          <w:lang w:val="es-MX"/>
        </w:rPr>
      </w:pPr>
    </w:p>
    <w:p w14:paraId="5FFF1085" w14:textId="72EB07AE" w:rsidR="00947B3E" w:rsidRPr="00830A41" w:rsidRDefault="00D002EF" w:rsidP="00947B3E">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t>Asimismo</w:t>
      </w:r>
      <w:r w:rsidR="00947B3E" w:rsidRPr="00830A41">
        <w:rPr>
          <w:rFonts w:asciiTheme="majorHAnsi" w:hAnsiTheme="majorHAnsi" w:cstheme="majorHAnsi"/>
          <w:szCs w:val="24"/>
          <w:lang w:val="es-MX"/>
        </w:rPr>
        <w:t xml:space="preserve">, se reforzará la actividad de vigilancia </w:t>
      </w:r>
      <w:r w:rsidR="00B20B20" w:rsidRPr="00830A41">
        <w:rPr>
          <w:rFonts w:asciiTheme="majorHAnsi" w:hAnsiTheme="majorHAnsi" w:cstheme="majorHAnsi"/>
          <w:szCs w:val="24"/>
          <w:lang w:val="es-MX"/>
        </w:rPr>
        <w:t xml:space="preserve">y cobro coactivo </w:t>
      </w:r>
      <w:r w:rsidR="00947B3E" w:rsidRPr="00830A41">
        <w:rPr>
          <w:rFonts w:asciiTheme="majorHAnsi" w:hAnsiTheme="majorHAnsi" w:cstheme="majorHAnsi"/>
          <w:szCs w:val="24"/>
          <w:lang w:val="es-MX"/>
        </w:rPr>
        <w:t>de obligaciones de</w:t>
      </w:r>
      <w:r w:rsidR="00E942B2" w:rsidRPr="00830A41">
        <w:rPr>
          <w:rFonts w:asciiTheme="majorHAnsi" w:hAnsiTheme="majorHAnsi" w:cstheme="majorHAnsi"/>
          <w:szCs w:val="24"/>
          <w:lang w:val="es-MX"/>
        </w:rPr>
        <w:t xml:space="preserve"> Impuestos Estatales, tales como: </w:t>
      </w:r>
      <w:r w:rsidR="00947B3E" w:rsidRPr="00830A41">
        <w:rPr>
          <w:rFonts w:asciiTheme="majorHAnsi" w:hAnsiTheme="majorHAnsi" w:cstheme="majorHAnsi"/>
          <w:szCs w:val="24"/>
          <w:lang w:val="es-MX"/>
        </w:rPr>
        <w:t>Impuesto sobre Nóminas, mediante acciones conjuntas con otr</w:t>
      </w:r>
      <w:r w:rsidR="00E942B2" w:rsidRPr="00830A41">
        <w:rPr>
          <w:rFonts w:asciiTheme="majorHAnsi" w:hAnsiTheme="majorHAnsi" w:cstheme="majorHAnsi"/>
          <w:szCs w:val="24"/>
          <w:lang w:val="es-MX"/>
        </w:rPr>
        <w:t xml:space="preserve">as dependencias e instituciones; Impuesto sobre Hospedaje e Impuesto </w:t>
      </w:r>
      <w:r w:rsidR="00613D96" w:rsidRPr="00830A41">
        <w:rPr>
          <w:rFonts w:asciiTheme="majorHAnsi" w:hAnsiTheme="majorHAnsi" w:cstheme="majorHAnsi"/>
          <w:szCs w:val="24"/>
          <w:lang w:val="es-MX"/>
        </w:rPr>
        <w:t>sobre Honorarios por Actividades Profesionales y Ejercicios Lucrativos no G</w:t>
      </w:r>
      <w:r w:rsidR="00E942B2" w:rsidRPr="00830A41">
        <w:rPr>
          <w:rFonts w:asciiTheme="majorHAnsi" w:hAnsiTheme="majorHAnsi" w:cstheme="majorHAnsi"/>
          <w:szCs w:val="24"/>
          <w:lang w:val="es-MX"/>
        </w:rPr>
        <w:t>ravados por la Ley del IVA.</w:t>
      </w:r>
    </w:p>
    <w:p w14:paraId="5729A4E4" w14:textId="77777777" w:rsidR="00E942B2" w:rsidRDefault="00E942B2" w:rsidP="00947B3E">
      <w:pPr>
        <w:spacing w:line="360" w:lineRule="auto"/>
        <w:ind w:right="-232"/>
        <w:rPr>
          <w:b/>
          <w:szCs w:val="24"/>
          <w:lang w:val="es-MX"/>
        </w:rPr>
      </w:pPr>
    </w:p>
    <w:p w14:paraId="036CDDB2" w14:textId="2BC3E51E" w:rsidR="00947B3E" w:rsidRPr="00830A41" w:rsidRDefault="00947B3E" w:rsidP="00480D89">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t>Los</w:t>
      </w:r>
      <w:r w:rsidRPr="00830A41">
        <w:rPr>
          <w:rFonts w:asciiTheme="majorHAnsi" w:hAnsiTheme="majorHAnsi" w:cstheme="majorHAnsi"/>
          <w:b/>
          <w:szCs w:val="24"/>
          <w:lang w:val="es-MX"/>
        </w:rPr>
        <w:t xml:space="preserve"> Derechos</w:t>
      </w:r>
      <w:r w:rsidRPr="00830A41">
        <w:rPr>
          <w:rFonts w:asciiTheme="majorHAnsi" w:hAnsiTheme="majorHAnsi" w:cstheme="majorHAnsi"/>
          <w:szCs w:val="24"/>
          <w:lang w:val="es-MX"/>
        </w:rPr>
        <w:t xml:space="preserve"> son las contribuciones establecidas en Ley, </w:t>
      </w:r>
      <w:r w:rsidR="00480D89" w:rsidRPr="00830A41">
        <w:rPr>
          <w:rFonts w:asciiTheme="majorHAnsi" w:hAnsiTheme="majorHAnsi" w:cstheme="majorHAnsi"/>
          <w:szCs w:val="24"/>
          <w:lang w:val="es-MX"/>
        </w:rPr>
        <w:t xml:space="preserve">por el uso de los bienes del dominio público del Estado, así como por recibir los servicios que éste presta en sus funciones de derecho público, excepto, cuando se presten por organismos descentralizados y órganos desconcentrados cuando, en este último caso se trate de contraprestaciones que no se encuentren previstas en la Ley de Hacienda del Estado. También son </w:t>
      </w:r>
      <w:r w:rsidR="00DB5870" w:rsidRPr="00830A41">
        <w:rPr>
          <w:rFonts w:asciiTheme="majorHAnsi" w:hAnsiTheme="majorHAnsi" w:cstheme="majorHAnsi"/>
          <w:szCs w:val="24"/>
          <w:lang w:val="es-MX"/>
        </w:rPr>
        <w:t>D</w:t>
      </w:r>
      <w:r w:rsidR="00480D89" w:rsidRPr="00830A41">
        <w:rPr>
          <w:rFonts w:asciiTheme="majorHAnsi" w:hAnsiTheme="majorHAnsi" w:cstheme="majorHAnsi"/>
          <w:szCs w:val="24"/>
          <w:lang w:val="es-MX"/>
        </w:rPr>
        <w:t>erechos las contribuciones a cargo de los organismos públicos descentralizados por prestar servicios exclusivos del Estado.</w:t>
      </w:r>
    </w:p>
    <w:p w14:paraId="49AF4766" w14:textId="77777777" w:rsidR="00480D89" w:rsidRPr="006533F8" w:rsidRDefault="00480D89" w:rsidP="00480D89">
      <w:pPr>
        <w:spacing w:line="360" w:lineRule="auto"/>
        <w:ind w:right="-232"/>
        <w:rPr>
          <w:szCs w:val="24"/>
          <w:lang w:val="es-MX"/>
        </w:rPr>
      </w:pPr>
    </w:p>
    <w:p w14:paraId="0281B6EE" w14:textId="3BE756D4" w:rsidR="00F54E83" w:rsidRPr="00830A41" w:rsidRDefault="00947B3E" w:rsidP="00947B3E">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t>Dentro del rubro de Derechos, los más representativos son l</w:t>
      </w:r>
      <w:r w:rsidR="00FC14F4" w:rsidRPr="00830A41">
        <w:rPr>
          <w:rFonts w:asciiTheme="majorHAnsi" w:hAnsiTheme="majorHAnsi" w:cstheme="majorHAnsi"/>
          <w:szCs w:val="24"/>
          <w:lang w:val="es-MX"/>
        </w:rPr>
        <w:t xml:space="preserve">os </w:t>
      </w:r>
      <w:r w:rsidR="00480D89" w:rsidRPr="00830A41">
        <w:rPr>
          <w:rFonts w:asciiTheme="majorHAnsi" w:hAnsiTheme="majorHAnsi" w:cstheme="majorHAnsi"/>
          <w:szCs w:val="24"/>
          <w:lang w:val="es-MX"/>
        </w:rPr>
        <w:t xml:space="preserve">derivados de la prestación de servicios por los </w:t>
      </w:r>
      <w:r w:rsidR="00FC14F4" w:rsidRPr="00830A41">
        <w:rPr>
          <w:rFonts w:asciiTheme="majorHAnsi" w:hAnsiTheme="majorHAnsi" w:cstheme="majorHAnsi"/>
          <w:szCs w:val="24"/>
          <w:lang w:val="es-MX"/>
        </w:rPr>
        <w:t>Ingresos reportados por las dependencias y órganos d</w:t>
      </w:r>
      <w:r w:rsidRPr="00830A41">
        <w:rPr>
          <w:rFonts w:asciiTheme="majorHAnsi" w:hAnsiTheme="majorHAnsi" w:cstheme="majorHAnsi"/>
          <w:szCs w:val="24"/>
          <w:lang w:val="es-MX"/>
        </w:rPr>
        <w:t>esconcentrados</w:t>
      </w:r>
      <w:r w:rsidR="00EA6B68" w:rsidRPr="00830A41">
        <w:rPr>
          <w:rFonts w:asciiTheme="majorHAnsi" w:hAnsiTheme="majorHAnsi" w:cstheme="majorHAnsi"/>
          <w:szCs w:val="24"/>
          <w:lang w:val="es-MX"/>
        </w:rPr>
        <w:t>,</w:t>
      </w:r>
      <w:r w:rsidRPr="00830A41">
        <w:rPr>
          <w:rFonts w:asciiTheme="majorHAnsi" w:hAnsiTheme="majorHAnsi" w:cstheme="majorHAnsi"/>
          <w:szCs w:val="24"/>
          <w:lang w:val="es-MX"/>
        </w:rPr>
        <w:t xml:space="preserve"> tales como: Servicios ofrecidos por la Secretaría de Seguridad Pública a través de la Policía Auxiliar, Banca</w:t>
      </w:r>
      <w:r w:rsidR="00EA6B68" w:rsidRPr="00830A41">
        <w:rPr>
          <w:rFonts w:asciiTheme="majorHAnsi" w:hAnsiTheme="majorHAnsi" w:cstheme="majorHAnsi"/>
          <w:szCs w:val="24"/>
          <w:lang w:val="es-MX"/>
        </w:rPr>
        <w:t xml:space="preserve">ria, Industrial y Comercial; así como, </w:t>
      </w:r>
      <w:r w:rsidRPr="00830A41">
        <w:rPr>
          <w:rFonts w:asciiTheme="majorHAnsi" w:hAnsiTheme="majorHAnsi" w:cstheme="majorHAnsi"/>
          <w:szCs w:val="24"/>
          <w:lang w:val="es-MX"/>
        </w:rPr>
        <w:t xml:space="preserve">por la Dirección General de la Policía Estatal de Caminos, </w:t>
      </w:r>
      <w:r w:rsidR="00EA6B68" w:rsidRPr="00830A41">
        <w:rPr>
          <w:rFonts w:asciiTheme="majorHAnsi" w:hAnsiTheme="majorHAnsi" w:cstheme="majorHAnsi"/>
          <w:szCs w:val="24"/>
          <w:lang w:val="es-MX"/>
        </w:rPr>
        <w:t xml:space="preserve">y </w:t>
      </w:r>
      <w:r w:rsidRPr="00830A41">
        <w:rPr>
          <w:rFonts w:asciiTheme="majorHAnsi" w:hAnsiTheme="majorHAnsi" w:cstheme="majorHAnsi"/>
          <w:szCs w:val="24"/>
          <w:lang w:val="es-MX"/>
        </w:rPr>
        <w:t xml:space="preserve">los servicios prestados por la Secretaría de Planeación y Finanzas, </w:t>
      </w:r>
      <w:r w:rsidRPr="00830A41">
        <w:rPr>
          <w:rFonts w:asciiTheme="majorHAnsi" w:hAnsiTheme="majorHAnsi" w:cstheme="majorHAnsi"/>
          <w:szCs w:val="24"/>
          <w:lang w:val="es-MX"/>
        </w:rPr>
        <w:lastRenderedPageBreak/>
        <w:t xml:space="preserve">relacionados con la </w:t>
      </w:r>
      <w:r w:rsidR="00E3724D" w:rsidRPr="00830A41">
        <w:rPr>
          <w:rFonts w:asciiTheme="majorHAnsi" w:hAnsiTheme="majorHAnsi" w:cstheme="majorHAnsi"/>
          <w:szCs w:val="24"/>
          <w:lang w:val="es-MX"/>
        </w:rPr>
        <w:t>aplicación de la Ley que Regula la Venta, Distribución y Consumo de Bebidas Alcohólicas en el Estado de Tabasco</w:t>
      </w:r>
      <w:r w:rsidR="00480D89" w:rsidRPr="00830A41">
        <w:rPr>
          <w:rFonts w:asciiTheme="majorHAnsi" w:hAnsiTheme="majorHAnsi" w:cstheme="majorHAnsi"/>
          <w:szCs w:val="24"/>
          <w:lang w:val="es-MX"/>
        </w:rPr>
        <w:t xml:space="preserve">, </w:t>
      </w:r>
      <w:r w:rsidRPr="00830A41">
        <w:rPr>
          <w:rFonts w:asciiTheme="majorHAnsi" w:hAnsiTheme="majorHAnsi" w:cstheme="majorHAnsi"/>
          <w:szCs w:val="24"/>
          <w:lang w:val="es-MX"/>
        </w:rPr>
        <w:t>por el Registro de Vehículos Particulares</w:t>
      </w:r>
      <w:r w:rsidR="00480D89" w:rsidRPr="00830A41">
        <w:rPr>
          <w:rFonts w:asciiTheme="majorHAnsi" w:hAnsiTheme="majorHAnsi" w:cstheme="majorHAnsi"/>
          <w:szCs w:val="24"/>
          <w:lang w:val="es-MX"/>
        </w:rPr>
        <w:t xml:space="preserve"> y la aplicación de la Ley Registral del Estado de Tabasco.</w:t>
      </w:r>
      <w:r w:rsidR="00B47B12" w:rsidRPr="00830A41">
        <w:rPr>
          <w:rFonts w:asciiTheme="majorHAnsi" w:hAnsiTheme="majorHAnsi" w:cstheme="majorHAnsi"/>
          <w:szCs w:val="24"/>
          <w:lang w:val="es-MX"/>
        </w:rPr>
        <w:t xml:space="preserve"> </w:t>
      </w:r>
    </w:p>
    <w:p w14:paraId="455383F4" w14:textId="77777777" w:rsidR="00F54E83" w:rsidRPr="00830A41" w:rsidRDefault="00F54E83" w:rsidP="00947B3E">
      <w:pPr>
        <w:spacing w:line="360" w:lineRule="auto"/>
        <w:ind w:right="-232"/>
        <w:rPr>
          <w:rFonts w:asciiTheme="majorHAnsi" w:hAnsiTheme="majorHAnsi" w:cstheme="majorHAnsi"/>
          <w:szCs w:val="24"/>
          <w:lang w:val="es-MX"/>
        </w:rPr>
      </w:pPr>
    </w:p>
    <w:p w14:paraId="2FFA0A06" w14:textId="63F4A8EB" w:rsidR="00686894" w:rsidRPr="00830A41" w:rsidRDefault="00B47B12" w:rsidP="00947B3E">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t>Cabe señalar que para e</w:t>
      </w:r>
      <w:r w:rsidR="00366D35" w:rsidRPr="00830A41">
        <w:rPr>
          <w:rFonts w:asciiTheme="majorHAnsi" w:hAnsiTheme="majorHAnsi" w:cstheme="majorHAnsi"/>
          <w:szCs w:val="24"/>
          <w:lang w:val="es-MX"/>
        </w:rPr>
        <w:t>l</w:t>
      </w:r>
      <w:r w:rsidRPr="00830A41">
        <w:rPr>
          <w:rFonts w:asciiTheme="majorHAnsi" w:hAnsiTheme="majorHAnsi" w:cstheme="majorHAnsi"/>
          <w:szCs w:val="24"/>
          <w:lang w:val="es-MX"/>
        </w:rPr>
        <w:t xml:space="preserve"> ejercicio fiscal 201</w:t>
      </w:r>
      <w:r w:rsidR="00D002EF" w:rsidRPr="00830A41">
        <w:rPr>
          <w:rFonts w:asciiTheme="majorHAnsi" w:hAnsiTheme="majorHAnsi" w:cstheme="majorHAnsi"/>
          <w:szCs w:val="24"/>
          <w:lang w:val="es-MX"/>
        </w:rPr>
        <w:t>9</w:t>
      </w:r>
      <w:r w:rsidRPr="00830A41">
        <w:rPr>
          <w:rFonts w:asciiTheme="majorHAnsi" w:hAnsiTheme="majorHAnsi" w:cstheme="majorHAnsi"/>
          <w:szCs w:val="24"/>
          <w:lang w:val="es-MX"/>
        </w:rPr>
        <w:t xml:space="preserve">, </w:t>
      </w:r>
      <w:r w:rsidR="003D54F8" w:rsidRPr="00830A41">
        <w:rPr>
          <w:rFonts w:asciiTheme="majorHAnsi" w:hAnsiTheme="majorHAnsi" w:cstheme="majorHAnsi"/>
          <w:szCs w:val="24"/>
          <w:lang w:val="es-MX"/>
        </w:rPr>
        <w:t xml:space="preserve">se continuarán con los </w:t>
      </w:r>
      <w:r w:rsidR="00686894" w:rsidRPr="00830A41">
        <w:rPr>
          <w:rFonts w:asciiTheme="majorHAnsi" w:hAnsiTheme="majorHAnsi" w:cstheme="majorHAnsi"/>
          <w:szCs w:val="24"/>
          <w:lang w:val="es-MX"/>
        </w:rPr>
        <w:t xml:space="preserve">beneficios </w:t>
      </w:r>
      <w:r w:rsidR="003D54F8" w:rsidRPr="00830A41">
        <w:rPr>
          <w:rFonts w:asciiTheme="majorHAnsi" w:hAnsiTheme="majorHAnsi" w:cstheme="majorHAnsi"/>
          <w:szCs w:val="24"/>
          <w:lang w:val="es-MX"/>
        </w:rPr>
        <w:t xml:space="preserve">otorgados a los </w:t>
      </w:r>
      <w:r w:rsidR="00686894" w:rsidRPr="00830A41">
        <w:rPr>
          <w:rFonts w:asciiTheme="majorHAnsi" w:hAnsiTheme="majorHAnsi" w:cstheme="majorHAnsi"/>
          <w:szCs w:val="24"/>
          <w:lang w:val="es-MX"/>
        </w:rPr>
        <w:t xml:space="preserve">contribuyentes </w:t>
      </w:r>
      <w:r w:rsidR="003D54F8" w:rsidRPr="00830A41">
        <w:rPr>
          <w:rFonts w:asciiTheme="majorHAnsi" w:hAnsiTheme="majorHAnsi" w:cstheme="majorHAnsi"/>
          <w:szCs w:val="24"/>
          <w:lang w:val="es-MX"/>
        </w:rPr>
        <w:t xml:space="preserve">propietarios de </w:t>
      </w:r>
      <w:r w:rsidR="00686894" w:rsidRPr="00830A41">
        <w:rPr>
          <w:rFonts w:asciiTheme="majorHAnsi" w:hAnsiTheme="majorHAnsi" w:cstheme="majorHAnsi"/>
          <w:szCs w:val="24"/>
          <w:lang w:val="es-MX"/>
        </w:rPr>
        <w:t xml:space="preserve">vehículos con adeudos del Impuesto Vehicular </w:t>
      </w:r>
      <w:r w:rsidR="000D42BF" w:rsidRPr="00830A41">
        <w:rPr>
          <w:rFonts w:asciiTheme="majorHAnsi" w:hAnsiTheme="majorHAnsi" w:cstheme="majorHAnsi"/>
          <w:szCs w:val="24"/>
          <w:lang w:val="es-MX"/>
        </w:rPr>
        <w:t xml:space="preserve">Estatal </w:t>
      </w:r>
      <w:r w:rsidR="00686894" w:rsidRPr="00830A41">
        <w:rPr>
          <w:rFonts w:asciiTheme="majorHAnsi" w:hAnsiTheme="majorHAnsi" w:cstheme="majorHAnsi"/>
          <w:szCs w:val="24"/>
          <w:lang w:val="es-MX"/>
        </w:rPr>
        <w:t>y Derecho de Refrendo anual de placas y tarjeta de circulación, consistentes en descuentos del 100% en multas, recargos y gastos de ejecución.</w:t>
      </w:r>
    </w:p>
    <w:p w14:paraId="265F659E" w14:textId="77777777" w:rsidR="0092111F" w:rsidRPr="00830A41" w:rsidRDefault="00686894" w:rsidP="0092111F">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t xml:space="preserve"> </w:t>
      </w:r>
    </w:p>
    <w:p w14:paraId="34CA2548" w14:textId="1A750410" w:rsidR="00366D35" w:rsidRPr="00830A41" w:rsidRDefault="0092111F" w:rsidP="00E3724D">
      <w:pPr>
        <w:shd w:val="clear" w:color="auto" w:fill="FFFFFF" w:themeFill="background1"/>
        <w:spacing w:line="360" w:lineRule="auto"/>
        <w:ind w:right="-232"/>
        <w:rPr>
          <w:rFonts w:asciiTheme="majorHAnsi" w:hAnsiTheme="majorHAnsi" w:cstheme="majorHAnsi"/>
        </w:rPr>
      </w:pPr>
      <w:r w:rsidRPr="00830A41">
        <w:rPr>
          <w:rFonts w:asciiTheme="majorHAnsi" w:hAnsiTheme="majorHAnsi" w:cstheme="majorHAnsi"/>
          <w:szCs w:val="24"/>
          <w:lang w:val="es-MX"/>
        </w:rPr>
        <w:t>De igual manera, se refrenda</w:t>
      </w:r>
      <w:r w:rsidR="0005541A" w:rsidRPr="00830A41">
        <w:rPr>
          <w:rFonts w:asciiTheme="majorHAnsi" w:hAnsiTheme="majorHAnsi" w:cstheme="majorHAnsi"/>
          <w:szCs w:val="24"/>
          <w:lang w:val="es-MX"/>
        </w:rPr>
        <w:t>n</w:t>
      </w:r>
      <w:r w:rsidRPr="00830A41">
        <w:rPr>
          <w:rFonts w:asciiTheme="majorHAnsi" w:hAnsiTheme="majorHAnsi" w:cstheme="majorHAnsi"/>
          <w:szCs w:val="24"/>
          <w:lang w:val="es-MX"/>
        </w:rPr>
        <w:t xml:space="preserve"> l</w:t>
      </w:r>
      <w:r w:rsidR="0005541A" w:rsidRPr="00830A41">
        <w:rPr>
          <w:rFonts w:asciiTheme="majorHAnsi" w:hAnsiTheme="majorHAnsi" w:cstheme="majorHAnsi"/>
          <w:szCs w:val="24"/>
          <w:lang w:val="es-MX"/>
        </w:rPr>
        <w:t>os</w:t>
      </w:r>
      <w:r w:rsidRPr="00830A41">
        <w:rPr>
          <w:rFonts w:asciiTheme="majorHAnsi" w:hAnsiTheme="majorHAnsi" w:cstheme="majorHAnsi"/>
          <w:szCs w:val="24"/>
          <w:lang w:val="es-MX"/>
        </w:rPr>
        <w:t xml:space="preserve"> Programa</w:t>
      </w:r>
      <w:r w:rsidR="0005541A" w:rsidRPr="00830A41">
        <w:rPr>
          <w:rFonts w:asciiTheme="majorHAnsi" w:hAnsiTheme="majorHAnsi" w:cstheme="majorHAnsi"/>
          <w:szCs w:val="24"/>
          <w:lang w:val="es-MX"/>
        </w:rPr>
        <w:t>s</w:t>
      </w:r>
      <w:r w:rsidRPr="00830A41">
        <w:rPr>
          <w:rFonts w:asciiTheme="majorHAnsi" w:hAnsiTheme="majorHAnsi" w:cstheme="majorHAnsi"/>
          <w:szCs w:val="24"/>
          <w:lang w:val="es-MX"/>
        </w:rPr>
        <w:t xml:space="preserve"> de regularización y depuración del Registro Estatal de Vehículos, denominado Suspensión Administrativa de Obligac</w:t>
      </w:r>
      <w:r w:rsidR="00A30D9C" w:rsidRPr="00830A41">
        <w:rPr>
          <w:rFonts w:asciiTheme="majorHAnsi" w:hAnsiTheme="majorHAnsi" w:cstheme="majorHAnsi"/>
          <w:szCs w:val="24"/>
          <w:lang w:val="es-MX"/>
        </w:rPr>
        <w:t>iones Vehiculares (SAOV)</w:t>
      </w:r>
      <w:r w:rsidR="0005541A" w:rsidRPr="00830A41">
        <w:rPr>
          <w:rFonts w:asciiTheme="majorHAnsi" w:hAnsiTheme="majorHAnsi" w:cstheme="majorHAnsi"/>
          <w:szCs w:val="24"/>
          <w:lang w:val="es-MX"/>
        </w:rPr>
        <w:t xml:space="preserve"> y Programa de Regularización de refrendo de placas, tarjeta de circulación y calcomanías de </w:t>
      </w:r>
      <w:r w:rsidR="009F424E" w:rsidRPr="00830A41">
        <w:rPr>
          <w:rFonts w:asciiTheme="majorHAnsi" w:hAnsiTheme="majorHAnsi" w:cstheme="majorHAnsi"/>
          <w:szCs w:val="24"/>
          <w:lang w:val="es-MX"/>
        </w:rPr>
        <w:t>M</w:t>
      </w:r>
      <w:r w:rsidR="0005541A" w:rsidRPr="00830A41">
        <w:rPr>
          <w:rFonts w:asciiTheme="majorHAnsi" w:hAnsiTheme="majorHAnsi" w:cstheme="majorHAnsi"/>
          <w:szCs w:val="24"/>
          <w:lang w:val="es-MX"/>
        </w:rPr>
        <w:t xml:space="preserve">otocicletas y </w:t>
      </w:r>
      <w:r w:rsidR="009F424E" w:rsidRPr="00830A41">
        <w:rPr>
          <w:rFonts w:asciiTheme="majorHAnsi" w:hAnsiTheme="majorHAnsi" w:cstheme="majorHAnsi"/>
          <w:szCs w:val="24"/>
          <w:lang w:val="es-MX"/>
        </w:rPr>
        <w:t>M</w:t>
      </w:r>
      <w:r w:rsidR="0005541A" w:rsidRPr="00830A41">
        <w:rPr>
          <w:rFonts w:asciiTheme="majorHAnsi" w:hAnsiTheme="majorHAnsi" w:cstheme="majorHAnsi"/>
          <w:szCs w:val="24"/>
          <w:lang w:val="es-MX"/>
        </w:rPr>
        <w:t>otonetas</w:t>
      </w:r>
      <w:r w:rsidR="00A30D9C" w:rsidRPr="00830A41">
        <w:rPr>
          <w:rFonts w:asciiTheme="majorHAnsi" w:hAnsiTheme="majorHAnsi" w:cstheme="majorHAnsi"/>
          <w:szCs w:val="24"/>
          <w:lang w:val="es-MX"/>
        </w:rPr>
        <w:t>.</w:t>
      </w:r>
    </w:p>
    <w:p w14:paraId="4A050E8D" w14:textId="77777777" w:rsidR="0092111F" w:rsidRPr="00830A41" w:rsidRDefault="0092111F" w:rsidP="0092111F">
      <w:pPr>
        <w:spacing w:line="360" w:lineRule="auto"/>
        <w:ind w:right="-232"/>
        <w:rPr>
          <w:rFonts w:asciiTheme="majorHAnsi" w:hAnsiTheme="majorHAnsi" w:cstheme="majorHAnsi"/>
          <w:szCs w:val="24"/>
          <w:lang w:val="es-MX"/>
        </w:rPr>
      </w:pPr>
    </w:p>
    <w:p w14:paraId="6737EB24" w14:textId="592482C0" w:rsidR="00947B3E" w:rsidRPr="00830A41" w:rsidRDefault="00947B3E" w:rsidP="00947B3E">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t>Asimismo, dentro de</w:t>
      </w:r>
      <w:r w:rsidR="00613D96" w:rsidRPr="00830A41">
        <w:rPr>
          <w:rFonts w:asciiTheme="majorHAnsi" w:hAnsiTheme="majorHAnsi" w:cstheme="majorHAnsi"/>
          <w:szCs w:val="24"/>
          <w:lang w:val="es-MX"/>
        </w:rPr>
        <w:t xml:space="preserve"> este</w:t>
      </w:r>
      <w:r w:rsidRPr="00830A41">
        <w:rPr>
          <w:rFonts w:asciiTheme="majorHAnsi" w:hAnsiTheme="majorHAnsi" w:cstheme="majorHAnsi"/>
          <w:szCs w:val="24"/>
          <w:lang w:val="es-MX"/>
        </w:rPr>
        <w:t xml:space="preserve"> rubro, se</w:t>
      </w:r>
      <w:r w:rsidR="00EA6B68" w:rsidRPr="00830A41">
        <w:rPr>
          <w:rFonts w:asciiTheme="majorHAnsi" w:hAnsiTheme="majorHAnsi" w:cstheme="majorHAnsi"/>
          <w:szCs w:val="24"/>
          <w:lang w:val="es-MX"/>
        </w:rPr>
        <w:t xml:space="preserve"> incluye la recaudación de los D</w:t>
      </w:r>
      <w:r w:rsidRPr="00830A41">
        <w:rPr>
          <w:rFonts w:asciiTheme="majorHAnsi" w:hAnsiTheme="majorHAnsi" w:cstheme="majorHAnsi"/>
          <w:szCs w:val="24"/>
          <w:lang w:val="es-MX"/>
        </w:rPr>
        <w:t>erechos por los servicios que prestan los Organismos Públicos Descentralizados, en sus funciones de derecho público, de conformidad con lo señalado en la Ley de Hacienda del Estado de Tabasco vigente.</w:t>
      </w:r>
    </w:p>
    <w:p w14:paraId="68B8F742" w14:textId="77777777" w:rsidR="00E3724D" w:rsidRPr="00830A41" w:rsidRDefault="00E3724D" w:rsidP="00947B3E">
      <w:pPr>
        <w:spacing w:line="360" w:lineRule="auto"/>
        <w:ind w:right="-232"/>
        <w:rPr>
          <w:rFonts w:asciiTheme="majorHAnsi" w:hAnsiTheme="majorHAnsi" w:cstheme="majorHAnsi"/>
          <w:szCs w:val="24"/>
          <w:lang w:val="es-MX"/>
        </w:rPr>
      </w:pPr>
    </w:p>
    <w:p w14:paraId="51732F20" w14:textId="60157C54" w:rsidR="00947B3E" w:rsidRPr="00830A41" w:rsidRDefault="00947B3E" w:rsidP="00947B3E">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t xml:space="preserve">Cabe señalar que los Derechos representan el </w:t>
      </w:r>
      <w:r w:rsidR="00E3724D" w:rsidRPr="00830A41">
        <w:rPr>
          <w:rFonts w:asciiTheme="majorHAnsi" w:hAnsiTheme="majorHAnsi" w:cstheme="majorHAnsi"/>
          <w:b/>
          <w:szCs w:val="24"/>
          <w:lang w:val="es-MX"/>
        </w:rPr>
        <w:t>36</w:t>
      </w:r>
      <w:r w:rsidR="00C44687" w:rsidRPr="00830A41">
        <w:rPr>
          <w:rFonts w:asciiTheme="majorHAnsi" w:hAnsiTheme="majorHAnsi" w:cstheme="majorHAnsi"/>
          <w:b/>
          <w:szCs w:val="24"/>
          <w:lang w:val="es-MX"/>
        </w:rPr>
        <w:t>.</w:t>
      </w:r>
      <w:r w:rsidR="00E3724D" w:rsidRPr="00830A41">
        <w:rPr>
          <w:rFonts w:asciiTheme="majorHAnsi" w:hAnsiTheme="majorHAnsi" w:cstheme="majorHAnsi"/>
          <w:b/>
          <w:szCs w:val="24"/>
          <w:lang w:val="es-MX"/>
        </w:rPr>
        <w:t>46</w:t>
      </w:r>
      <w:r w:rsidRPr="00830A41">
        <w:rPr>
          <w:rFonts w:asciiTheme="majorHAnsi" w:hAnsiTheme="majorHAnsi" w:cstheme="majorHAnsi"/>
          <w:b/>
          <w:szCs w:val="24"/>
          <w:lang w:val="es-MX"/>
        </w:rPr>
        <w:t xml:space="preserve"> por ciento</w:t>
      </w:r>
      <w:r w:rsidRPr="00830A41">
        <w:rPr>
          <w:rFonts w:asciiTheme="majorHAnsi" w:hAnsiTheme="majorHAnsi" w:cstheme="majorHAnsi"/>
          <w:szCs w:val="24"/>
          <w:lang w:val="es-MX"/>
        </w:rPr>
        <w:t xml:space="preserve"> dentro de la estim</w:t>
      </w:r>
      <w:r w:rsidR="009D2961" w:rsidRPr="00830A41">
        <w:rPr>
          <w:rFonts w:asciiTheme="majorHAnsi" w:hAnsiTheme="majorHAnsi" w:cstheme="majorHAnsi"/>
          <w:szCs w:val="24"/>
          <w:lang w:val="es-MX"/>
        </w:rPr>
        <w:t xml:space="preserve">ación de </w:t>
      </w:r>
      <w:r w:rsidR="000A676D" w:rsidRPr="00830A41">
        <w:rPr>
          <w:rFonts w:asciiTheme="majorHAnsi" w:hAnsiTheme="majorHAnsi" w:cstheme="majorHAnsi"/>
          <w:szCs w:val="24"/>
          <w:lang w:val="es-MX"/>
        </w:rPr>
        <w:t xml:space="preserve">los </w:t>
      </w:r>
      <w:r w:rsidR="009D2961" w:rsidRPr="00830A41">
        <w:rPr>
          <w:rFonts w:asciiTheme="majorHAnsi" w:hAnsiTheme="majorHAnsi" w:cstheme="majorHAnsi"/>
          <w:szCs w:val="24"/>
          <w:lang w:val="es-MX"/>
        </w:rPr>
        <w:t>Ingresos E</w:t>
      </w:r>
      <w:r w:rsidR="004C4EF8" w:rsidRPr="00830A41">
        <w:rPr>
          <w:rFonts w:asciiTheme="majorHAnsi" w:hAnsiTheme="majorHAnsi" w:cstheme="majorHAnsi"/>
          <w:szCs w:val="24"/>
          <w:lang w:val="es-MX"/>
        </w:rPr>
        <w:t>statales 2019</w:t>
      </w:r>
      <w:r w:rsidRPr="00830A41">
        <w:rPr>
          <w:rFonts w:asciiTheme="majorHAnsi" w:hAnsiTheme="majorHAnsi" w:cstheme="majorHAnsi"/>
          <w:szCs w:val="24"/>
          <w:lang w:val="es-MX"/>
        </w:rPr>
        <w:t xml:space="preserve">. </w:t>
      </w:r>
    </w:p>
    <w:p w14:paraId="4AE3B7DD" w14:textId="77777777" w:rsidR="00947B3E" w:rsidRPr="00830A41" w:rsidRDefault="00947B3E" w:rsidP="00947B3E">
      <w:pPr>
        <w:spacing w:line="360" w:lineRule="auto"/>
        <w:ind w:right="-232"/>
        <w:rPr>
          <w:rFonts w:asciiTheme="majorHAnsi" w:hAnsiTheme="majorHAnsi" w:cstheme="majorHAnsi"/>
          <w:szCs w:val="24"/>
          <w:lang w:val="es-MX"/>
        </w:rPr>
      </w:pPr>
    </w:p>
    <w:p w14:paraId="1D117FF0" w14:textId="77777777" w:rsidR="00947B3E" w:rsidRPr="00830A41" w:rsidRDefault="00947B3E" w:rsidP="002B2C6F">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t xml:space="preserve">Además de los rubros anteriores, se obtienen ingresos por </w:t>
      </w:r>
      <w:r w:rsidRPr="00830A41">
        <w:rPr>
          <w:rFonts w:asciiTheme="majorHAnsi" w:hAnsiTheme="majorHAnsi" w:cstheme="majorHAnsi"/>
          <w:b/>
          <w:szCs w:val="24"/>
          <w:lang w:val="es-MX"/>
        </w:rPr>
        <w:t>Productos</w:t>
      </w:r>
      <w:r w:rsidRPr="00830A41">
        <w:rPr>
          <w:rFonts w:asciiTheme="majorHAnsi" w:hAnsiTheme="majorHAnsi" w:cstheme="majorHAnsi"/>
          <w:szCs w:val="24"/>
          <w:lang w:val="es-MX"/>
        </w:rPr>
        <w:t xml:space="preserve">, que de conformidad con lo que señala </w:t>
      </w:r>
      <w:r w:rsidR="002B2C6F" w:rsidRPr="00830A41">
        <w:rPr>
          <w:rFonts w:asciiTheme="majorHAnsi" w:hAnsiTheme="majorHAnsi" w:cstheme="majorHAnsi"/>
          <w:szCs w:val="24"/>
          <w:lang w:val="es-MX"/>
        </w:rPr>
        <w:t xml:space="preserve">el artículo 117 de </w:t>
      </w:r>
      <w:r w:rsidRPr="00830A41">
        <w:rPr>
          <w:rFonts w:asciiTheme="majorHAnsi" w:hAnsiTheme="majorHAnsi" w:cstheme="majorHAnsi"/>
          <w:szCs w:val="24"/>
          <w:lang w:val="es-MX"/>
        </w:rPr>
        <w:t>la Ley de Hacienda del Estado, son definidos como los ing</w:t>
      </w:r>
      <w:r w:rsidR="00556038" w:rsidRPr="00830A41">
        <w:rPr>
          <w:rFonts w:asciiTheme="majorHAnsi" w:hAnsiTheme="majorHAnsi" w:cstheme="majorHAnsi"/>
          <w:szCs w:val="24"/>
          <w:lang w:val="es-MX"/>
        </w:rPr>
        <w:t>resos que la Entidad</w:t>
      </w:r>
      <w:r w:rsidRPr="00830A41">
        <w:rPr>
          <w:rFonts w:asciiTheme="majorHAnsi" w:hAnsiTheme="majorHAnsi" w:cstheme="majorHAnsi"/>
          <w:szCs w:val="24"/>
          <w:lang w:val="es-MX"/>
        </w:rPr>
        <w:t xml:space="preserve"> obtenga por la explotación de sus bienes patrimoniales o por actividades que no correspondan al desarrollo de sus funciones propias de derecho público</w:t>
      </w:r>
      <w:r w:rsidR="002B2C6F" w:rsidRPr="00830A41">
        <w:rPr>
          <w:rFonts w:asciiTheme="majorHAnsi" w:hAnsiTheme="majorHAnsi" w:cstheme="majorHAnsi"/>
          <w:szCs w:val="24"/>
          <w:lang w:val="es-MX"/>
        </w:rPr>
        <w:t>.</w:t>
      </w:r>
    </w:p>
    <w:p w14:paraId="4365EE2F" w14:textId="77777777" w:rsidR="00947B3E" w:rsidRPr="00830A41" w:rsidRDefault="00947B3E" w:rsidP="00556038">
      <w:pPr>
        <w:spacing w:line="360" w:lineRule="auto"/>
        <w:ind w:left="567" w:right="-232" w:hanging="567"/>
        <w:rPr>
          <w:rFonts w:asciiTheme="majorHAnsi" w:hAnsiTheme="majorHAnsi" w:cstheme="majorHAnsi"/>
          <w:szCs w:val="24"/>
          <w:lang w:val="es-MX"/>
        </w:rPr>
      </w:pPr>
    </w:p>
    <w:p w14:paraId="386F4C4E" w14:textId="171135E4" w:rsidR="00947B3E" w:rsidRPr="00830A41" w:rsidRDefault="00947B3E" w:rsidP="00947B3E">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t xml:space="preserve">Este rubro mencionado con anterioridad, significa el </w:t>
      </w:r>
      <w:r w:rsidR="00586030" w:rsidRPr="00830A41">
        <w:rPr>
          <w:rFonts w:asciiTheme="majorHAnsi" w:hAnsiTheme="majorHAnsi" w:cstheme="majorHAnsi"/>
          <w:b/>
          <w:szCs w:val="24"/>
          <w:lang w:val="es-MX"/>
        </w:rPr>
        <w:t>3</w:t>
      </w:r>
      <w:r w:rsidR="00C44687" w:rsidRPr="00830A41">
        <w:rPr>
          <w:rFonts w:asciiTheme="majorHAnsi" w:hAnsiTheme="majorHAnsi" w:cstheme="majorHAnsi"/>
          <w:b/>
          <w:szCs w:val="24"/>
          <w:lang w:val="es-MX"/>
        </w:rPr>
        <w:t>.</w:t>
      </w:r>
      <w:r w:rsidR="00586030" w:rsidRPr="00830A41">
        <w:rPr>
          <w:rFonts w:asciiTheme="majorHAnsi" w:hAnsiTheme="majorHAnsi" w:cstheme="majorHAnsi"/>
          <w:b/>
          <w:szCs w:val="24"/>
          <w:lang w:val="es-MX"/>
        </w:rPr>
        <w:t>23</w:t>
      </w:r>
      <w:r w:rsidRPr="00830A41">
        <w:rPr>
          <w:rFonts w:asciiTheme="majorHAnsi" w:hAnsiTheme="majorHAnsi" w:cstheme="majorHAnsi"/>
          <w:b/>
          <w:szCs w:val="24"/>
          <w:lang w:val="es-MX"/>
        </w:rPr>
        <w:t xml:space="preserve"> por ciento</w:t>
      </w:r>
      <w:r w:rsidR="0026631A" w:rsidRPr="00830A41">
        <w:rPr>
          <w:rFonts w:asciiTheme="majorHAnsi" w:hAnsiTheme="majorHAnsi" w:cstheme="majorHAnsi"/>
          <w:szCs w:val="24"/>
          <w:lang w:val="es-MX"/>
        </w:rPr>
        <w:t xml:space="preserve"> de los I</w:t>
      </w:r>
      <w:r w:rsidRPr="00830A41">
        <w:rPr>
          <w:rFonts w:asciiTheme="majorHAnsi" w:hAnsiTheme="majorHAnsi" w:cstheme="majorHAnsi"/>
          <w:szCs w:val="24"/>
          <w:lang w:val="es-MX"/>
        </w:rPr>
        <w:t xml:space="preserve">ngresos </w:t>
      </w:r>
      <w:r w:rsidR="0026631A" w:rsidRPr="00830A41">
        <w:rPr>
          <w:rFonts w:asciiTheme="majorHAnsi" w:hAnsiTheme="majorHAnsi" w:cstheme="majorHAnsi"/>
          <w:szCs w:val="24"/>
          <w:lang w:val="es-MX"/>
        </w:rPr>
        <w:t>E</w:t>
      </w:r>
      <w:r w:rsidR="00F55481" w:rsidRPr="00830A41">
        <w:rPr>
          <w:rFonts w:asciiTheme="majorHAnsi" w:hAnsiTheme="majorHAnsi" w:cstheme="majorHAnsi"/>
          <w:szCs w:val="24"/>
          <w:lang w:val="es-MX"/>
        </w:rPr>
        <w:t>stata</w:t>
      </w:r>
      <w:r w:rsidRPr="00830A41">
        <w:rPr>
          <w:rFonts w:asciiTheme="majorHAnsi" w:hAnsiTheme="majorHAnsi" w:cstheme="majorHAnsi"/>
          <w:szCs w:val="24"/>
          <w:lang w:val="es-MX"/>
        </w:rPr>
        <w:t>les que se estiman en esta Ley de Ingres</w:t>
      </w:r>
      <w:r w:rsidR="009879B5" w:rsidRPr="00830A41">
        <w:rPr>
          <w:rFonts w:asciiTheme="majorHAnsi" w:hAnsiTheme="majorHAnsi" w:cstheme="majorHAnsi"/>
          <w:szCs w:val="24"/>
          <w:lang w:val="es-MX"/>
        </w:rPr>
        <w:t>os para el ejercicio fiscal 201</w:t>
      </w:r>
      <w:r w:rsidR="004C4EF8" w:rsidRPr="00830A41">
        <w:rPr>
          <w:rFonts w:asciiTheme="majorHAnsi" w:hAnsiTheme="majorHAnsi" w:cstheme="majorHAnsi"/>
          <w:szCs w:val="24"/>
          <w:lang w:val="es-MX"/>
        </w:rPr>
        <w:t>9</w:t>
      </w:r>
      <w:r w:rsidRPr="00830A41">
        <w:rPr>
          <w:rFonts w:asciiTheme="majorHAnsi" w:hAnsiTheme="majorHAnsi" w:cstheme="majorHAnsi"/>
          <w:szCs w:val="24"/>
          <w:lang w:val="es-MX"/>
        </w:rPr>
        <w:t>.</w:t>
      </w:r>
      <w:r w:rsidR="00436611" w:rsidRPr="00830A41">
        <w:rPr>
          <w:rFonts w:asciiTheme="majorHAnsi" w:hAnsiTheme="majorHAnsi" w:cstheme="majorHAnsi"/>
          <w:szCs w:val="24"/>
          <w:lang w:val="es-MX"/>
        </w:rPr>
        <w:t xml:space="preserve"> </w:t>
      </w:r>
    </w:p>
    <w:p w14:paraId="20CF0DE7" w14:textId="77777777" w:rsidR="00947B3E" w:rsidRPr="006533F8" w:rsidRDefault="00947B3E" w:rsidP="00947B3E">
      <w:pPr>
        <w:spacing w:line="360" w:lineRule="auto"/>
        <w:ind w:right="-232"/>
        <w:rPr>
          <w:szCs w:val="24"/>
          <w:lang w:val="es-MX"/>
        </w:rPr>
      </w:pPr>
    </w:p>
    <w:p w14:paraId="425507EC" w14:textId="1BEBE07C" w:rsidR="00947B3E" w:rsidRPr="00830A41" w:rsidRDefault="00947B3E" w:rsidP="00947B3E">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lastRenderedPageBreak/>
        <w:t xml:space="preserve">Asimismo, se captan recursos por </w:t>
      </w:r>
      <w:r w:rsidRPr="00830A41">
        <w:rPr>
          <w:rFonts w:asciiTheme="majorHAnsi" w:hAnsiTheme="majorHAnsi" w:cstheme="majorHAnsi"/>
          <w:b/>
          <w:szCs w:val="24"/>
          <w:lang w:val="es-MX"/>
        </w:rPr>
        <w:t>Aprovechamientos</w:t>
      </w:r>
      <w:r w:rsidRPr="00830A41">
        <w:rPr>
          <w:rFonts w:asciiTheme="majorHAnsi" w:hAnsiTheme="majorHAnsi" w:cstheme="majorHAnsi"/>
          <w:szCs w:val="24"/>
          <w:lang w:val="es-MX"/>
        </w:rPr>
        <w:t xml:space="preserve"> que comprenden los ingresos que el Estado perciba por concepto de herencias, legados, donaciones, concesiones de contratos, subsidios, cooperaciones, multas, recargos, gastos de ejecución, reintegros, remates, rezagos e indemnizaciones a favor de la hacienda pública estatal; así como, los ingresos de eventos artísticos, culturales, deportivos, ferias, exposiciones y en general, cualquier otro ingreso no clasificado como </w:t>
      </w:r>
      <w:r w:rsidR="00A56E72" w:rsidRPr="00830A41">
        <w:rPr>
          <w:rFonts w:asciiTheme="majorHAnsi" w:hAnsiTheme="majorHAnsi" w:cstheme="majorHAnsi"/>
          <w:szCs w:val="24"/>
          <w:lang w:val="es-MX"/>
        </w:rPr>
        <w:t>i</w:t>
      </w:r>
      <w:r w:rsidRPr="00830A41">
        <w:rPr>
          <w:rFonts w:asciiTheme="majorHAnsi" w:hAnsiTheme="majorHAnsi" w:cstheme="majorHAnsi"/>
          <w:szCs w:val="24"/>
          <w:lang w:val="es-MX"/>
        </w:rPr>
        <w:t>mpuesto, derecho, producto o participaciones</w:t>
      </w:r>
      <w:r w:rsidR="00FC14F4" w:rsidRPr="00830A41">
        <w:rPr>
          <w:rFonts w:asciiTheme="majorHAnsi" w:hAnsiTheme="majorHAnsi" w:cstheme="majorHAnsi"/>
          <w:szCs w:val="24"/>
          <w:lang w:val="es-MX"/>
        </w:rPr>
        <w:t>.</w:t>
      </w:r>
    </w:p>
    <w:p w14:paraId="531DBAA1" w14:textId="77777777" w:rsidR="00556038" w:rsidRPr="00830A41" w:rsidRDefault="00556038" w:rsidP="00947B3E">
      <w:pPr>
        <w:spacing w:line="360" w:lineRule="auto"/>
        <w:ind w:right="-232"/>
        <w:rPr>
          <w:rFonts w:asciiTheme="majorHAnsi" w:hAnsiTheme="majorHAnsi" w:cstheme="majorHAnsi"/>
          <w:szCs w:val="24"/>
          <w:lang w:val="es-MX"/>
        </w:rPr>
      </w:pPr>
    </w:p>
    <w:p w14:paraId="1B54AAFB" w14:textId="60B25410" w:rsidR="00947B3E" w:rsidRPr="00830A41" w:rsidRDefault="0082363D" w:rsidP="00947B3E">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t>Este</w:t>
      </w:r>
      <w:r w:rsidR="00947B3E" w:rsidRPr="00830A41">
        <w:rPr>
          <w:rFonts w:asciiTheme="majorHAnsi" w:hAnsiTheme="majorHAnsi" w:cstheme="majorHAnsi"/>
          <w:szCs w:val="24"/>
          <w:lang w:val="es-MX"/>
        </w:rPr>
        <w:t xml:space="preserve"> rubro de Aprovechamientos constituye un </w:t>
      </w:r>
      <w:r w:rsidR="00C44687" w:rsidRPr="00830A41">
        <w:rPr>
          <w:rFonts w:asciiTheme="majorHAnsi" w:hAnsiTheme="majorHAnsi" w:cstheme="majorHAnsi"/>
          <w:b/>
          <w:szCs w:val="24"/>
          <w:lang w:val="es-MX"/>
        </w:rPr>
        <w:t>2.</w:t>
      </w:r>
      <w:r w:rsidR="00586030" w:rsidRPr="00830A41">
        <w:rPr>
          <w:rFonts w:asciiTheme="majorHAnsi" w:hAnsiTheme="majorHAnsi" w:cstheme="majorHAnsi"/>
          <w:b/>
          <w:szCs w:val="24"/>
          <w:lang w:val="es-MX"/>
        </w:rPr>
        <w:t>41</w:t>
      </w:r>
      <w:r w:rsidR="00947B3E" w:rsidRPr="00830A41">
        <w:rPr>
          <w:rFonts w:asciiTheme="majorHAnsi" w:hAnsiTheme="majorHAnsi" w:cstheme="majorHAnsi"/>
          <w:b/>
          <w:szCs w:val="24"/>
          <w:lang w:val="es-MX"/>
        </w:rPr>
        <w:t xml:space="preserve"> por ciento</w:t>
      </w:r>
      <w:r w:rsidR="00947B3E" w:rsidRPr="00830A41">
        <w:rPr>
          <w:rFonts w:asciiTheme="majorHAnsi" w:hAnsiTheme="majorHAnsi" w:cstheme="majorHAnsi"/>
          <w:szCs w:val="24"/>
          <w:lang w:val="es-MX"/>
        </w:rPr>
        <w:t xml:space="preserve"> del total de recursos propios estimados en esta Ley. </w:t>
      </w:r>
    </w:p>
    <w:p w14:paraId="1A3020C0" w14:textId="77777777" w:rsidR="00C053D3" w:rsidRPr="00830A41" w:rsidRDefault="00C053D3" w:rsidP="00947B3E">
      <w:pPr>
        <w:spacing w:line="360" w:lineRule="auto"/>
        <w:ind w:right="-232"/>
        <w:rPr>
          <w:rFonts w:asciiTheme="majorHAnsi" w:hAnsiTheme="majorHAnsi" w:cstheme="majorHAnsi"/>
          <w:szCs w:val="24"/>
          <w:lang w:val="es-MX"/>
        </w:rPr>
      </w:pPr>
    </w:p>
    <w:p w14:paraId="436516C1" w14:textId="4E2B10DF" w:rsidR="00947B3E" w:rsidRPr="00830A41" w:rsidRDefault="009D2961" w:rsidP="00947B3E">
      <w:pPr>
        <w:spacing w:line="360" w:lineRule="auto"/>
        <w:ind w:right="-232"/>
        <w:rPr>
          <w:rFonts w:asciiTheme="majorHAnsi" w:hAnsiTheme="majorHAnsi" w:cstheme="majorHAnsi"/>
          <w:szCs w:val="24"/>
          <w:lang w:val="es-MX"/>
        </w:rPr>
      </w:pPr>
      <w:r w:rsidRPr="00830A41">
        <w:rPr>
          <w:rFonts w:asciiTheme="majorHAnsi" w:hAnsiTheme="majorHAnsi" w:cstheme="majorHAnsi"/>
          <w:szCs w:val="24"/>
          <w:lang w:val="es-MX"/>
        </w:rPr>
        <w:t>Los Ingresos E</w:t>
      </w:r>
      <w:r w:rsidR="00947B3E" w:rsidRPr="00830A41">
        <w:rPr>
          <w:rFonts w:asciiTheme="majorHAnsi" w:hAnsiTheme="majorHAnsi" w:cstheme="majorHAnsi"/>
          <w:szCs w:val="24"/>
          <w:lang w:val="es-MX"/>
        </w:rPr>
        <w:t>statales estimados a recibir durante el ejercicio fiscal 201</w:t>
      </w:r>
      <w:r w:rsidR="00E2786C" w:rsidRPr="00830A41">
        <w:rPr>
          <w:rFonts w:asciiTheme="majorHAnsi" w:hAnsiTheme="majorHAnsi" w:cstheme="majorHAnsi"/>
          <w:szCs w:val="24"/>
          <w:lang w:val="es-MX"/>
        </w:rPr>
        <w:t>9</w:t>
      </w:r>
      <w:r w:rsidR="00947B3E" w:rsidRPr="00830A41">
        <w:rPr>
          <w:rFonts w:asciiTheme="majorHAnsi" w:hAnsiTheme="majorHAnsi" w:cstheme="majorHAnsi"/>
          <w:szCs w:val="24"/>
          <w:lang w:val="es-MX"/>
        </w:rPr>
        <w:t xml:space="preserve">, ascienden a </w:t>
      </w:r>
      <w:r w:rsidR="00E2786C" w:rsidRPr="00830A41">
        <w:rPr>
          <w:rFonts w:asciiTheme="majorHAnsi" w:hAnsiTheme="majorHAnsi" w:cstheme="majorHAnsi"/>
          <w:b/>
          <w:szCs w:val="24"/>
          <w:lang w:val="es-MX"/>
        </w:rPr>
        <w:t>2</w:t>
      </w:r>
      <w:r w:rsidR="009458E2" w:rsidRPr="00830A41">
        <w:rPr>
          <w:rFonts w:asciiTheme="majorHAnsi" w:hAnsiTheme="majorHAnsi" w:cstheme="majorHAnsi"/>
          <w:b/>
          <w:szCs w:val="24"/>
          <w:lang w:val="es-MX"/>
        </w:rPr>
        <w:t xml:space="preserve"> mil </w:t>
      </w:r>
      <w:r w:rsidR="00E2786C" w:rsidRPr="00830A41">
        <w:rPr>
          <w:rFonts w:asciiTheme="majorHAnsi" w:hAnsiTheme="majorHAnsi" w:cstheme="majorHAnsi"/>
          <w:b/>
          <w:szCs w:val="24"/>
          <w:lang w:val="es-MX"/>
        </w:rPr>
        <w:t>800</w:t>
      </w:r>
      <w:r w:rsidR="00947B3E" w:rsidRPr="00830A41">
        <w:rPr>
          <w:rFonts w:asciiTheme="majorHAnsi" w:hAnsiTheme="majorHAnsi" w:cstheme="majorHAnsi"/>
          <w:b/>
          <w:szCs w:val="24"/>
          <w:lang w:val="es-MX"/>
        </w:rPr>
        <w:t xml:space="preserve"> millones </w:t>
      </w:r>
      <w:r w:rsidR="00E2786C" w:rsidRPr="00830A41">
        <w:rPr>
          <w:rFonts w:asciiTheme="majorHAnsi" w:hAnsiTheme="majorHAnsi" w:cstheme="majorHAnsi"/>
          <w:b/>
          <w:szCs w:val="24"/>
          <w:lang w:val="es-MX"/>
        </w:rPr>
        <w:t>954</w:t>
      </w:r>
      <w:r w:rsidR="00947B3E" w:rsidRPr="00830A41">
        <w:rPr>
          <w:rFonts w:asciiTheme="majorHAnsi" w:hAnsiTheme="majorHAnsi" w:cstheme="majorHAnsi"/>
          <w:b/>
          <w:szCs w:val="24"/>
          <w:lang w:val="es-MX"/>
        </w:rPr>
        <w:t xml:space="preserve"> mil </w:t>
      </w:r>
      <w:r w:rsidR="00E2786C" w:rsidRPr="00830A41">
        <w:rPr>
          <w:rFonts w:asciiTheme="majorHAnsi" w:hAnsiTheme="majorHAnsi" w:cstheme="majorHAnsi"/>
          <w:b/>
          <w:szCs w:val="24"/>
          <w:lang w:val="es-MX"/>
        </w:rPr>
        <w:t>383</w:t>
      </w:r>
      <w:r w:rsidR="00947B3E" w:rsidRPr="00830A41">
        <w:rPr>
          <w:rFonts w:asciiTheme="majorHAnsi" w:hAnsiTheme="majorHAnsi" w:cstheme="majorHAnsi"/>
          <w:b/>
          <w:szCs w:val="24"/>
          <w:lang w:val="es-MX"/>
        </w:rPr>
        <w:t xml:space="preserve"> pesos,</w:t>
      </w:r>
      <w:r w:rsidR="00A56E72" w:rsidRPr="00830A41">
        <w:rPr>
          <w:rFonts w:asciiTheme="majorHAnsi" w:hAnsiTheme="majorHAnsi" w:cstheme="majorHAnsi"/>
          <w:szCs w:val="24"/>
          <w:lang w:val="es-MX"/>
        </w:rPr>
        <w:t xml:space="preserve"> mismos que se detallan en el a</w:t>
      </w:r>
      <w:r w:rsidR="00947B3E" w:rsidRPr="00830A41">
        <w:rPr>
          <w:rFonts w:asciiTheme="majorHAnsi" w:hAnsiTheme="majorHAnsi" w:cstheme="majorHAnsi"/>
          <w:szCs w:val="24"/>
          <w:lang w:val="es-MX"/>
        </w:rPr>
        <w:t xml:space="preserve">rtículo 1 de la presente Ley. </w:t>
      </w:r>
    </w:p>
    <w:p w14:paraId="275B4D0D" w14:textId="77777777" w:rsidR="00EC4EA1" w:rsidRPr="00830A41" w:rsidRDefault="00EC4EA1" w:rsidP="00564934">
      <w:pPr>
        <w:autoSpaceDE w:val="0"/>
        <w:autoSpaceDN w:val="0"/>
        <w:adjustRightInd w:val="0"/>
        <w:spacing w:line="360" w:lineRule="auto"/>
        <w:ind w:right="-232"/>
        <w:rPr>
          <w:rFonts w:asciiTheme="majorHAnsi" w:hAnsiTheme="majorHAnsi" w:cstheme="majorHAnsi"/>
          <w:b/>
          <w:sz w:val="28"/>
          <w:szCs w:val="24"/>
          <w:lang w:val="es-MX"/>
        </w:rPr>
      </w:pPr>
    </w:p>
    <w:p w14:paraId="21078706" w14:textId="77777777" w:rsidR="00CD48CB" w:rsidRPr="00830A41" w:rsidRDefault="00CD48CB" w:rsidP="00564934">
      <w:pPr>
        <w:autoSpaceDE w:val="0"/>
        <w:autoSpaceDN w:val="0"/>
        <w:adjustRightInd w:val="0"/>
        <w:spacing w:line="360" w:lineRule="auto"/>
        <w:ind w:right="-232"/>
        <w:rPr>
          <w:rFonts w:asciiTheme="majorHAnsi" w:hAnsiTheme="majorHAnsi" w:cstheme="majorHAnsi"/>
          <w:b/>
          <w:szCs w:val="24"/>
        </w:rPr>
      </w:pPr>
      <w:r w:rsidRPr="00830A41">
        <w:rPr>
          <w:rFonts w:asciiTheme="majorHAnsi" w:hAnsiTheme="majorHAnsi" w:cstheme="majorHAnsi"/>
          <w:b/>
          <w:szCs w:val="24"/>
        </w:rPr>
        <w:t xml:space="preserve">Ingresos Federales </w:t>
      </w:r>
    </w:p>
    <w:p w14:paraId="38D3B30B" w14:textId="77777777" w:rsidR="00DC59F2" w:rsidRDefault="00DC59F2" w:rsidP="00564934">
      <w:pPr>
        <w:autoSpaceDE w:val="0"/>
        <w:autoSpaceDN w:val="0"/>
        <w:adjustRightInd w:val="0"/>
        <w:spacing w:line="360" w:lineRule="auto"/>
        <w:ind w:right="-232"/>
        <w:rPr>
          <w:szCs w:val="24"/>
        </w:rPr>
      </w:pPr>
    </w:p>
    <w:p w14:paraId="54B2983C" w14:textId="77777777" w:rsidR="007F1226" w:rsidRPr="00830A41" w:rsidRDefault="007F1226" w:rsidP="007F1226">
      <w:pPr>
        <w:autoSpaceDE w:val="0"/>
        <w:autoSpaceDN w:val="0"/>
        <w:adjustRightInd w:val="0"/>
        <w:spacing w:line="360" w:lineRule="auto"/>
        <w:ind w:right="35"/>
        <w:rPr>
          <w:rFonts w:asciiTheme="majorHAnsi" w:hAnsiTheme="majorHAnsi" w:cstheme="majorHAnsi"/>
          <w:szCs w:val="24"/>
        </w:rPr>
      </w:pPr>
      <w:r w:rsidRPr="00830A41">
        <w:rPr>
          <w:rFonts w:asciiTheme="majorHAnsi" w:hAnsiTheme="majorHAnsi" w:cstheme="majorHAnsi"/>
          <w:szCs w:val="24"/>
        </w:rPr>
        <w:t>Los Ingresos Federales son recursos que transfiere la Federación al Estado y estos se clasifican en los siguientes rubros: Participaciones, Aportaciones, Convenios, Incentivos Derivados de la Colaboración Fiscal y Fondos Distintos de Aportaciones; y Transferencias, Asignaciones, Subsidios y Subvenciones, y Pensiones y Jubilaciones, mismos que se desglosan a continuación:</w:t>
      </w:r>
    </w:p>
    <w:p w14:paraId="628725E3" w14:textId="77777777" w:rsidR="007F1226" w:rsidRPr="00830A41" w:rsidRDefault="007F1226" w:rsidP="007F1226">
      <w:pPr>
        <w:autoSpaceDE w:val="0"/>
        <w:autoSpaceDN w:val="0"/>
        <w:adjustRightInd w:val="0"/>
        <w:spacing w:line="360" w:lineRule="auto"/>
        <w:ind w:right="35"/>
        <w:rPr>
          <w:rFonts w:asciiTheme="majorHAnsi" w:hAnsiTheme="majorHAnsi" w:cstheme="majorHAnsi"/>
          <w:szCs w:val="24"/>
        </w:rPr>
      </w:pPr>
    </w:p>
    <w:p w14:paraId="75C56B79" w14:textId="46D2DB33" w:rsidR="007F1226" w:rsidRPr="00830A41" w:rsidRDefault="007F1226" w:rsidP="007F1226">
      <w:pPr>
        <w:spacing w:line="360" w:lineRule="auto"/>
        <w:ind w:right="35"/>
        <w:rPr>
          <w:rFonts w:asciiTheme="majorHAnsi" w:hAnsiTheme="majorHAnsi" w:cstheme="majorHAnsi"/>
          <w:szCs w:val="24"/>
        </w:rPr>
      </w:pPr>
      <w:r w:rsidRPr="00830A41">
        <w:rPr>
          <w:rFonts w:asciiTheme="majorHAnsi" w:hAnsiTheme="majorHAnsi" w:cstheme="majorHAnsi"/>
          <w:szCs w:val="24"/>
        </w:rPr>
        <w:t xml:space="preserve">El rubro de </w:t>
      </w:r>
      <w:r w:rsidRPr="00830A41">
        <w:rPr>
          <w:rFonts w:asciiTheme="majorHAnsi" w:hAnsiTheme="majorHAnsi" w:cstheme="majorHAnsi"/>
          <w:b/>
          <w:szCs w:val="24"/>
        </w:rPr>
        <w:t>Participaciones</w:t>
      </w:r>
      <w:r w:rsidRPr="00830A41">
        <w:rPr>
          <w:rFonts w:asciiTheme="majorHAnsi" w:hAnsiTheme="majorHAnsi" w:cstheme="majorHAnsi"/>
          <w:szCs w:val="24"/>
        </w:rPr>
        <w:t xml:space="preserve">, transfiere los recursos correspondientes a las Participaciones en Ingresos Federales a los Estados y Municipios, de acuerdo con la Ley de Coordinación Fiscal (LCF) y los Convenios de Adhesión al Sistema Nacional de Coordinación Fiscal y sus anexos; así como, de conformidad con los Convenios de Colaboración Administrativa en Materia Fiscal Federal y sus anexos. Estos recursos son de libre disposición, se establecen en el Capítulo I de la LCF, y se componen de siete fondos. </w:t>
      </w:r>
      <w:r w:rsidRPr="00830A41">
        <w:rPr>
          <w:rFonts w:asciiTheme="majorHAnsi" w:hAnsiTheme="majorHAnsi" w:cstheme="majorHAnsi"/>
          <w:szCs w:val="24"/>
          <w:lang w:val="es-MX"/>
        </w:rPr>
        <w:t xml:space="preserve">Cabe señalar, que las Participaciones representan el </w:t>
      </w:r>
      <w:r w:rsidRPr="00830A41">
        <w:rPr>
          <w:rFonts w:asciiTheme="majorHAnsi" w:hAnsiTheme="majorHAnsi" w:cstheme="majorHAnsi"/>
          <w:b/>
          <w:szCs w:val="24"/>
          <w:lang w:val="es-MX"/>
        </w:rPr>
        <w:t>4</w:t>
      </w:r>
      <w:r w:rsidR="000934F3" w:rsidRPr="00830A41">
        <w:rPr>
          <w:rFonts w:asciiTheme="majorHAnsi" w:hAnsiTheme="majorHAnsi" w:cstheme="majorHAnsi"/>
          <w:b/>
          <w:szCs w:val="24"/>
          <w:lang w:val="es-MX"/>
        </w:rPr>
        <w:t>8</w:t>
      </w:r>
      <w:r w:rsidRPr="00830A41">
        <w:rPr>
          <w:rFonts w:asciiTheme="majorHAnsi" w:hAnsiTheme="majorHAnsi" w:cstheme="majorHAnsi"/>
          <w:b/>
          <w:szCs w:val="24"/>
          <w:lang w:val="es-MX"/>
        </w:rPr>
        <w:t>.</w:t>
      </w:r>
      <w:r w:rsidR="009B46E6" w:rsidRPr="00830A41">
        <w:rPr>
          <w:rFonts w:asciiTheme="majorHAnsi" w:hAnsiTheme="majorHAnsi" w:cstheme="majorHAnsi"/>
          <w:b/>
          <w:szCs w:val="24"/>
          <w:lang w:val="es-MX"/>
        </w:rPr>
        <w:t>98</w:t>
      </w:r>
      <w:r w:rsidRPr="00830A41">
        <w:rPr>
          <w:rFonts w:asciiTheme="majorHAnsi" w:hAnsiTheme="majorHAnsi" w:cstheme="majorHAnsi"/>
          <w:b/>
          <w:szCs w:val="24"/>
          <w:lang w:val="es-MX"/>
        </w:rPr>
        <w:t xml:space="preserve"> por ciento</w:t>
      </w:r>
      <w:r w:rsidRPr="00830A41">
        <w:rPr>
          <w:rFonts w:asciiTheme="majorHAnsi" w:hAnsiTheme="majorHAnsi" w:cstheme="majorHAnsi"/>
          <w:szCs w:val="24"/>
          <w:lang w:val="es-MX"/>
        </w:rPr>
        <w:t xml:space="preserve"> del total de Ingresos Federales presupuestados en la presente Ley.</w:t>
      </w:r>
    </w:p>
    <w:p w14:paraId="74A7BDB1" w14:textId="77777777" w:rsidR="00EC4EA1" w:rsidRDefault="00EC4EA1" w:rsidP="007F1226">
      <w:pPr>
        <w:shd w:val="clear" w:color="auto" w:fill="FFFFFF"/>
        <w:spacing w:line="360" w:lineRule="auto"/>
        <w:ind w:right="35"/>
        <w:rPr>
          <w:szCs w:val="24"/>
        </w:rPr>
      </w:pPr>
    </w:p>
    <w:p w14:paraId="21E9EE28" w14:textId="62252490" w:rsidR="007F1226" w:rsidRPr="00830A41" w:rsidRDefault="007F1226" w:rsidP="007F1226">
      <w:pPr>
        <w:shd w:val="clear" w:color="auto" w:fill="FFFFFF"/>
        <w:spacing w:line="360" w:lineRule="auto"/>
        <w:ind w:right="35"/>
        <w:rPr>
          <w:rFonts w:asciiTheme="majorHAnsi" w:hAnsiTheme="majorHAnsi" w:cstheme="majorHAnsi"/>
          <w:szCs w:val="24"/>
        </w:rPr>
      </w:pPr>
      <w:r w:rsidRPr="00830A41">
        <w:rPr>
          <w:rFonts w:asciiTheme="majorHAnsi" w:hAnsiTheme="majorHAnsi" w:cstheme="majorHAnsi"/>
          <w:szCs w:val="24"/>
        </w:rPr>
        <w:t>Dichos fondos se distribuyen, conforme a lo siguiente:</w:t>
      </w:r>
    </w:p>
    <w:p w14:paraId="2662441B" w14:textId="77777777" w:rsidR="007F1226" w:rsidRPr="00830A41" w:rsidRDefault="007F1226" w:rsidP="007F1226">
      <w:pPr>
        <w:tabs>
          <w:tab w:val="left" w:pos="0"/>
        </w:tabs>
        <w:spacing w:line="360" w:lineRule="auto"/>
        <w:ind w:right="35"/>
        <w:rPr>
          <w:rFonts w:asciiTheme="majorHAnsi" w:hAnsiTheme="majorHAnsi" w:cstheme="majorHAnsi"/>
          <w:color w:val="FF0000"/>
          <w:szCs w:val="24"/>
        </w:rPr>
      </w:pPr>
    </w:p>
    <w:p w14:paraId="2BC90FAE" w14:textId="39D20B03" w:rsidR="007F1226" w:rsidRPr="00830A41" w:rsidRDefault="007F1226" w:rsidP="007F1226">
      <w:pPr>
        <w:numPr>
          <w:ilvl w:val="0"/>
          <w:numId w:val="19"/>
        </w:numPr>
        <w:spacing w:line="360" w:lineRule="auto"/>
        <w:ind w:left="426" w:right="35" w:hanging="426"/>
        <w:contextualSpacing/>
        <w:rPr>
          <w:rFonts w:asciiTheme="majorHAnsi" w:hAnsiTheme="majorHAnsi" w:cstheme="majorHAnsi"/>
          <w:szCs w:val="24"/>
        </w:rPr>
      </w:pPr>
      <w:r w:rsidRPr="00830A41">
        <w:rPr>
          <w:rFonts w:asciiTheme="majorHAnsi" w:hAnsiTheme="majorHAnsi" w:cstheme="majorHAnsi"/>
          <w:b/>
          <w:szCs w:val="24"/>
          <w:lang w:val="es-MX"/>
        </w:rPr>
        <w:t xml:space="preserve">Fondo General de Participaciones (FGP).  </w:t>
      </w:r>
      <w:r w:rsidRPr="00830A41">
        <w:rPr>
          <w:rFonts w:asciiTheme="majorHAnsi" w:hAnsiTheme="majorHAnsi" w:cstheme="majorHAnsi"/>
          <w:szCs w:val="24"/>
          <w:lang w:val="es-MX"/>
        </w:rPr>
        <w:t xml:space="preserve">Se constituye con el </w:t>
      </w:r>
      <w:r w:rsidRPr="00830A41">
        <w:rPr>
          <w:rFonts w:asciiTheme="majorHAnsi" w:hAnsiTheme="majorHAnsi" w:cstheme="majorHAnsi"/>
          <w:b/>
          <w:szCs w:val="24"/>
          <w:lang w:val="es-MX"/>
        </w:rPr>
        <w:t>20 por ciento</w:t>
      </w:r>
      <w:r w:rsidRPr="00830A41">
        <w:rPr>
          <w:rFonts w:asciiTheme="majorHAnsi" w:hAnsiTheme="majorHAnsi" w:cstheme="majorHAnsi"/>
          <w:szCs w:val="24"/>
          <w:lang w:val="es-MX"/>
        </w:rPr>
        <w:t xml:space="preserve"> de la RFP y se distribuye mediante la fórmula establecida en el artículo 2 de la LCF, atendiendo a criterios de contribu</w:t>
      </w:r>
      <w:r w:rsidR="00AC0B61" w:rsidRPr="00830A41">
        <w:rPr>
          <w:rFonts w:asciiTheme="majorHAnsi" w:hAnsiTheme="majorHAnsi" w:cstheme="majorHAnsi"/>
          <w:szCs w:val="24"/>
          <w:lang w:val="es-MX"/>
        </w:rPr>
        <w:t>ciones económicas y recaudatoria</w:t>
      </w:r>
      <w:r w:rsidRPr="00830A41">
        <w:rPr>
          <w:rFonts w:asciiTheme="majorHAnsi" w:hAnsiTheme="majorHAnsi" w:cstheme="majorHAnsi"/>
          <w:szCs w:val="24"/>
          <w:lang w:val="es-MX"/>
        </w:rPr>
        <w:t xml:space="preserve">s, ponderados por la población. </w:t>
      </w:r>
      <w:r w:rsidR="000934F3" w:rsidRPr="00830A41">
        <w:rPr>
          <w:rFonts w:asciiTheme="majorHAnsi" w:hAnsiTheme="majorHAnsi" w:cstheme="majorHAnsi"/>
          <w:szCs w:val="24"/>
          <w:lang w:val="es-MX"/>
        </w:rPr>
        <w:t xml:space="preserve"> </w:t>
      </w:r>
      <w:r w:rsidRPr="00830A41">
        <w:rPr>
          <w:rFonts w:asciiTheme="majorHAnsi" w:hAnsiTheme="majorHAnsi" w:cstheme="majorHAnsi"/>
          <w:szCs w:val="24"/>
        </w:rPr>
        <w:t>De acuerdo al artículo 2 de la LCF, este fondo se debe participar con al menos el 20 por ciento a los Municipios; sin embargo, en la Ley de Coordinación Fiscal y Financiera del Estado de Tabasco</w:t>
      </w:r>
      <w:r w:rsidR="00CC0349" w:rsidRPr="00830A41">
        <w:rPr>
          <w:rFonts w:asciiTheme="majorHAnsi" w:hAnsiTheme="majorHAnsi" w:cstheme="majorHAnsi"/>
          <w:szCs w:val="24"/>
        </w:rPr>
        <w:t>,</w:t>
      </w:r>
      <w:r w:rsidRPr="00830A41">
        <w:rPr>
          <w:rFonts w:asciiTheme="majorHAnsi" w:hAnsiTheme="majorHAnsi" w:cstheme="majorHAnsi"/>
          <w:szCs w:val="24"/>
        </w:rPr>
        <w:t xml:space="preserve"> en el artículo 7 inciso A), se establece la participación a los Municipios del 22 por ciento del monto recibido.</w:t>
      </w:r>
    </w:p>
    <w:p w14:paraId="5B6B41B4" w14:textId="77777777" w:rsidR="007F1226" w:rsidRPr="00830A41" w:rsidRDefault="007F1226" w:rsidP="007F1226">
      <w:pPr>
        <w:tabs>
          <w:tab w:val="left" w:pos="0"/>
        </w:tabs>
        <w:spacing w:line="360" w:lineRule="auto"/>
        <w:ind w:right="35"/>
        <w:rPr>
          <w:rFonts w:asciiTheme="majorHAnsi" w:hAnsiTheme="majorHAnsi" w:cstheme="majorHAnsi"/>
          <w:color w:val="FF0000"/>
          <w:szCs w:val="24"/>
        </w:rPr>
      </w:pPr>
    </w:p>
    <w:p w14:paraId="3CC478C6" w14:textId="36709F14" w:rsidR="007F1226" w:rsidRPr="00830A41" w:rsidRDefault="007F1226" w:rsidP="007F1226">
      <w:pPr>
        <w:numPr>
          <w:ilvl w:val="0"/>
          <w:numId w:val="19"/>
        </w:numPr>
        <w:spacing w:line="360" w:lineRule="auto"/>
        <w:ind w:left="426" w:right="35" w:hanging="426"/>
        <w:contextualSpacing/>
        <w:rPr>
          <w:rFonts w:asciiTheme="majorHAnsi" w:hAnsiTheme="majorHAnsi" w:cstheme="majorHAnsi"/>
          <w:b/>
          <w:szCs w:val="24"/>
          <w:lang w:val="es-MX"/>
        </w:rPr>
      </w:pPr>
      <w:r w:rsidRPr="00830A41">
        <w:rPr>
          <w:rFonts w:asciiTheme="majorHAnsi" w:hAnsiTheme="majorHAnsi" w:cstheme="majorHAnsi"/>
          <w:b/>
          <w:szCs w:val="24"/>
          <w:lang w:val="es-MX"/>
        </w:rPr>
        <w:t xml:space="preserve">Fondo de Fomento Municipal (FFM). </w:t>
      </w:r>
      <w:r w:rsidRPr="00830A41">
        <w:rPr>
          <w:rFonts w:asciiTheme="majorHAnsi" w:hAnsiTheme="majorHAnsi" w:cstheme="majorHAnsi"/>
          <w:szCs w:val="24"/>
          <w:lang w:val="es-MX"/>
        </w:rPr>
        <w:t xml:space="preserve">Integrado por el </w:t>
      </w:r>
      <w:r w:rsidRPr="00830A41">
        <w:rPr>
          <w:rFonts w:asciiTheme="majorHAnsi" w:hAnsiTheme="majorHAnsi" w:cstheme="majorHAnsi"/>
          <w:b/>
          <w:szCs w:val="24"/>
          <w:lang w:val="es-MX"/>
        </w:rPr>
        <w:t>1 por ciento</w:t>
      </w:r>
      <w:r w:rsidRPr="00830A41">
        <w:rPr>
          <w:rFonts w:asciiTheme="majorHAnsi" w:hAnsiTheme="majorHAnsi" w:cstheme="majorHAnsi"/>
          <w:szCs w:val="24"/>
          <w:lang w:val="es-MX"/>
        </w:rPr>
        <w:t xml:space="preserve"> de la RFP, </w:t>
      </w:r>
      <w:r w:rsidR="000934F3" w:rsidRPr="00830A41">
        <w:rPr>
          <w:rFonts w:asciiTheme="majorHAnsi" w:hAnsiTheme="majorHAnsi" w:cstheme="majorHAnsi"/>
          <w:szCs w:val="24"/>
          <w:lang w:val="es-MX"/>
        </w:rPr>
        <w:t xml:space="preserve">considerando lo establecido </w:t>
      </w:r>
      <w:r w:rsidRPr="00830A41">
        <w:rPr>
          <w:rFonts w:asciiTheme="majorHAnsi" w:hAnsiTheme="majorHAnsi" w:cstheme="majorHAnsi"/>
          <w:szCs w:val="24"/>
          <w:lang w:val="es-MX"/>
        </w:rPr>
        <w:t xml:space="preserve">en el artículo 2-A </w:t>
      </w:r>
      <w:r w:rsidR="00A22C88" w:rsidRPr="00830A41">
        <w:rPr>
          <w:rFonts w:asciiTheme="majorHAnsi" w:hAnsiTheme="majorHAnsi" w:cstheme="majorHAnsi"/>
          <w:szCs w:val="24"/>
          <w:lang w:val="es-MX"/>
        </w:rPr>
        <w:t xml:space="preserve">Fracción III </w:t>
      </w:r>
      <w:r w:rsidRPr="00830A41">
        <w:rPr>
          <w:rFonts w:asciiTheme="majorHAnsi" w:hAnsiTheme="majorHAnsi" w:cstheme="majorHAnsi"/>
          <w:szCs w:val="24"/>
          <w:lang w:val="es-MX"/>
        </w:rPr>
        <w:t>de la LCF, mediante la cual se incentiva la recaudación local. Este fondo se distribuye directamente a los Municipios del Estado.</w:t>
      </w:r>
    </w:p>
    <w:p w14:paraId="585A0A5C" w14:textId="77777777" w:rsidR="007F1226" w:rsidRPr="00830A41" w:rsidRDefault="007F1226" w:rsidP="007F1226">
      <w:pPr>
        <w:tabs>
          <w:tab w:val="left" w:pos="0"/>
        </w:tabs>
        <w:spacing w:line="360" w:lineRule="auto"/>
        <w:ind w:right="35"/>
        <w:contextualSpacing/>
        <w:rPr>
          <w:rFonts w:asciiTheme="majorHAnsi" w:hAnsiTheme="majorHAnsi" w:cstheme="majorHAnsi"/>
          <w:szCs w:val="24"/>
        </w:rPr>
      </w:pPr>
    </w:p>
    <w:p w14:paraId="114C61BD" w14:textId="06BE5A63" w:rsidR="007F1226" w:rsidRPr="00830A41" w:rsidRDefault="007F1226" w:rsidP="007F1226">
      <w:pPr>
        <w:numPr>
          <w:ilvl w:val="0"/>
          <w:numId w:val="19"/>
        </w:numPr>
        <w:spacing w:line="360" w:lineRule="auto"/>
        <w:ind w:left="426" w:right="35" w:hanging="426"/>
        <w:contextualSpacing/>
        <w:rPr>
          <w:rFonts w:asciiTheme="majorHAnsi" w:hAnsiTheme="majorHAnsi" w:cstheme="majorHAnsi"/>
          <w:szCs w:val="24"/>
          <w:lang w:val="es-MX"/>
        </w:rPr>
      </w:pPr>
      <w:r w:rsidRPr="00830A41">
        <w:rPr>
          <w:rFonts w:asciiTheme="majorHAnsi" w:hAnsiTheme="majorHAnsi" w:cstheme="majorHAnsi"/>
          <w:b/>
          <w:szCs w:val="24"/>
          <w:lang w:val="es-MX"/>
        </w:rPr>
        <w:t xml:space="preserve">Impuesto Especial Sobre Producción y Servicios (IEPS). </w:t>
      </w:r>
      <w:r w:rsidR="000934F3" w:rsidRPr="00830A41">
        <w:rPr>
          <w:rFonts w:asciiTheme="majorHAnsi" w:hAnsiTheme="majorHAnsi" w:cstheme="majorHAnsi"/>
          <w:szCs w:val="24"/>
          <w:lang w:val="es-MX"/>
        </w:rPr>
        <w:t xml:space="preserve">Se tomó en consideración </w:t>
      </w:r>
      <w:r w:rsidRPr="00830A41">
        <w:rPr>
          <w:rFonts w:asciiTheme="majorHAnsi" w:hAnsiTheme="majorHAnsi" w:cstheme="majorHAnsi"/>
          <w:szCs w:val="24"/>
          <w:lang w:val="es-MX"/>
        </w:rPr>
        <w:t xml:space="preserve">la fórmula establecida en el artículo 3-A de la LCF en el cual, el Estado participa del 20 por ciento de la recaudación que se obtenga por la realización de los actos o actividades gravados con dicho impuesto en el caso de cervezas y bebidas alcohólicas, y del 8 por ciento de la recaudación en el caso de tabacos labrados. Los Municipios </w:t>
      </w:r>
      <w:r w:rsidR="00A22C88" w:rsidRPr="00830A41">
        <w:rPr>
          <w:rFonts w:asciiTheme="majorHAnsi" w:hAnsiTheme="majorHAnsi" w:cstheme="majorHAnsi"/>
          <w:szCs w:val="24"/>
          <w:lang w:val="es-MX"/>
        </w:rPr>
        <w:t>perciben</w:t>
      </w:r>
      <w:r w:rsidRPr="00830A41">
        <w:rPr>
          <w:rFonts w:asciiTheme="majorHAnsi" w:hAnsiTheme="majorHAnsi" w:cstheme="majorHAnsi"/>
          <w:szCs w:val="24"/>
          <w:lang w:val="es-MX"/>
        </w:rPr>
        <w:t xml:space="preserve"> el 22 por ciento de los ingresos que recibe el Estado.</w:t>
      </w:r>
    </w:p>
    <w:p w14:paraId="3A4E3BDE" w14:textId="77777777" w:rsidR="007F1226" w:rsidRPr="00830A41" w:rsidRDefault="007F1226" w:rsidP="007F1226">
      <w:pPr>
        <w:tabs>
          <w:tab w:val="left" w:pos="0"/>
        </w:tabs>
        <w:spacing w:line="360" w:lineRule="auto"/>
        <w:ind w:right="35"/>
        <w:rPr>
          <w:rFonts w:asciiTheme="majorHAnsi" w:hAnsiTheme="majorHAnsi" w:cstheme="majorHAnsi"/>
          <w:szCs w:val="24"/>
        </w:rPr>
      </w:pPr>
    </w:p>
    <w:p w14:paraId="665B93EE" w14:textId="77777777" w:rsidR="007F1226" w:rsidRPr="00830A41" w:rsidRDefault="007F1226" w:rsidP="007F1226">
      <w:pPr>
        <w:numPr>
          <w:ilvl w:val="0"/>
          <w:numId w:val="19"/>
        </w:numPr>
        <w:spacing w:line="360" w:lineRule="auto"/>
        <w:ind w:left="426" w:right="35" w:hanging="426"/>
        <w:contextualSpacing/>
        <w:rPr>
          <w:rFonts w:asciiTheme="majorHAnsi" w:hAnsiTheme="majorHAnsi" w:cstheme="majorHAnsi"/>
          <w:szCs w:val="24"/>
          <w:lang w:val="es-MX"/>
        </w:rPr>
      </w:pPr>
      <w:r w:rsidRPr="00830A41">
        <w:rPr>
          <w:rFonts w:asciiTheme="majorHAnsi" w:hAnsiTheme="majorHAnsi" w:cstheme="majorHAnsi"/>
          <w:b/>
          <w:szCs w:val="24"/>
          <w:lang w:val="es-MX"/>
        </w:rPr>
        <w:t xml:space="preserve">Fondo de Fiscalización y Recaudación (FOFIR).  </w:t>
      </w:r>
      <w:r w:rsidRPr="00830A41">
        <w:rPr>
          <w:rFonts w:asciiTheme="majorHAnsi" w:hAnsiTheme="majorHAnsi" w:cstheme="majorHAnsi"/>
          <w:szCs w:val="24"/>
          <w:lang w:val="es-MX"/>
        </w:rPr>
        <w:t xml:space="preserve">Este fondo se calcula en base al artículo 4 de la LCF, el cual se integra con el </w:t>
      </w:r>
      <w:r w:rsidRPr="00830A41">
        <w:rPr>
          <w:rFonts w:asciiTheme="majorHAnsi" w:hAnsiTheme="majorHAnsi" w:cstheme="majorHAnsi"/>
          <w:b/>
          <w:szCs w:val="24"/>
          <w:lang w:val="es-MX"/>
        </w:rPr>
        <w:t xml:space="preserve">1.25 por ciento </w:t>
      </w:r>
      <w:r w:rsidRPr="00830A41">
        <w:rPr>
          <w:rFonts w:asciiTheme="majorHAnsi" w:hAnsiTheme="majorHAnsi" w:cstheme="majorHAnsi"/>
          <w:szCs w:val="24"/>
          <w:lang w:val="es-MX"/>
        </w:rPr>
        <w:t xml:space="preserve">de la RFP, mismo que premia e incentiva las labores de fiscalización que realiza el Estado y considera dos indicadores: eficiencia recaudatoria y fortaleza recaudatoria, medidos de acuerdo con el incremento en la recaudación de los Impuestos y Derechos Locales (incluido el Impuesto Predial y los Derechos por Suministro de Agua) y la participación de los </w:t>
      </w:r>
      <w:r w:rsidRPr="00830A41">
        <w:rPr>
          <w:rFonts w:asciiTheme="majorHAnsi" w:hAnsiTheme="majorHAnsi" w:cstheme="majorHAnsi"/>
          <w:szCs w:val="24"/>
          <w:lang w:val="es-MX"/>
        </w:rPr>
        <w:lastRenderedPageBreak/>
        <w:t>ingresos propios sobre los ingresos de libre disposición, respectivamente. Corresponde a los Municipios recibir el 20 por ciento de los ingresos que recibe el Estado.</w:t>
      </w:r>
    </w:p>
    <w:p w14:paraId="58167F9D" w14:textId="77777777" w:rsidR="007F1226" w:rsidRPr="00830A41" w:rsidRDefault="007F1226" w:rsidP="007F1226">
      <w:pPr>
        <w:numPr>
          <w:ilvl w:val="0"/>
          <w:numId w:val="19"/>
        </w:numPr>
        <w:spacing w:line="360" w:lineRule="auto"/>
        <w:ind w:left="426" w:right="35" w:hanging="426"/>
        <w:contextualSpacing/>
        <w:rPr>
          <w:rFonts w:asciiTheme="majorHAnsi" w:hAnsiTheme="majorHAnsi" w:cstheme="majorHAnsi"/>
          <w:szCs w:val="24"/>
          <w:lang w:val="es-MX"/>
        </w:rPr>
      </w:pPr>
      <w:r w:rsidRPr="00830A41">
        <w:rPr>
          <w:rFonts w:asciiTheme="majorHAnsi" w:hAnsiTheme="majorHAnsi" w:cstheme="majorHAnsi"/>
          <w:b/>
          <w:szCs w:val="24"/>
          <w:lang w:val="es-MX"/>
        </w:rPr>
        <w:t xml:space="preserve">Fondo de Compensación (FOCOM). </w:t>
      </w:r>
      <w:r w:rsidRPr="00830A41">
        <w:rPr>
          <w:rFonts w:asciiTheme="majorHAnsi" w:hAnsiTheme="majorHAnsi" w:cstheme="majorHAnsi"/>
          <w:szCs w:val="24"/>
          <w:lang w:val="es-MX"/>
        </w:rPr>
        <w:t>Mediante el cual se distribuyen 2/11 de la recaudación derivada de las cuotas aplicadas a la venta final de gasolina y diésel, de acuerdo con lo establecido en el artículo 2-A, fracción II, de la Ley del Impuesto Especial sobre Producción y Servicios. Dichos recursos se distribuyen en base a la última información oficial del Instituto Nacional de Estadística, Geografía e Informática (INEGI), a los Estados que tenga los menores niveles de Producto Interno Bruto (PIB) per cápita no minero y no petrolero.</w:t>
      </w:r>
      <w:r w:rsidRPr="00830A41">
        <w:rPr>
          <w:rFonts w:asciiTheme="majorHAnsi" w:hAnsiTheme="majorHAnsi" w:cstheme="majorHAnsi"/>
          <w:b/>
          <w:szCs w:val="24"/>
          <w:lang w:val="es-MX"/>
        </w:rPr>
        <w:t xml:space="preserve"> </w:t>
      </w:r>
      <w:r w:rsidRPr="00830A41">
        <w:rPr>
          <w:rFonts w:asciiTheme="majorHAnsi" w:hAnsiTheme="majorHAnsi" w:cstheme="majorHAnsi"/>
          <w:szCs w:val="24"/>
          <w:lang w:val="es-MX"/>
        </w:rPr>
        <w:t>Sin embargo, para el presente ejercicio fiscal, no se considera la estimación de este fondo, a razón de que a partir del mes de Noviembre de 2017 se dejó de percibir dicho recurso, debido al incremento del PIB estatal, dejando al Estado fuera de las 10 Entidades con menor PIB per cápita no minero y no petrolero.</w:t>
      </w:r>
    </w:p>
    <w:p w14:paraId="722A987A" w14:textId="77777777" w:rsidR="007F1226" w:rsidRPr="00830A41" w:rsidRDefault="007F1226" w:rsidP="007F1226">
      <w:pPr>
        <w:tabs>
          <w:tab w:val="left" w:pos="0"/>
          <w:tab w:val="left" w:pos="142"/>
        </w:tabs>
        <w:spacing w:line="360" w:lineRule="auto"/>
        <w:ind w:right="35"/>
        <w:contextualSpacing/>
        <w:rPr>
          <w:rFonts w:asciiTheme="majorHAnsi" w:hAnsiTheme="majorHAnsi" w:cstheme="majorHAnsi"/>
          <w:szCs w:val="24"/>
          <w:lang w:val="es-MX"/>
        </w:rPr>
      </w:pPr>
    </w:p>
    <w:p w14:paraId="165637C2" w14:textId="13419E00" w:rsidR="007F1226" w:rsidRPr="00830A41" w:rsidRDefault="007F1226" w:rsidP="007F1226">
      <w:pPr>
        <w:numPr>
          <w:ilvl w:val="0"/>
          <w:numId w:val="19"/>
        </w:numPr>
        <w:spacing w:line="360" w:lineRule="auto"/>
        <w:ind w:left="426" w:right="35" w:hanging="426"/>
        <w:contextualSpacing/>
        <w:rPr>
          <w:rFonts w:asciiTheme="majorHAnsi" w:hAnsiTheme="majorHAnsi" w:cstheme="majorHAnsi"/>
          <w:szCs w:val="24"/>
        </w:rPr>
      </w:pPr>
      <w:r w:rsidRPr="00830A41">
        <w:rPr>
          <w:rFonts w:asciiTheme="majorHAnsi" w:hAnsiTheme="majorHAnsi" w:cstheme="majorHAnsi"/>
          <w:b/>
          <w:szCs w:val="24"/>
          <w:lang w:val="es-MX"/>
        </w:rPr>
        <w:t xml:space="preserve">Fondo de Extracción de Hidrocarburos (FEXHI). </w:t>
      </w:r>
      <w:r w:rsidRPr="00830A41">
        <w:rPr>
          <w:rFonts w:asciiTheme="majorHAnsi" w:hAnsiTheme="majorHAnsi" w:cstheme="majorHAnsi"/>
          <w:szCs w:val="24"/>
          <w:lang w:val="es-MX"/>
        </w:rPr>
        <w:t>Está conformado por los recursos que le transfiera el Fondo Mexicano del Petróleo para la Estabilización y el Desarrollo. Este fondo resulta de multiplicar los Ingresos Petroleros por el factor vigente de acuerdo al artículo 91 de la Ley Federal de Presupuesto y Responsabilidad Hacendaria, y se sujetará a lo establecido en el artículo 4-B de</w:t>
      </w:r>
      <w:r w:rsidR="00A22C88" w:rsidRPr="00830A41">
        <w:rPr>
          <w:rFonts w:asciiTheme="majorHAnsi" w:hAnsiTheme="majorHAnsi" w:cstheme="majorHAnsi"/>
          <w:szCs w:val="24"/>
          <w:lang w:val="es-MX"/>
        </w:rPr>
        <w:t xml:space="preserve"> l</w:t>
      </w:r>
      <w:r w:rsidRPr="00830A41">
        <w:rPr>
          <w:rFonts w:asciiTheme="majorHAnsi" w:hAnsiTheme="majorHAnsi" w:cstheme="majorHAnsi"/>
          <w:szCs w:val="24"/>
          <w:lang w:val="es-MX"/>
        </w:rPr>
        <w:t xml:space="preserve">a LCF. </w:t>
      </w:r>
    </w:p>
    <w:p w14:paraId="6926DCEF" w14:textId="77777777" w:rsidR="007F1226" w:rsidRPr="00830A41" w:rsidRDefault="007F1226" w:rsidP="007F1226">
      <w:pPr>
        <w:spacing w:line="360" w:lineRule="auto"/>
        <w:ind w:right="35"/>
        <w:rPr>
          <w:rFonts w:asciiTheme="majorHAnsi" w:hAnsiTheme="majorHAnsi" w:cstheme="majorHAnsi"/>
          <w:szCs w:val="24"/>
          <w:lang w:val="es-MX"/>
        </w:rPr>
      </w:pPr>
    </w:p>
    <w:p w14:paraId="12F6BADB" w14:textId="77777777" w:rsidR="007F1226" w:rsidRPr="00830A41" w:rsidRDefault="007F1226" w:rsidP="007F1226">
      <w:pPr>
        <w:numPr>
          <w:ilvl w:val="0"/>
          <w:numId w:val="19"/>
        </w:numPr>
        <w:spacing w:line="360" w:lineRule="auto"/>
        <w:ind w:left="426" w:right="35"/>
        <w:contextualSpacing/>
        <w:rPr>
          <w:rFonts w:asciiTheme="majorHAnsi" w:hAnsiTheme="majorHAnsi" w:cstheme="majorHAnsi"/>
          <w:szCs w:val="24"/>
          <w:lang w:val="es-MX"/>
        </w:rPr>
      </w:pPr>
      <w:r w:rsidRPr="00830A41">
        <w:rPr>
          <w:rFonts w:asciiTheme="majorHAnsi" w:hAnsiTheme="majorHAnsi" w:cstheme="majorHAnsi"/>
          <w:b/>
          <w:szCs w:val="24"/>
          <w:lang w:val="es-MX"/>
        </w:rPr>
        <w:t xml:space="preserve">Fondo del Impuesto Sobre la Renta (ISR). </w:t>
      </w:r>
      <w:r w:rsidRPr="00830A41">
        <w:rPr>
          <w:rFonts w:asciiTheme="majorHAnsi" w:hAnsiTheme="majorHAnsi" w:cstheme="majorHAnsi"/>
          <w:szCs w:val="24"/>
          <w:lang w:val="es-MX"/>
        </w:rPr>
        <w:t xml:space="preserve">Conforme a lo establecido en el artículo 3-B de la Ley de Coordinación Fiscal, el Estado recibirá el 100 por ciento de la recaudación que se obtenga de este impuesto que efectivamente se entere a la Federación, correspondiente al salario del personal que preste o desempeñe un servicio personal subordinado en las dependencias del Estado y de los Municipios; así como, en sus respectivos organismos autónomos y entidades paraestatales y paramunicipales, siempre que el salario sea efectivamente pagado por los entes mencionados con cargo a sus participaciones u otros ingresos locales. </w:t>
      </w:r>
    </w:p>
    <w:p w14:paraId="39CC4EDB" w14:textId="77777777" w:rsidR="007F1226" w:rsidRPr="00830A41" w:rsidRDefault="007F1226" w:rsidP="007F1226">
      <w:pPr>
        <w:spacing w:line="360" w:lineRule="auto"/>
        <w:ind w:left="426" w:right="35"/>
        <w:contextualSpacing/>
        <w:rPr>
          <w:rFonts w:asciiTheme="majorHAnsi" w:hAnsiTheme="majorHAnsi" w:cstheme="majorHAnsi"/>
          <w:szCs w:val="24"/>
          <w:lang w:val="es-MX"/>
        </w:rPr>
      </w:pPr>
    </w:p>
    <w:p w14:paraId="6DFA0CB6" w14:textId="227401D4" w:rsidR="007F1226" w:rsidRPr="00830A41" w:rsidRDefault="007F1226" w:rsidP="007F1226">
      <w:pPr>
        <w:spacing w:line="360" w:lineRule="auto"/>
        <w:ind w:right="35"/>
        <w:contextualSpacing/>
        <w:rPr>
          <w:rFonts w:asciiTheme="majorHAnsi" w:hAnsiTheme="majorHAnsi" w:cstheme="majorHAnsi"/>
          <w:szCs w:val="24"/>
          <w:lang w:val="es-MX"/>
        </w:rPr>
      </w:pPr>
      <w:r w:rsidRPr="00830A41">
        <w:rPr>
          <w:rFonts w:asciiTheme="majorHAnsi" w:hAnsiTheme="majorHAnsi" w:cstheme="majorHAnsi"/>
          <w:szCs w:val="24"/>
          <w:lang w:val="es-MX"/>
        </w:rPr>
        <w:t xml:space="preserve">Para el rubro de </w:t>
      </w:r>
      <w:r w:rsidRPr="00830A41">
        <w:rPr>
          <w:rFonts w:asciiTheme="majorHAnsi" w:hAnsiTheme="majorHAnsi" w:cstheme="majorHAnsi"/>
          <w:b/>
          <w:szCs w:val="24"/>
          <w:lang w:val="es-MX"/>
        </w:rPr>
        <w:t>Aportaciones</w:t>
      </w:r>
      <w:r w:rsidRPr="00830A41">
        <w:rPr>
          <w:rFonts w:asciiTheme="majorHAnsi" w:hAnsiTheme="majorHAnsi" w:cstheme="majorHAnsi"/>
          <w:szCs w:val="24"/>
          <w:lang w:val="es-MX"/>
        </w:rPr>
        <w:t xml:space="preserve"> se </w:t>
      </w:r>
      <w:r w:rsidRPr="00830A41">
        <w:rPr>
          <w:rFonts w:asciiTheme="majorHAnsi" w:hAnsiTheme="majorHAnsi" w:cstheme="majorHAnsi"/>
          <w:szCs w:val="24"/>
        </w:rPr>
        <w:t>contemplaron las disposiciones contenidas en la Ley de Coordinación Fiscal,</w:t>
      </w:r>
      <w:r w:rsidRPr="00830A41">
        <w:rPr>
          <w:rFonts w:asciiTheme="majorHAnsi" w:hAnsiTheme="majorHAnsi" w:cstheme="majorHAnsi"/>
          <w:szCs w:val="24"/>
          <w:lang w:val="es-MX"/>
        </w:rPr>
        <w:t xml:space="preserve"> donde se establece la ejecución de las actividades relacionadas con áreas prioritarias para el desarrollo nacional, como la educación básica y normal, salud, combate a la pobreza, asistencia social, infraestructura educativa, fortalecimiento de los Estados y Municipios, seguridad pública, educación tecnológica y de adultos, y con fines específicos. Este rubro representa el </w:t>
      </w:r>
      <w:r w:rsidRPr="00830A41">
        <w:rPr>
          <w:rFonts w:asciiTheme="majorHAnsi" w:hAnsiTheme="majorHAnsi" w:cstheme="majorHAnsi"/>
          <w:b/>
          <w:szCs w:val="24"/>
          <w:lang w:val="es-MX"/>
        </w:rPr>
        <w:t>3</w:t>
      </w:r>
      <w:r w:rsidR="000648EB" w:rsidRPr="00830A41">
        <w:rPr>
          <w:rFonts w:asciiTheme="majorHAnsi" w:hAnsiTheme="majorHAnsi" w:cstheme="majorHAnsi"/>
          <w:b/>
          <w:szCs w:val="24"/>
          <w:lang w:val="es-MX"/>
        </w:rPr>
        <w:t>1</w:t>
      </w:r>
      <w:r w:rsidRPr="00830A41">
        <w:rPr>
          <w:rFonts w:asciiTheme="majorHAnsi" w:hAnsiTheme="majorHAnsi" w:cstheme="majorHAnsi"/>
          <w:b/>
          <w:szCs w:val="24"/>
          <w:lang w:val="es-MX"/>
        </w:rPr>
        <w:t>.</w:t>
      </w:r>
      <w:r w:rsidR="009B46E6" w:rsidRPr="00830A41">
        <w:rPr>
          <w:rFonts w:asciiTheme="majorHAnsi" w:hAnsiTheme="majorHAnsi" w:cstheme="majorHAnsi"/>
          <w:b/>
          <w:szCs w:val="24"/>
          <w:lang w:val="es-MX"/>
        </w:rPr>
        <w:t xml:space="preserve">87 </w:t>
      </w:r>
      <w:r w:rsidRPr="00830A41">
        <w:rPr>
          <w:rFonts w:asciiTheme="majorHAnsi" w:hAnsiTheme="majorHAnsi" w:cstheme="majorHAnsi"/>
          <w:b/>
          <w:szCs w:val="24"/>
          <w:lang w:val="es-MX"/>
        </w:rPr>
        <w:t>por ciento</w:t>
      </w:r>
      <w:r w:rsidRPr="00830A41">
        <w:rPr>
          <w:rFonts w:asciiTheme="majorHAnsi" w:hAnsiTheme="majorHAnsi" w:cstheme="majorHAnsi"/>
          <w:szCs w:val="24"/>
          <w:lang w:val="es-MX"/>
        </w:rPr>
        <w:t xml:space="preserve"> de los Ingresos Federales proyectados en esta Ley.</w:t>
      </w:r>
    </w:p>
    <w:p w14:paraId="2CC68433" w14:textId="77777777" w:rsidR="007F1226" w:rsidRPr="00830A41" w:rsidRDefault="007F1226" w:rsidP="007F1226">
      <w:pPr>
        <w:spacing w:line="360" w:lineRule="auto"/>
        <w:ind w:right="35"/>
        <w:rPr>
          <w:rFonts w:asciiTheme="majorHAnsi" w:hAnsiTheme="majorHAnsi" w:cstheme="majorHAnsi"/>
          <w:szCs w:val="24"/>
        </w:rPr>
      </w:pPr>
    </w:p>
    <w:p w14:paraId="56CA6986" w14:textId="77777777" w:rsidR="007F1226" w:rsidRPr="00830A41" w:rsidRDefault="007F1226" w:rsidP="007F1226">
      <w:pPr>
        <w:spacing w:line="360" w:lineRule="auto"/>
        <w:ind w:right="35"/>
        <w:rPr>
          <w:rFonts w:asciiTheme="majorHAnsi" w:hAnsiTheme="majorHAnsi" w:cstheme="majorHAnsi"/>
          <w:szCs w:val="24"/>
        </w:rPr>
      </w:pPr>
      <w:r w:rsidRPr="00830A41">
        <w:rPr>
          <w:rFonts w:asciiTheme="majorHAnsi" w:hAnsiTheme="majorHAnsi" w:cstheme="majorHAnsi"/>
          <w:szCs w:val="24"/>
        </w:rPr>
        <w:t>Estos Fondos son los siguientes:</w:t>
      </w:r>
    </w:p>
    <w:p w14:paraId="2E3F2115" w14:textId="77777777" w:rsidR="007F1226" w:rsidRPr="00830A41" w:rsidRDefault="007F1226" w:rsidP="007F1226">
      <w:pPr>
        <w:spacing w:line="360" w:lineRule="auto"/>
        <w:ind w:right="35"/>
        <w:contextualSpacing/>
        <w:rPr>
          <w:rFonts w:asciiTheme="majorHAnsi" w:hAnsiTheme="majorHAnsi" w:cstheme="majorHAnsi"/>
          <w:szCs w:val="24"/>
          <w:lang w:val="es-MX"/>
        </w:rPr>
      </w:pPr>
    </w:p>
    <w:p w14:paraId="46E4EF95" w14:textId="77777777" w:rsidR="007F1226" w:rsidRPr="00830A41" w:rsidRDefault="007F1226" w:rsidP="007F1226">
      <w:pPr>
        <w:numPr>
          <w:ilvl w:val="0"/>
          <w:numId w:val="20"/>
        </w:numPr>
        <w:spacing w:line="360" w:lineRule="auto"/>
        <w:ind w:left="426" w:right="35"/>
        <w:contextualSpacing/>
        <w:rPr>
          <w:rFonts w:asciiTheme="majorHAnsi" w:hAnsiTheme="majorHAnsi" w:cstheme="majorHAnsi"/>
          <w:szCs w:val="24"/>
          <w:lang w:val="es-MX"/>
        </w:rPr>
      </w:pPr>
      <w:r w:rsidRPr="00830A41">
        <w:rPr>
          <w:rFonts w:asciiTheme="majorHAnsi" w:hAnsiTheme="majorHAnsi" w:cstheme="majorHAnsi"/>
          <w:b/>
          <w:szCs w:val="24"/>
          <w:lang w:val="es-MX"/>
        </w:rPr>
        <w:t>Fondo de Aportaciones para la Nómina Educativa y Gasto Operativo (FONE)</w:t>
      </w:r>
      <w:r w:rsidRPr="00830A41">
        <w:rPr>
          <w:rFonts w:asciiTheme="majorHAnsi" w:hAnsiTheme="majorHAnsi" w:cstheme="majorHAnsi"/>
          <w:szCs w:val="24"/>
          <w:lang w:val="es-MX"/>
        </w:rPr>
        <w:t>. Será administrado por la Secretaría de Hacienda y Crédito Público y la transferencia de estos recursos se realizará en los términos del artículo 26 de la LCF. Los recursos del FONE son destinados a cubrir servicios personales, gastos de operación y otros de gasto corriente.</w:t>
      </w:r>
    </w:p>
    <w:p w14:paraId="57C7EF82" w14:textId="77777777" w:rsidR="007F1226" w:rsidRPr="00830A41" w:rsidRDefault="007F1226" w:rsidP="007F1226">
      <w:pPr>
        <w:spacing w:line="360" w:lineRule="auto"/>
        <w:ind w:left="426" w:right="35" w:hanging="426"/>
        <w:contextualSpacing/>
        <w:rPr>
          <w:rFonts w:asciiTheme="majorHAnsi" w:hAnsiTheme="majorHAnsi" w:cstheme="majorHAnsi"/>
          <w:szCs w:val="24"/>
          <w:lang w:val="es-MX"/>
        </w:rPr>
      </w:pPr>
    </w:p>
    <w:p w14:paraId="2C3C39E6" w14:textId="77777777" w:rsidR="007F1226" w:rsidRPr="00830A41" w:rsidRDefault="007F1226" w:rsidP="007F1226">
      <w:pPr>
        <w:numPr>
          <w:ilvl w:val="0"/>
          <w:numId w:val="20"/>
        </w:numPr>
        <w:spacing w:line="360" w:lineRule="auto"/>
        <w:ind w:left="426" w:right="35" w:hanging="426"/>
        <w:contextualSpacing/>
        <w:rPr>
          <w:rFonts w:asciiTheme="majorHAnsi" w:hAnsiTheme="majorHAnsi" w:cstheme="majorHAnsi"/>
          <w:b/>
          <w:szCs w:val="24"/>
          <w:lang w:val="es-MX"/>
        </w:rPr>
      </w:pPr>
      <w:r w:rsidRPr="00830A41">
        <w:rPr>
          <w:rFonts w:asciiTheme="majorHAnsi" w:hAnsiTheme="majorHAnsi" w:cstheme="majorHAnsi"/>
          <w:b/>
          <w:szCs w:val="24"/>
          <w:lang w:val="es-MX"/>
        </w:rPr>
        <w:t>Fondo de Aportaciones para los Servicios de Salud (FASSA)</w:t>
      </w:r>
      <w:r w:rsidRPr="00830A41">
        <w:rPr>
          <w:rFonts w:asciiTheme="majorHAnsi" w:hAnsiTheme="majorHAnsi" w:cstheme="majorHAnsi"/>
          <w:szCs w:val="24"/>
          <w:lang w:val="es-MX"/>
        </w:rPr>
        <w:t>.</w:t>
      </w:r>
      <w:r w:rsidRPr="00830A41">
        <w:rPr>
          <w:rFonts w:asciiTheme="majorHAnsi" w:hAnsiTheme="majorHAnsi" w:cstheme="majorHAnsi"/>
          <w:b/>
          <w:szCs w:val="24"/>
          <w:lang w:val="es-MX"/>
        </w:rPr>
        <w:t xml:space="preserve"> </w:t>
      </w:r>
      <w:r w:rsidRPr="00830A41">
        <w:rPr>
          <w:rFonts w:asciiTheme="majorHAnsi" w:hAnsiTheme="majorHAnsi" w:cstheme="majorHAnsi"/>
          <w:szCs w:val="24"/>
          <w:lang w:val="es-MX"/>
        </w:rPr>
        <w:t>Este fondo se distribuye de acuerdo al artículo 29 de la LCF, que tiene como objetivo primordial fortalecer los Servicios Estatales de Salud, para que el Estado responda con eficacia y eficiencia en las necesidades de salud de la población sin seguridad social.</w:t>
      </w:r>
    </w:p>
    <w:p w14:paraId="1D860712" w14:textId="77777777" w:rsidR="007F1226" w:rsidRPr="00830A41" w:rsidRDefault="007F1226" w:rsidP="007F1226">
      <w:pPr>
        <w:spacing w:line="360" w:lineRule="auto"/>
        <w:ind w:left="426" w:right="35" w:hanging="426"/>
        <w:contextualSpacing/>
        <w:rPr>
          <w:rFonts w:asciiTheme="majorHAnsi" w:hAnsiTheme="majorHAnsi" w:cstheme="majorHAnsi"/>
          <w:b/>
          <w:szCs w:val="24"/>
          <w:lang w:val="es-MX"/>
        </w:rPr>
      </w:pPr>
    </w:p>
    <w:p w14:paraId="39CA0133" w14:textId="13A4B262" w:rsidR="007F1226" w:rsidRPr="00830A41" w:rsidRDefault="007F1226" w:rsidP="007F1226">
      <w:pPr>
        <w:numPr>
          <w:ilvl w:val="0"/>
          <w:numId w:val="20"/>
        </w:numPr>
        <w:spacing w:line="360" w:lineRule="auto"/>
        <w:ind w:left="426" w:right="35" w:hanging="426"/>
        <w:contextualSpacing/>
        <w:rPr>
          <w:rFonts w:asciiTheme="majorHAnsi" w:hAnsiTheme="majorHAnsi" w:cstheme="majorHAnsi"/>
          <w:szCs w:val="24"/>
          <w:lang w:val="es-MX"/>
        </w:rPr>
      </w:pPr>
      <w:r w:rsidRPr="00830A41">
        <w:rPr>
          <w:rFonts w:asciiTheme="majorHAnsi" w:hAnsiTheme="majorHAnsi" w:cstheme="majorHAnsi"/>
          <w:b/>
          <w:szCs w:val="24"/>
          <w:lang w:val="es-MX"/>
        </w:rPr>
        <w:t>Fondo de Aportaciones para la Infraestructura Social (FAIS)</w:t>
      </w:r>
      <w:r w:rsidRPr="00830A41">
        <w:rPr>
          <w:rFonts w:asciiTheme="majorHAnsi" w:hAnsiTheme="majorHAnsi" w:cstheme="majorHAnsi"/>
          <w:szCs w:val="24"/>
          <w:lang w:val="es-MX"/>
        </w:rPr>
        <w:t>.</w:t>
      </w:r>
      <w:r w:rsidRPr="00830A41">
        <w:rPr>
          <w:rFonts w:asciiTheme="majorHAnsi" w:hAnsiTheme="majorHAnsi" w:cstheme="majorHAnsi"/>
          <w:b/>
          <w:szCs w:val="24"/>
          <w:lang w:val="es-MX"/>
        </w:rPr>
        <w:t xml:space="preserve"> </w:t>
      </w:r>
      <w:r w:rsidRPr="00830A41">
        <w:rPr>
          <w:rFonts w:asciiTheme="majorHAnsi" w:hAnsiTheme="majorHAnsi" w:cstheme="majorHAnsi"/>
          <w:szCs w:val="24"/>
          <w:lang w:val="es-MX"/>
        </w:rPr>
        <w:t xml:space="preserve">Sirve para el financiamiento de obras, acciones sociales básicas e inversiones que beneficien directamente a la población que habita en Zonas de Atención Prioritaria, localidades con alto o muy alto nivel de rezago social o en condiciones de pobreza extrema, conforme a lo previsto en la Ley General de Desarrollo Social. Asimismo, este fondo se divide en dos vertientes: Fondo para la Infraestructura Social de las Entidades </w:t>
      </w:r>
      <w:r w:rsidRPr="00830A41">
        <w:rPr>
          <w:rFonts w:asciiTheme="majorHAnsi" w:hAnsiTheme="majorHAnsi" w:cstheme="majorHAnsi"/>
          <w:szCs w:val="24"/>
          <w:lang w:val="es-MX"/>
        </w:rPr>
        <w:lastRenderedPageBreak/>
        <w:t>(FISE) y el Fondo para la Infraestructura Social Municipal (FISMDF)</w:t>
      </w:r>
      <w:r w:rsidR="00A436BB" w:rsidRPr="00830A41">
        <w:rPr>
          <w:rFonts w:asciiTheme="majorHAnsi" w:hAnsiTheme="majorHAnsi" w:cstheme="majorHAnsi"/>
          <w:szCs w:val="24"/>
          <w:lang w:val="es-MX"/>
        </w:rPr>
        <w:t>, de conformidad con el Artículo 33 de LCF</w:t>
      </w:r>
      <w:r w:rsidRPr="00830A41">
        <w:rPr>
          <w:rFonts w:asciiTheme="majorHAnsi" w:hAnsiTheme="majorHAnsi" w:cstheme="majorHAnsi"/>
          <w:szCs w:val="24"/>
          <w:lang w:val="es-MX"/>
        </w:rPr>
        <w:t>.</w:t>
      </w:r>
    </w:p>
    <w:p w14:paraId="3DB81566" w14:textId="77777777" w:rsidR="007F1226" w:rsidRPr="00830A41" w:rsidRDefault="007F1226" w:rsidP="007F1226">
      <w:pPr>
        <w:numPr>
          <w:ilvl w:val="0"/>
          <w:numId w:val="20"/>
        </w:numPr>
        <w:autoSpaceDE w:val="0"/>
        <w:autoSpaceDN w:val="0"/>
        <w:adjustRightInd w:val="0"/>
        <w:spacing w:line="360" w:lineRule="auto"/>
        <w:ind w:left="426" w:right="35" w:hanging="426"/>
        <w:rPr>
          <w:rFonts w:asciiTheme="majorHAnsi" w:hAnsiTheme="majorHAnsi" w:cstheme="majorHAnsi"/>
          <w:szCs w:val="24"/>
          <w:lang w:val="es-MX" w:eastAsia="es-MX"/>
        </w:rPr>
      </w:pPr>
      <w:r w:rsidRPr="00830A41">
        <w:rPr>
          <w:rFonts w:asciiTheme="majorHAnsi" w:hAnsiTheme="majorHAnsi" w:cstheme="majorHAnsi"/>
          <w:b/>
          <w:szCs w:val="24"/>
          <w:lang w:val="es-MX"/>
        </w:rPr>
        <w:t>Fondo para el Fortalecimiento de los Municipios y de las Demarcaciones Territoriales del Distrito Federal (FORTAMUN)</w:t>
      </w:r>
      <w:r w:rsidRPr="00830A41">
        <w:rPr>
          <w:rFonts w:asciiTheme="majorHAnsi" w:hAnsiTheme="majorHAnsi" w:cstheme="majorHAnsi"/>
          <w:szCs w:val="24"/>
          <w:lang w:val="es-MX"/>
        </w:rPr>
        <w:t xml:space="preserve">. </w:t>
      </w:r>
      <w:r w:rsidRPr="00830A41">
        <w:rPr>
          <w:rFonts w:asciiTheme="majorHAnsi" w:hAnsiTheme="majorHAnsi" w:cstheme="majorHAnsi"/>
          <w:szCs w:val="24"/>
          <w:lang w:val="es-MX" w:eastAsia="es-MX"/>
        </w:rPr>
        <w:t>Conforme al artículo 37 de la LCF, las aportaciones que reciban los Municipios a través del Estado, se destinarán a la satisfacción de sus requerimientos, dando prioridad al cumplimiento de sus obligaciones financieras, al pago de Derechos y Aprovechamientos por concepto de agua, descargas de aguas residuales, a la modernización de los sistemas de recaudación locales, mantenimiento de infraestructura y atención de las necesidades vinculadas con la seguridad pública de sus habitantes.</w:t>
      </w:r>
    </w:p>
    <w:p w14:paraId="4E453979" w14:textId="77777777" w:rsidR="000648EB" w:rsidRPr="00830A41" w:rsidRDefault="000648EB" w:rsidP="000648EB">
      <w:pPr>
        <w:autoSpaceDE w:val="0"/>
        <w:autoSpaceDN w:val="0"/>
        <w:adjustRightInd w:val="0"/>
        <w:spacing w:line="360" w:lineRule="auto"/>
        <w:ind w:left="426" w:right="35"/>
        <w:rPr>
          <w:rFonts w:asciiTheme="majorHAnsi" w:hAnsiTheme="majorHAnsi" w:cstheme="majorHAnsi"/>
          <w:szCs w:val="24"/>
          <w:lang w:val="es-MX" w:eastAsia="es-MX"/>
        </w:rPr>
      </w:pPr>
    </w:p>
    <w:p w14:paraId="286066AB" w14:textId="124DCC31" w:rsidR="007F1226" w:rsidRPr="00830A41" w:rsidRDefault="007F1226" w:rsidP="007F1226">
      <w:pPr>
        <w:pStyle w:val="Texto"/>
        <w:numPr>
          <w:ilvl w:val="0"/>
          <w:numId w:val="20"/>
        </w:numPr>
        <w:spacing w:after="0" w:line="360" w:lineRule="auto"/>
        <w:ind w:left="426" w:right="35" w:hanging="426"/>
        <w:rPr>
          <w:rFonts w:asciiTheme="majorHAnsi" w:hAnsiTheme="majorHAnsi" w:cstheme="majorHAnsi"/>
          <w:sz w:val="24"/>
          <w:szCs w:val="24"/>
        </w:rPr>
      </w:pPr>
      <w:r w:rsidRPr="00830A41">
        <w:rPr>
          <w:rFonts w:asciiTheme="majorHAnsi" w:hAnsiTheme="majorHAnsi" w:cstheme="majorHAnsi"/>
          <w:b/>
          <w:sz w:val="24"/>
          <w:szCs w:val="24"/>
          <w:lang w:val="es-MX"/>
        </w:rPr>
        <w:t>Fondo de Aportaciones Múltiples (FAM)</w:t>
      </w:r>
      <w:r w:rsidRPr="00830A41">
        <w:rPr>
          <w:rFonts w:asciiTheme="majorHAnsi" w:hAnsiTheme="majorHAnsi" w:cstheme="majorHAnsi"/>
          <w:sz w:val="24"/>
          <w:szCs w:val="24"/>
          <w:lang w:val="es-MX"/>
        </w:rPr>
        <w:t>.</w:t>
      </w:r>
      <w:r w:rsidRPr="00830A41">
        <w:rPr>
          <w:rFonts w:asciiTheme="majorHAnsi" w:hAnsiTheme="majorHAnsi" w:cstheme="majorHAnsi"/>
          <w:b/>
          <w:sz w:val="24"/>
          <w:szCs w:val="24"/>
          <w:lang w:val="es-MX"/>
        </w:rPr>
        <w:t xml:space="preserve"> </w:t>
      </w:r>
      <w:r w:rsidRPr="00830A41">
        <w:rPr>
          <w:rFonts w:asciiTheme="majorHAnsi" w:hAnsiTheme="majorHAnsi" w:cstheme="majorHAnsi"/>
          <w:sz w:val="24"/>
          <w:szCs w:val="24"/>
          <w:lang w:val="es-MX"/>
        </w:rPr>
        <w:t>Se establece en los artículos 39, 40 y 41 de la LCF,</w:t>
      </w:r>
      <w:r w:rsidRPr="00830A41">
        <w:rPr>
          <w:rFonts w:asciiTheme="majorHAnsi" w:hAnsiTheme="majorHAnsi" w:cstheme="majorHAnsi"/>
          <w:sz w:val="24"/>
          <w:szCs w:val="24"/>
        </w:rPr>
        <w:t xml:space="preserve"> que las aportaciones de este fondo se destinarán para el otorgamiento de </w:t>
      </w:r>
      <w:r w:rsidR="00A436BB" w:rsidRPr="00830A41">
        <w:rPr>
          <w:rFonts w:asciiTheme="majorHAnsi" w:hAnsiTheme="majorHAnsi" w:cstheme="majorHAnsi"/>
          <w:sz w:val="24"/>
          <w:szCs w:val="24"/>
        </w:rPr>
        <w:t>asistencia s</w:t>
      </w:r>
      <w:r w:rsidRPr="00830A41">
        <w:rPr>
          <w:rFonts w:asciiTheme="majorHAnsi" w:hAnsiTheme="majorHAnsi" w:cstheme="majorHAnsi"/>
          <w:sz w:val="24"/>
          <w:szCs w:val="24"/>
        </w:rPr>
        <w:t>ocial; desayunos escolares y apoyos alimentarios, a través de Instituciones Públicas, con base en lo señalado en la Ley de Asistencia Social.  En su componente de Infraestructura; se destinará para la construcción, equipamiento y rehabilitación de infraestructura física de los niveles de educación básica, media superior y superior en su modalidad universitaria, según las necesidades de cada nivel.</w:t>
      </w:r>
    </w:p>
    <w:p w14:paraId="0D99BFA0" w14:textId="77777777" w:rsidR="007647DD" w:rsidRPr="00830A41" w:rsidRDefault="007647DD" w:rsidP="007647DD">
      <w:pPr>
        <w:pStyle w:val="Texto"/>
        <w:spacing w:after="0" w:line="360" w:lineRule="auto"/>
        <w:ind w:left="426" w:right="35" w:firstLine="0"/>
        <w:rPr>
          <w:rFonts w:asciiTheme="majorHAnsi" w:hAnsiTheme="majorHAnsi" w:cstheme="majorHAnsi"/>
          <w:sz w:val="24"/>
          <w:szCs w:val="24"/>
        </w:rPr>
      </w:pPr>
    </w:p>
    <w:p w14:paraId="24F4F300" w14:textId="77777777" w:rsidR="007F1226" w:rsidRPr="00830A41" w:rsidRDefault="007F1226" w:rsidP="007F1226">
      <w:pPr>
        <w:numPr>
          <w:ilvl w:val="0"/>
          <w:numId w:val="20"/>
        </w:numPr>
        <w:spacing w:line="360" w:lineRule="auto"/>
        <w:ind w:left="426" w:right="35" w:hanging="426"/>
        <w:contextualSpacing/>
        <w:rPr>
          <w:rFonts w:asciiTheme="majorHAnsi" w:hAnsiTheme="majorHAnsi" w:cstheme="majorHAnsi"/>
          <w:szCs w:val="24"/>
          <w:lang w:val="es-MX"/>
        </w:rPr>
      </w:pPr>
      <w:r w:rsidRPr="00830A41">
        <w:rPr>
          <w:rFonts w:asciiTheme="majorHAnsi" w:hAnsiTheme="majorHAnsi" w:cstheme="majorHAnsi"/>
          <w:b/>
          <w:szCs w:val="24"/>
          <w:lang w:val="es-MX"/>
        </w:rPr>
        <w:t>Fondo de Aportaciones para la Educación Tecnológica y de Adultos (FAETA)</w:t>
      </w:r>
      <w:r w:rsidRPr="00830A41">
        <w:rPr>
          <w:rFonts w:asciiTheme="majorHAnsi" w:hAnsiTheme="majorHAnsi" w:cstheme="majorHAnsi"/>
          <w:szCs w:val="24"/>
          <w:lang w:val="es-MX"/>
        </w:rPr>
        <w:t>. Son recursos complementarios para prestar los servicios de educación tecnológica y de educación para adultos, mismos que se establecen en los artículos 42 y 43 de la LCF.</w:t>
      </w:r>
    </w:p>
    <w:p w14:paraId="641B161F" w14:textId="77777777" w:rsidR="007F1226" w:rsidRPr="00830A41" w:rsidRDefault="007F1226" w:rsidP="007F1226">
      <w:pPr>
        <w:spacing w:line="360" w:lineRule="auto"/>
        <w:ind w:left="426" w:right="35" w:hanging="426"/>
        <w:contextualSpacing/>
        <w:rPr>
          <w:rFonts w:asciiTheme="majorHAnsi" w:hAnsiTheme="majorHAnsi" w:cstheme="majorHAnsi"/>
          <w:b/>
          <w:szCs w:val="24"/>
          <w:lang w:val="es-MX"/>
        </w:rPr>
      </w:pPr>
    </w:p>
    <w:p w14:paraId="7E2C9C44" w14:textId="7D786D02" w:rsidR="007F1226" w:rsidRPr="00830A41" w:rsidRDefault="007F1226" w:rsidP="007F1226">
      <w:pPr>
        <w:numPr>
          <w:ilvl w:val="0"/>
          <w:numId w:val="20"/>
        </w:numPr>
        <w:spacing w:line="360" w:lineRule="auto"/>
        <w:ind w:left="426" w:right="35" w:hanging="426"/>
        <w:contextualSpacing/>
        <w:rPr>
          <w:rFonts w:asciiTheme="majorHAnsi" w:hAnsiTheme="majorHAnsi" w:cstheme="majorHAnsi"/>
          <w:szCs w:val="24"/>
          <w:lang w:val="es-MX"/>
        </w:rPr>
      </w:pPr>
      <w:r w:rsidRPr="00830A41">
        <w:rPr>
          <w:rFonts w:asciiTheme="majorHAnsi" w:hAnsiTheme="majorHAnsi" w:cstheme="majorHAnsi"/>
          <w:b/>
          <w:szCs w:val="24"/>
          <w:lang w:val="es-MX"/>
        </w:rPr>
        <w:t>Fondo de Aportaciones para la Seguridad Pública de los Estados y del Distrito Federal (FASP).</w:t>
      </w:r>
      <w:r w:rsidRPr="00830A41">
        <w:rPr>
          <w:rFonts w:asciiTheme="majorHAnsi" w:hAnsiTheme="majorHAnsi" w:cstheme="majorHAnsi"/>
          <w:szCs w:val="24"/>
          <w:lang w:val="es-MX"/>
        </w:rPr>
        <w:t xml:space="preserve"> Los recursos de este fondo estarán destinados a las Instituciones de Seguridad Pública, de acuerdo </w:t>
      </w:r>
      <w:r w:rsidR="00F82753">
        <w:rPr>
          <w:rFonts w:asciiTheme="majorHAnsi" w:hAnsiTheme="majorHAnsi" w:cstheme="majorHAnsi"/>
          <w:szCs w:val="24"/>
          <w:lang w:val="es-MX"/>
        </w:rPr>
        <w:t>con</w:t>
      </w:r>
      <w:r w:rsidRPr="00830A41">
        <w:rPr>
          <w:rFonts w:asciiTheme="majorHAnsi" w:hAnsiTheme="majorHAnsi" w:cstheme="majorHAnsi"/>
          <w:szCs w:val="24"/>
          <w:lang w:val="es-MX"/>
        </w:rPr>
        <w:t xml:space="preserve"> lo establecido en los artículos 44 y 45 de la LCF.</w:t>
      </w:r>
    </w:p>
    <w:p w14:paraId="1073EA52" w14:textId="77777777" w:rsidR="007F1226" w:rsidRPr="00830A41" w:rsidRDefault="007F1226" w:rsidP="007F1226">
      <w:pPr>
        <w:spacing w:line="360" w:lineRule="auto"/>
        <w:ind w:left="426" w:right="35" w:hanging="426"/>
        <w:contextualSpacing/>
        <w:rPr>
          <w:rFonts w:asciiTheme="majorHAnsi" w:hAnsiTheme="majorHAnsi" w:cstheme="majorHAnsi"/>
          <w:szCs w:val="24"/>
          <w:lang w:val="es-MX"/>
        </w:rPr>
      </w:pPr>
    </w:p>
    <w:p w14:paraId="49F10AF4" w14:textId="77777777" w:rsidR="007F1226" w:rsidRPr="00830A41" w:rsidRDefault="007F1226" w:rsidP="007F1226">
      <w:pPr>
        <w:numPr>
          <w:ilvl w:val="0"/>
          <w:numId w:val="20"/>
        </w:numPr>
        <w:spacing w:line="360" w:lineRule="auto"/>
        <w:ind w:left="426" w:right="35" w:hanging="426"/>
        <w:contextualSpacing/>
        <w:rPr>
          <w:rFonts w:asciiTheme="majorHAnsi" w:hAnsiTheme="majorHAnsi" w:cstheme="majorHAnsi"/>
          <w:b/>
          <w:szCs w:val="24"/>
          <w:lang w:val="es-MX"/>
        </w:rPr>
      </w:pPr>
      <w:r w:rsidRPr="00830A41">
        <w:rPr>
          <w:rFonts w:asciiTheme="majorHAnsi" w:hAnsiTheme="majorHAnsi" w:cstheme="majorHAnsi"/>
          <w:b/>
          <w:szCs w:val="24"/>
          <w:lang w:val="es-MX"/>
        </w:rPr>
        <w:t xml:space="preserve">Fondo de Aportaciones para el Fortalecimiento de las Entidades Federativas (FAFEF). </w:t>
      </w:r>
      <w:r w:rsidRPr="00830A41">
        <w:rPr>
          <w:rFonts w:asciiTheme="majorHAnsi" w:hAnsiTheme="majorHAnsi" w:cstheme="majorHAnsi"/>
          <w:szCs w:val="24"/>
          <w:lang w:val="es-MX"/>
        </w:rPr>
        <w:t>Los recursos de este fondo</w:t>
      </w:r>
      <w:r w:rsidRPr="00830A41">
        <w:rPr>
          <w:rFonts w:asciiTheme="majorHAnsi" w:hAnsiTheme="majorHAnsi" w:cstheme="majorHAnsi"/>
          <w:szCs w:val="24"/>
        </w:rPr>
        <w:t xml:space="preserve"> se destinarán a la inversión en infraestructura </w:t>
      </w:r>
      <w:r w:rsidRPr="00830A41">
        <w:rPr>
          <w:rFonts w:asciiTheme="majorHAnsi" w:hAnsiTheme="majorHAnsi" w:cstheme="majorHAnsi"/>
          <w:szCs w:val="24"/>
        </w:rPr>
        <w:lastRenderedPageBreak/>
        <w:t xml:space="preserve">física y al saneamiento financiero, entre otros, conforme a los </w:t>
      </w:r>
      <w:r w:rsidRPr="00830A41">
        <w:rPr>
          <w:rFonts w:asciiTheme="majorHAnsi" w:hAnsiTheme="majorHAnsi" w:cstheme="majorHAnsi"/>
          <w:szCs w:val="24"/>
          <w:lang w:val="es-MX"/>
        </w:rPr>
        <w:t>artículos 46 y 47 de la LCF.</w:t>
      </w:r>
    </w:p>
    <w:p w14:paraId="3F3E1133" w14:textId="77777777" w:rsidR="007F1226" w:rsidRPr="00830A41" w:rsidRDefault="007F1226" w:rsidP="007F1226">
      <w:pPr>
        <w:spacing w:line="360" w:lineRule="auto"/>
        <w:ind w:right="35"/>
        <w:contextualSpacing/>
        <w:rPr>
          <w:rFonts w:asciiTheme="majorHAnsi" w:hAnsiTheme="majorHAnsi" w:cstheme="majorHAnsi"/>
          <w:b/>
          <w:szCs w:val="24"/>
        </w:rPr>
      </w:pPr>
    </w:p>
    <w:p w14:paraId="4B26B435" w14:textId="4606FAC7" w:rsidR="007F1226" w:rsidRPr="00830A41" w:rsidRDefault="007F1226" w:rsidP="007F1226">
      <w:pPr>
        <w:spacing w:line="360" w:lineRule="auto"/>
        <w:ind w:right="35"/>
        <w:rPr>
          <w:rFonts w:asciiTheme="majorHAnsi" w:hAnsiTheme="majorHAnsi" w:cstheme="majorHAnsi"/>
          <w:szCs w:val="24"/>
        </w:rPr>
      </w:pPr>
      <w:r w:rsidRPr="00830A41">
        <w:rPr>
          <w:rFonts w:asciiTheme="majorHAnsi" w:hAnsiTheme="majorHAnsi" w:cstheme="majorHAnsi"/>
          <w:szCs w:val="24"/>
        </w:rPr>
        <w:t xml:space="preserve">Los fondos vinculados a la RFP: Fondo de Aportaciones para la Infraestructura Social (FAIS), Fondo de Aportaciones para el Fortalecimiento de los Municipios y de las demarcaciones territoriales del D.F. (FORTAMUN), Fondo de Aportaciones Múltiples (FAM) y el Fondo de Aportaciones para el Fortalecimiento de las Entidades Federativas (FAFEF), fueron determinados de acuerdo </w:t>
      </w:r>
      <w:r w:rsidR="00431D2F">
        <w:rPr>
          <w:rFonts w:asciiTheme="majorHAnsi" w:hAnsiTheme="majorHAnsi" w:cstheme="majorHAnsi"/>
          <w:szCs w:val="24"/>
        </w:rPr>
        <w:t>con</w:t>
      </w:r>
      <w:r w:rsidRPr="00830A41">
        <w:rPr>
          <w:rFonts w:asciiTheme="majorHAnsi" w:hAnsiTheme="majorHAnsi" w:cstheme="majorHAnsi"/>
          <w:szCs w:val="24"/>
        </w:rPr>
        <w:t xml:space="preserve"> las fórmulas establecidas en la LCF.</w:t>
      </w:r>
    </w:p>
    <w:p w14:paraId="50BAC387" w14:textId="77777777" w:rsidR="000648EB" w:rsidRPr="00830A41" w:rsidRDefault="000648EB" w:rsidP="007F1226">
      <w:pPr>
        <w:spacing w:line="360" w:lineRule="auto"/>
        <w:ind w:right="35"/>
        <w:rPr>
          <w:rFonts w:asciiTheme="majorHAnsi" w:hAnsiTheme="majorHAnsi" w:cstheme="majorHAnsi"/>
          <w:szCs w:val="24"/>
        </w:rPr>
      </w:pPr>
    </w:p>
    <w:p w14:paraId="193CB6A8" w14:textId="7187FA23" w:rsidR="007F1226" w:rsidRPr="00830A41" w:rsidRDefault="007F1226" w:rsidP="007F1226">
      <w:pPr>
        <w:spacing w:line="360" w:lineRule="auto"/>
        <w:ind w:right="35"/>
        <w:contextualSpacing/>
        <w:rPr>
          <w:rFonts w:asciiTheme="majorHAnsi" w:hAnsiTheme="majorHAnsi" w:cstheme="majorHAnsi"/>
          <w:szCs w:val="24"/>
          <w:lang w:val="es-MX"/>
        </w:rPr>
      </w:pPr>
      <w:r w:rsidRPr="00830A41">
        <w:rPr>
          <w:rFonts w:asciiTheme="majorHAnsi" w:hAnsiTheme="majorHAnsi" w:cstheme="majorHAnsi"/>
          <w:szCs w:val="24"/>
          <w:lang w:val="es-MX"/>
        </w:rPr>
        <w:t xml:space="preserve">Para el rubro de </w:t>
      </w:r>
      <w:r w:rsidRPr="00830A41">
        <w:rPr>
          <w:rFonts w:asciiTheme="majorHAnsi" w:hAnsiTheme="majorHAnsi" w:cstheme="majorHAnsi"/>
          <w:b/>
          <w:szCs w:val="24"/>
          <w:lang w:val="es-MX"/>
        </w:rPr>
        <w:t>Convenios,</w:t>
      </w:r>
      <w:r w:rsidRPr="00830A41">
        <w:rPr>
          <w:rFonts w:asciiTheme="majorHAnsi" w:hAnsiTheme="majorHAnsi" w:cstheme="majorHAnsi"/>
          <w:szCs w:val="24"/>
          <w:lang w:val="es-MX"/>
        </w:rPr>
        <w:t xml:space="preserve"> la Secretaría Hacienda y Crédito Público no publica este rubro en el Presupuesto de Egresos de la Federación; sin embargo, dichos convenios se suscribirán en el transcurso del ejercicio fiscal 2019, por lo </w:t>
      </w:r>
      <w:r w:rsidR="00E1399C" w:rsidRPr="00830A41">
        <w:rPr>
          <w:rFonts w:asciiTheme="majorHAnsi" w:hAnsiTheme="majorHAnsi" w:cstheme="majorHAnsi"/>
          <w:szCs w:val="24"/>
          <w:lang w:val="es-MX"/>
        </w:rPr>
        <w:t>cual,</w:t>
      </w:r>
      <w:r w:rsidRPr="00830A41">
        <w:rPr>
          <w:rFonts w:asciiTheme="majorHAnsi" w:hAnsiTheme="majorHAnsi" w:cstheme="majorHAnsi"/>
          <w:szCs w:val="24"/>
          <w:lang w:val="es-MX"/>
        </w:rPr>
        <w:t xml:space="preserve"> para la presente estimación, se considera un incremento con respecto a L</w:t>
      </w:r>
      <w:r w:rsidR="00144317" w:rsidRPr="00830A41">
        <w:rPr>
          <w:rFonts w:asciiTheme="majorHAnsi" w:hAnsiTheme="majorHAnsi" w:cstheme="majorHAnsi"/>
          <w:szCs w:val="24"/>
          <w:lang w:val="es-MX"/>
        </w:rPr>
        <w:t xml:space="preserve">ey de Ingresos del Estado para el Ejercicio Fiscal </w:t>
      </w:r>
      <w:r w:rsidRPr="00830A41">
        <w:rPr>
          <w:rFonts w:asciiTheme="majorHAnsi" w:hAnsiTheme="majorHAnsi" w:cstheme="majorHAnsi"/>
          <w:szCs w:val="24"/>
          <w:lang w:val="es-MX"/>
        </w:rPr>
        <w:t>2018</w:t>
      </w:r>
      <w:r w:rsidR="00144317" w:rsidRPr="00830A41">
        <w:rPr>
          <w:rFonts w:asciiTheme="majorHAnsi" w:hAnsiTheme="majorHAnsi" w:cstheme="majorHAnsi"/>
          <w:szCs w:val="24"/>
          <w:lang w:val="es-MX"/>
        </w:rPr>
        <w:t xml:space="preserve"> (LIET 2018)</w:t>
      </w:r>
      <w:r w:rsidRPr="00830A41">
        <w:rPr>
          <w:rFonts w:asciiTheme="majorHAnsi" w:hAnsiTheme="majorHAnsi" w:cstheme="majorHAnsi"/>
          <w:szCs w:val="24"/>
          <w:lang w:val="es-MX"/>
        </w:rPr>
        <w:t xml:space="preserve"> del </w:t>
      </w:r>
      <w:r w:rsidRPr="00830A41">
        <w:rPr>
          <w:rFonts w:asciiTheme="majorHAnsi" w:hAnsiTheme="majorHAnsi" w:cstheme="majorHAnsi"/>
          <w:b/>
          <w:szCs w:val="24"/>
          <w:lang w:val="es-MX"/>
        </w:rPr>
        <w:t>3.00 por ciento</w:t>
      </w:r>
      <w:r w:rsidRPr="00830A41">
        <w:rPr>
          <w:rFonts w:asciiTheme="majorHAnsi" w:hAnsiTheme="majorHAnsi" w:cstheme="majorHAnsi"/>
          <w:szCs w:val="24"/>
          <w:lang w:val="es-MX"/>
        </w:rPr>
        <w:t>, ya que se desconoce el gasto federalizado para el ejercicio 2019.</w:t>
      </w:r>
      <w:r w:rsidR="00144317" w:rsidRPr="00830A41">
        <w:rPr>
          <w:rFonts w:asciiTheme="majorHAnsi" w:hAnsiTheme="majorHAnsi" w:cstheme="majorHAnsi"/>
          <w:szCs w:val="24"/>
          <w:lang w:val="es-MX"/>
        </w:rPr>
        <w:t xml:space="preserve"> </w:t>
      </w:r>
      <w:r w:rsidRPr="00830A41">
        <w:rPr>
          <w:rFonts w:asciiTheme="majorHAnsi" w:hAnsiTheme="majorHAnsi" w:cstheme="majorHAnsi"/>
          <w:szCs w:val="24"/>
          <w:lang w:val="es-MX"/>
        </w:rPr>
        <w:t xml:space="preserve">Este rubro representa el </w:t>
      </w:r>
      <w:r w:rsidR="00613788" w:rsidRPr="00830A41">
        <w:rPr>
          <w:rFonts w:asciiTheme="majorHAnsi" w:hAnsiTheme="majorHAnsi" w:cstheme="majorHAnsi"/>
          <w:b/>
          <w:szCs w:val="24"/>
          <w:lang w:val="es-MX"/>
        </w:rPr>
        <w:t xml:space="preserve">13.44 </w:t>
      </w:r>
      <w:r w:rsidRPr="00830A41">
        <w:rPr>
          <w:rFonts w:asciiTheme="majorHAnsi" w:hAnsiTheme="majorHAnsi" w:cstheme="majorHAnsi"/>
          <w:b/>
          <w:szCs w:val="24"/>
          <w:lang w:val="es-MX"/>
        </w:rPr>
        <w:t>por ciento</w:t>
      </w:r>
      <w:r w:rsidRPr="00830A41">
        <w:rPr>
          <w:rFonts w:asciiTheme="majorHAnsi" w:hAnsiTheme="majorHAnsi" w:cstheme="majorHAnsi"/>
          <w:szCs w:val="24"/>
          <w:lang w:val="es-MX"/>
        </w:rPr>
        <w:t xml:space="preserve"> de los Ingresos Federales proyectados en esta Ley.</w:t>
      </w:r>
    </w:p>
    <w:p w14:paraId="49380A09" w14:textId="1A476E74" w:rsidR="007F1226" w:rsidRPr="00830A41" w:rsidRDefault="007F1226" w:rsidP="007F1226">
      <w:pPr>
        <w:autoSpaceDE w:val="0"/>
        <w:autoSpaceDN w:val="0"/>
        <w:adjustRightInd w:val="0"/>
        <w:spacing w:line="360" w:lineRule="auto"/>
        <w:ind w:right="35"/>
        <w:rPr>
          <w:rFonts w:asciiTheme="majorHAnsi" w:hAnsiTheme="majorHAnsi" w:cstheme="majorHAnsi"/>
          <w:szCs w:val="24"/>
          <w:lang w:val="es-MX"/>
        </w:rPr>
      </w:pPr>
    </w:p>
    <w:p w14:paraId="60D6CBE4" w14:textId="5618A464" w:rsidR="00E1399C" w:rsidRPr="00830A41" w:rsidRDefault="00E1399C" w:rsidP="00E1399C">
      <w:pPr>
        <w:spacing w:line="360" w:lineRule="auto"/>
        <w:rPr>
          <w:rFonts w:asciiTheme="majorHAnsi" w:hAnsiTheme="majorHAnsi" w:cstheme="majorHAnsi"/>
          <w:szCs w:val="24"/>
        </w:rPr>
      </w:pPr>
      <w:r w:rsidRPr="00830A41">
        <w:rPr>
          <w:rFonts w:asciiTheme="majorHAnsi" w:hAnsiTheme="majorHAnsi" w:cstheme="majorHAnsi"/>
          <w:szCs w:val="24"/>
        </w:rPr>
        <w:t xml:space="preserve">El rubro de </w:t>
      </w:r>
      <w:r w:rsidRPr="00830A41">
        <w:rPr>
          <w:rFonts w:asciiTheme="majorHAnsi" w:hAnsiTheme="majorHAnsi" w:cstheme="majorHAnsi"/>
          <w:b/>
          <w:szCs w:val="24"/>
        </w:rPr>
        <w:t>Incentivos Derivados de la Colaboración Fiscal</w:t>
      </w:r>
      <w:r w:rsidRPr="00830A41">
        <w:rPr>
          <w:rFonts w:asciiTheme="majorHAnsi" w:hAnsiTheme="majorHAnsi" w:cstheme="majorHAnsi"/>
          <w:szCs w:val="24"/>
        </w:rPr>
        <w:t xml:space="preserve">, considera los Incentivos reintegrados por la Tesorería de la Federación (TESOFE); así como, los Incentivos por la recaudación de Ingresos Federales Coordinados, derivados del Convenio de Colaboración Administrativa en materia Fiscal Federal, celebrado el 18 de agosto del 2015, con la Secretaría de Hacienda y Crédito Público; siendo el más representativo, el Impuesto Especial Sobre Producción y Servicios por la Enajenación de Gasolinas y Diésel (IEPS). Este rubro representa el </w:t>
      </w:r>
      <w:r w:rsidR="00E56B02" w:rsidRPr="00830A41">
        <w:rPr>
          <w:rFonts w:asciiTheme="majorHAnsi" w:hAnsiTheme="majorHAnsi" w:cstheme="majorHAnsi"/>
          <w:b/>
          <w:szCs w:val="24"/>
        </w:rPr>
        <w:t>2.37</w:t>
      </w:r>
      <w:r w:rsidRPr="00830A41">
        <w:rPr>
          <w:rFonts w:asciiTheme="majorHAnsi" w:hAnsiTheme="majorHAnsi" w:cstheme="majorHAnsi"/>
          <w:b/>
          <w:szCs w:val="24"/>
        </w:rPr>
        <w:t xml:space="preserve"> por ciento</w:t>
      </w:r>
      <w:r w:rsidRPr="00830A41">
        <w:rPr>
          <w:rFonts w:asciiTheme="majorHAnsi" w:hAnsiTheme="majorHAnsi" w:cstheme="majorHAnsi"/>
          <w:szCs w:val="24"/>
        </w:rPr>
        <w:t xml:space="preserve"> de los Ingresos Federales.</w:t>
      </w:r>
    </w:p>
    <w:p w14:paraId="2B58CF82" w14:textId="77777777" w:rsidR="00E1399C" w:rsidRPr="00830A41" w:rsidRDefault="00E1399C" w:rsidP="00E1399C">
      <w:pPr>
        <w:spacing w:line="360" w:lineRule="auto"/>
        <w:ind w:right="35"/>
        <w:contextualSpacing/>
        <w:rPr>
          <w:rFonts w:asciiTheme="majorHAnsi" w:hAnsiTheme="majorHAnsi" w:cstheme="majorHAnsi"/>
          <w:szCs w:val="24"/>
        </w:rPr>
      </w:pPr>
    </w:p>
    <w:p w14:paraId="091D745D" w14:textId="095EB232" w:rsidR="00E1399C" w:rsidRPr="00830A41" w:rsidRDefault="00E1399C" w:rsidP="00E1399C">
      <w:pPr>
        <w:spacing w:line="360" w:lineRule="auto"/>
        <w:ind w:right="35"/>
        <w:contextualSpacing/>
        <w:rPr>
          <w:rFonts w:asciiTheme="majorHAnsi" w:hAnsiTheme="majorHAnsi" w:cstheme="majorHAnsi"/>
          <w:szCs w:val="24"/>
        </w:rPr>
      </w:pPr>
      <w:r w:rsidRPr="00830A41">
        <w:rPr>
          <w:rFonts w:asciiTheme="majorHAnsi" w:hAnsiTheme="majorHAnsi" w:cstheme="majorHAnsi"/>
          <w:szCs w:val="24"/>
        </w:rPr>
        <w:t xml:space="preserve">El rubro de </w:t>
      </w:r>
      <w:r w:rsidRPr="00830A41">
        <w:rPr>
          <w:rFonts w:asciiTheme="majorHAnsi" w:hAnsiTheme="majorHAnsi" w:cstheme="majorHAnsi"/>
          <w:b/>
          <w:szCs w:val="24"/>
        </w:rPr>
        <w:t>Fondos Distintos de Aportaciones</w:t>
      </w:r>
      <w:r w:rsidRPr="00830A41">
        <w:rPr>
          <w:rFonts w:asciiTheme="majorHAnsi" w:hAnsiTheme="majorHAnsi" w:cstheme="majorHAnsi"/>
          <w:szCs w:val="24"/>
        </w:rPr>
        <w:t xml:space="preserve">, está conformado por el </w:t>
      </w:r>
      <w:r w:rsidRPr="00830A41">
        <w:rPr>
          <w:rFonts w:asciiTheme="majorHAnsi" w:hAnsiTheme="majorHAnsi" w:cstheme="majorHAnsi"/>
          <w:szCs w:val="24"/>
          <w:lang w:val="es-MX"/>
        </w:rPr>
        <w:t>Fondo para Entidades Federativas y Municipios Productores de Hidrocarburos, considerando el impuesto por la actividad de exploración y extracción de hidrocarburos. L</w:t>
      </w:r>
      <w:r w:rsidRPr="00830A41">
        <w:rPr>
          <w:rFonts w:asciiTheme="majorHAnsi" w:hAnsiTheme="majorHAnsi" w:cstheme="majorHAnsi"/>
          <w:szCs w:val="24"/>
        </w:rPr>
        <w:t xml:space="preserve">a totalidad de los recursos del fondo se deberán destinar a </w:t>
      </w:r>
      <w:r w:rsidR="00144317" w:rsidRPr="00830A41">
        <w:rPr>
          <w:rFonts w:asciiTheme="majorHAnsi" w:hAnsiTheme="majorHAnsi" w:cstheme="majorHAnsi"/>
          <w:szCs w:val="24"/>
        </w:rPr>
        <w:t xml:space="preserve">la </w:t>
      </w:r>
      <w:r w:rsidRPr="00830A41">
        <w:rPr>
          <w:rFonts w:asciiTheme="majorHAnsi" w:hAnsiTheme="majorHAnsi" w:cstheme="majorHAnsi"/>
          <w:szCs w:val="24"/>
        </w:rPr>
        <w:t xml:space="preserve">inversión en infraestructura para resarcir, </w:t>
      </w:r>
      <w:r w:rsidRPr="00830A41">
        <w:rPr>
          <w:rFonts w:asciiTheme="majorHAnsi" w:hAnsiTheme="majorHAnsi" w:cstheme="majorHAnsi"/>
          <w:szCs w:val="24"/>
        </w:rPr>
        <w:lastRenderedPageBreak/>
        <w:t xml:space="preserve">entre otros fines, las afectaciones al entorno social y ecológico en los Municipios afectados por la actividad de exploración y extracción de hidrocarburos. Este rubro representa el </w:t>
      </w:r>
      <w:r w:rsidRPr="00830A41">
        <w:rPr>
          <w:rFonts w:asciiTheme="majorHAnsi" w:hAnsiTheme="majorHAnsi" w:cstheme="majorHAnsi"/>
          <w:b/>
          <w:szCs w:val="24"/>
        </w:rPr>
        <w:t>1</w:t>
      </w:r>
      <w:r w:rsidR="00144317" w:rsidRPr="00830A41">
        <w:rPr>
          <w:rFonts w:asciiTheme="majorHAnsi" w:hAnsiTheme="majorHAnsi" w:cstheme="majorHAnsi"/>
          <w:b/>
          <w:szCs w:val="24"/>
        </w:rPr>
        <w:t>.</w:t>
      </w:r>
      <w:r w:rsidR="004E2F06" w:rsidRPr="00830A41">
        <w:rPr>
          <w:rFonts w:asciiTheme="majorHAnsi" w:hAnsiTheme="majorHAnsi" w:cstheme="majorHAnsi"/>
          <w:b/>
          <w:szCs w:val="24"/>
        </w:rPr>
        <w:t>68</w:t>
      </w:r>
      <w:r w:rsidRPr="00830A41">
        <w:rPr>
          <w:rFonts w:asciiTheme="majorHAnsi" w:hAnsiTheme="majorHAnsi" w:cstheme="majorHAnsi"/>
          <w:b/>
          <w:szCs w:val="24"/>
        </w:rPr>
        <w:t xml:space="preserve"> por ciento</w:t>
      </w:r>
      <w:r w:rsidRPr="00830A41">
        <w:rPr>
          <w:rFonts w:asciiTheme="majorHAnsi" w:hAnsiTheme="majorHAnsi" w:cstheme="majorHAnsi"/>
          <w:szCs w:val="24"/>
        </w:rPr>
        <w:t xml:space="preserve"> de los Ingresos Federales.</w:t>
      </w:r>
    </w:p>
    <w:p w14:paraId="416528B0" w14:textId="77777777" w:rsidR="00E1399C" w:rsidRPr="00830A41" w:rsidRDefault="00E1399C" w:rsidP="007F1226">
      <w:pPr>
        <w:autoSpaceDE w:val="0"/>
        <w:autoSpaceDN w:val="0"/>
        <w:adjustRightInd w:val="0"/>
        <w:spacing w:line="360" w:lineRule="auto"/>
        <w:ind w:right="35"/>
        <w:rPr>
          <w:rFonts w:asciiTheme="majorHAnsi" w:hAnsiTheme="majorHAnsi" w:cstheme="majorHAnsi"/>
          <w:szCs w:val="24"/>
        </w:rPr>
      </w:pPr>
    </w:p>
    <w:p w14:paraId="05E5E303" w14:textId="625F503E" w:rsidR="007F1226" w:rsidRPr="00830A41" w:rsidRDefault="007F1226" w:rsidP="007F1226">
      <w:pPr>
        <w:spacing w:line="360" w:lineRule="auto"/>
        <w:ind w:right="35"/>
        <w:rPr>
          <w:rFonts w:asciiTheme="majorHAnsi" w:hAnsiTheme="majorHAnsi" w:cstheme="majorHAnsi"/>
          <w:szCs w:val="24"/>
          <w:lang w:val="es-MX"/>
        </w:rPr>
      </w:pPr>
      <w:r w:rsidRPr="00830A41">
        <w:rPr>
          <w:rFonts w:asciiTheme="majorHAnsi" w:hAnsiTheme="majorHAnsi" w:cstheme="majorHAnsi"/>
          <w:szCs w:val="24"/>
          <w:lang w:val="es-MX"/>
        </w:rPr>
        <w:t>Referente al rubro de</w:t>
      </w:r>
      <w:r w:rsidRPr="00830A41">
        <w:rPr>
          <w:rFonts w:asciiTheme="majorHAnsi" w:hAnsiTheme="majorHAnsi" w:cstheme="majorHAnsi"/>
          <w:b/>
          <w:szCs w:val="24"/>
          <w:lang w:val="es-MX"/>
        </w:rPr>
        <w:t xml:space="preserve"> Transferencias, Asignaciones, Subsidios y Subvenciones, y Pensiones y Jubilaciones</w:t>
      </w:r>
      <w:r w:rsidRPr="00830A41">
        <w:rPr>
          <w:rFonts w:asciiTheme="majorHAnsi" w:hAnsiTheme="majorHAnsi" w:cstheme="majorHAnsi"/>
          <w:szCs w:val="24"/>
          <w:lang w:val="es-MX"/>
        </w:rPr>
        <w:t xml:space="preserve">, donde se contempla el Ramo 23 “Provisiones Salariales y Económicas”, los cuales hasta el momento se desconocen, hasta en tanto sean publicados en el Presupuesto de Egresos de la Federación para el ejercicio fiscal 2019, por lo que se estimó el concepto de “Otros”, contemplando lo presupuestado </w:t>
      </w:r>
      <w:r w:rsidR="00144317" w:rsidRPr="00830A41">
        <w:rPr>
          <w:rFonts w:asciiTheme="majorHAnsi" w:hAnsiTheme="majorHAnsi" w:cstheme="majorHAnsi"/>
          <w:szCs w:val="24"/>
          <w:lang w:val="es-MX"/>
        </w:rPr>
        <w:t>en</w:t>
      </w:r>
      <w:r w:rsidRPr="00830A41">
        <w:rPr>
          <w:rFonts w:asciiTheme="majorHAnsi" w:hAnsiTheme="majorHAnsi" w:cstheme="majorHAnsi"/>
          <w:szCs w:val="24"/>
          <w:lang w:val="es-MX"/>
        </w:rPr>
        <w:t xml:space="preserve"> LIET 2018. Los recursos estimados por este rubro, significan el </w:t>
      </w:r>
      <w:r w:rsidRPr="00830A41">
        <w:rPr>
          <w:rFonts w:asciiTheme="majorHAnsi" w:hAnsiTheme="majorHAnsi" w:cstheme="majorHAnsi"/>
          <w:b/>
          <w:szCs w:val="24"/>
          <w:lang w:val="es-MX"/>
        </w:rPr>
        <w:t>1</w:t>
      </w:r>
      <w:r w:rsidR="00EA7D91" w:rsidRPr="00830A41">
        <w:rPr>
          <w:rFonts w:asciiTheme="majorHAnsi" w:hAnsiTheme="majorHAnsi" w:cstheme="majorHAnsi"/>
          <w:b/>
          <w:szCs w:val="24"/>
          <w:lang w:val="es-MX"/>
        </w:rPr>
        <w:t>.66</w:t>
      </w:r>
      <w:r w:rsidRPr="00830A41">
        <w:rPr>
          <w:rFonts w:asciiTheme="majorHAnsi" w:hAnsiTheme="majorHAnsi" w:cstheme="majorHAnsi"/>
          <w:b/>
          <w:szCs w:val="24"/>
          <w:lang w:val="es-MX"/>
        </w:rPr>
        <w:t xml:space="preserve"> por ciento</w:t>
      </w:r>
      <w:r w:rsidRPr="00830A41">
        <w:rPr>
          <w:rFonts w:asciiTheme="majorHAnsi" w:hAnsiTheme="majorHAnsi" w:cstheme="majorHAnsi"/>
          <w:szCs w:val="24"/>
          <w:lang w:val="es-MX"/>
        </w:rPr>
        <w:t xml:space="preserve"> de los Ingresos Federales considerados en esta Ley.</w:t>
      </w:r>
    </w:p>
    <w:p w14:paraId="76D952F0" w14:textId="77777777" w:rsidR="0082363D" w:rsidRPr="007F1226" w:rsidRDefault="0082363D" w:rsidP="0063119D">
      <w:pPr>
        <w:autoSpaceDE w:val="0"/>
        <w:autoSpaceDN w:val="0"/>
        <w:adjustRightInd w:val="0"/>
        <w:spacing w:line="360" w:lineRule="auto"/>
        <w:ind w:right="-232"/>
        <w:rPr>
          <w:szCs w:val="24"/>
          <w:lang w:val="es-MX"/>
        </w:rPr>
      </w:pPr>
    </w:p>
    <w:p w14:paraId="25FDD477" w14:textId="4BA1DD8E" w:rsidR="003E5446" w:rsidRPr="008E7E15" w:rsidRDefault="00E4172A" w:rsidP="008E7E15">
      <w:pPr>
        <w:spacing w:line="360" w:lineRule="auto"/>
        <w:ind w:right="-232"/>
        <w:rPr>
          <w:rFonts w:asciiTheme="majorHAnsi" w:hAnsiTheme="majorHAnsi"/>
          <w:szCs w:val="24"/>
        </w:rPr>
      </w:pPr>
      <w:r w:rsidRPr="00E4172A">
        <w:rPr>
          <w:rFonts w:asciiTheme="majorHAnsi" w:hAnsiTheme="majorHAnsi"/>
          <w:b/>
          <w:szCs w:val="24"/>
        </w:rPr>
        <w:t>CUARTO</w:t>
      </w:r>
      <w:r w:rsidR="00B41A5D">
        <w:rPr>
          <w:rFonts w:asciiTheme="majorHAnsi" w:hAnsiTheme="majorHAnsi"/>
          <w:b/>
          <w:szCs w:val="24"/>
        </w:rPr>
        <w:t>.</w:t>
      </w:r>
      <w:r w:rsidR="009918FE" w:rsidRPr="00E4172A">
        <w:rPr>
          <w:rFonts w:asciiTheme="majorHAnsi" w:hAnsiTheme="majorHAnsi"/>
          <w:b/>
          <w:szCs w:val="24"/>
        </w:rPr>
        <w:t xml:space="preserve"> </w:t>
      </w:r>
      <w:r w:rsidR="008E7E15" w:rsidRPr="00E4172A">
        <w:rPr>
          <w:rFonts w:asciiTheme="majorHAnsi" w:hAnsiTheme="majorHAnsi"/>
          <w:szCs w:val="24"/>
        </w:rPr>
        <w:t>Que</w:t>
      </w:r>
      <w:r w:rsidR="008E7E15" w:rsidRPr="008E7E15">
        <w:rPr>
          <w:rFonts w:asciiTheme="majorHAnsi" w:hAnsiTheme="majorHAnsi"/>
          <w:szCs w:val="24"/>
        </w:rPr>
        <w:t xml:space="preserve"> en virtud de lo antes expuesto y tomando en cuenta que el Honorable Congreso del Estado, de conformidad con lo dispuesto por el artículo 36, fracciones I y VII de la Constitución Política del Estado Libre y Soberano de Tabasco, se encuentra facultado para expedir, reformar, adicionar, derogar y abrogar leyes y decretos para la mejor administración del Estado, se emite y somete a consideración del Pleno el siguiente:</w:t>
      </w:r>
    </w:p>
    <w:p w14:paraId="21B4C288" w14:textId="77777777" w:rsidR="008E7E15" w:rsidRDefault="008E7E15" w:rsidP="008E7E15">
      <w:pPr>
        <w:spacing w:line="360" w:lineRule="auto"/>
        <w:ind w:right="-232"/>
        <w:rPr>
          <w:b/>
          <w:szCs w:val="24"/>
        </w:rPr>
      </w:pPr>
    </w:p>
    <w:p w14:paraId="6FB9E6BF" w14:textId="660004AA" w:rsidR="009918FE" w:rsidRPr="0045232A" w:rsidRDefault="009918FE" w:rsidP="009918FE">
      <w:pPr>
        <w:spacing w:line="360" w:lineRule="auto"/>
        <w:ind w:right="-232"/>
        <w:jc w:val="center"/>
        <w:rPr>
          <w:rFonts w:asciiTheme="majorHAnsi" w:hAnsiTheme="majorHAnsi"/>
          <w:b/>
          <w:szCs w:val="24"/>
        </w:rPr>
      </w:pPr>
      <w:r w:rsidRPr="0045232A">
        <w:rPr>
          <w:rFonts w:asciiTheme="majorHAnsi" w:hAnsiTheme="majorHAnsi"/>
          <w:b/>
          <w:szCs w:val="24"/>
        </w:rPr>
        <w:t>DECRETO N°</w:t>
      </w:r>
      <w:r w:rsidR="00BA5DF6" w:rsidRPr="0045232A">
        <w:rPr>
          <w:rFonts w:asciiTheme="majorHAnsi" w:hAnsiTheme="majorHAnsi"/>
          <w:b/>
          <w:szCs w:val="24"/>
        </w:rPr>
        <w:t xml:space="preserve"> </w:t>
      </w:r>
      <w:r w:rsidR="008E7E15" w:rsidRPr="0045232A">
        <w:rPr>
          <w:rFonts w:asciiTheme="majorHAnsi" w:hAnsiTheme="majorHAnsi"/>
          <w:b/>
          <w:szCs w:val="24"/>
        </w:rPr>
        <w:t>___________</w:t>
      </w:r>
    </w:p>
    <w:p w14:paraId="36B125B0" w14:textId="77777777" w:rsidR="008E7E15" w:rsidRPr="009918FE" w:rsidRDefault="008E7E15" w:rsidP="009918FE">
      <w:pPr>
        <w:spacing w:line="360" w:lineRule="auto"/>
        <w:ind w:right="-232"/>
        <w:jc w:val="center"/>
        <w:rPr>
          <w:b/>
          <w:szCs w:val="24"/>
        </w:rPr>
      </w:pPr>
    </w:p>
    <w:p w14:paraId="35F96A20" w14:textId="76F95A37" w:rsidR="000545CF" w:rsidRPr="008E7E15" w:rsidRDefault="008E7E15" w:rsidP="00564934">
      <w:pPr>
        <w:spacing w:line="360" w:lineRule="auto"/>
        <w:ind w:right="-232"/>
        <w:rPr>
          <w:rFonts w:asciiTheme="majorHAnsi" w:hAnsiTheme="majorHAnsi"/>
          <w:szCs w:val="24"/>
          <w:lang w:val="es-MX"/>
        </w:rPr>
      </w:pPr>
      <w:r w:rsidRPr="008E7E15">
        <w:rPr>
          <w:rFonts w:asciiTheme="majorHAnsi" w:hAnsiTheme="majorHAnsi"/>
          <w:b/>
          <w:szCs w:val="24"/>
          <w:lang w:val="es-MX"/>
        </w:rPr>
        <w:t>ARTÍCULO PRIMERO</w:t>
      </w:r>
      <w:r w:rsidR="009918FE" w:rsidRPr="008E7E15">
        <w:rPr>
          <w:rFonts w:asciiTheme="majorHAnsi" w:hAnsiTheme="majorHAnsi"/>
          <w:b/>
          <w:szCs w:val="24"/>
          <w:lang w:val="es-MX"/>
        </w:rPr>
        <w:t>.</w:t>
      </w:r>
      <w:r>
        <w:rPr>
          <w:rFonts w:asciiTheme="majorHAnsi" w:hAnsiTheme="majorHAnsi"/>
          <w:szCs w:val="24"/>
          <w:lang w:val="es-MX"/>
        </w:rPr>
        <w:t xml:space="preserve"> </w:t>
      </w:r>
      <w:r w:rsidR="009918FE" w:rsidRPr="008E7E15">
        <w:rPr>
          <w:rFonts w:asciiTheme="majorHAnsi" w:hAnsiTheme="majorHAnsi"/>
          <w:szCs w:val="24"/>
          <w:lang w:val="es-MX"/>
        </w:rPr>
        <w:t>Se expide la Ley de Ingresos del Estado de Tabasco</w:t>
      </w:r>
      <w:r w:rsidRPr="008E7E15">
        <w:rPr>
          <w:rFonts w:asciiTheme="majorHAnsi" w:hAnsiTheme="majorHAnsi"/>
          <w:szCs w:val="24"/>
          <w:lang w:val="es-MX"/>
        </w:rPr>
        <w:t xml:space="preserve"> </w:t>
      </w:r>
      <w:r w:rsidR="009918FE" w:rsidRPr="008E7E15">
        <w:rPr>
          <w:rFonts w:asciiTheme="majorHAnsi" w:hAnsiTheme="majorHAnsi"/>
          <w:szCs w:val="24"/>
          <w:lang w:val="es-MX"/>
        </w:rPr>
        <w:t>para el Ejercicio Fiscal 201</w:t>
      </w:r>
      <w:r w:rsidR="00A45B27" w:rsidRPr="008E7E15">
        <w:rPr>
          <w:rFonts w:asciiTheme="majorHAnsi" w:hAnsiTheme="majorHAnsi"/>
          <w:szCs w:val="24"/>
          <w:lang w:val="es-MX"/>
        </w:rPr>
        <w:t>9</w:t>
      </w:r>
      <w:r w:rsidR="009918FE" w:rsidRPr="008E7E15">
        <w:rPr>
          <w:rFonts w:asciiTheme="majorHAnsi" w:hAnsiTheme="majorHAnsi"/>
          <w:szCs w:val="24"/>
          <w:lang w:val="es-MX"/>
        </w:rPr>
        <w:t>, para quedar como sigue:</w:t>
      </w:r>
    </w:p>
    <w:p w14:paraId="3686DC60" w14:textId="77777777" w:rsidR="00C15707" w:rsidRPr="008E7E15" w:rsidRDefault="00C15707" w:rsidP="009918FE">
      <w:pPr>
        <w:spacing w:line="360" w:lineRule="auto"/>
        <w:ind w:right="-232"/>
        <w:jc w:val="center"/>
        <w:rPr>
          <w:rFonts w:asciiTheme="majorHAnsi" w:hAnsiTheme="majorHAnsi"/>
          <w:b/>
          <w:szCs w:val="24"/>
          <w:lang w:val="es-MX"/>
        </w:rPr>
      </w:pPr>
    </w:p>
    <w:p w14:paraId="265B9197" w14:textId="59817B2A" w:rsidR="009918FE" w:rsidRPr="008E7E15" w:rsidRDefault="009918FE" w:rsidP="009918FE">
      <w:pPr>
        <w:spacing w:line="360" w:lineRule="auto"/>
        <w:ind w:right="-232"/>
        <w:jc w:val="center"/>
        <w:rPr>
          <w:rFonts w:asciiTheme="majorHAnsi" w:hAnsiTheme="majorHAnsi"/>
          <w:b/>
          <w:szCs w:val="24"/>
          <w:lang w:val="es-MX"/>
        </w:rPr>
      </w:pPr>
      <w:r w:rsidRPr="008E7E15">
        <w:rPr>
          <w:rFonts w:asciiTheme="majorHAnsi" w:hAnsiTheme="majorHAnsi"/>
          <w:b/>
          <w:szCs w:val="24"/>
          <w:lang w:val="es-MX"/>
        </w:rPr>
        <w:t>LEY DE INGRESOS DEL ESTADO DE TABAS</w:t>
      </w:r>
      <w:r w:rsidR="00436611" w:rsidRPr="008E7E15">
        <w:rPr>
          <w:rFonts w:asciiTheme="majorHAnsi" w:hAnsiTheme="majorHAnsi"/>
          <w:b/>
          <w:szCs w:val="24"/>
          <w:lang w:val="es-MX"/>
        </w:rPr>
        <w:t>CO PARA EL EJERCICIO FISCAL 201</w:t>
      </w:r>
      <w:r w:rsidR="00A45B27" w:rsidRPr="008E7E15">
        <w:rPr>
          <w:rFonts w:asciiTheme="majorHAnsi" w:hAnsiTheme="majorHAnsi"/>
          <w:b/>
          <w:szCs w:val="24"/>
          <w:lang w:val="es-MX"/>
        </w:rPr>
        <w:t>9</w:t>
      </w:r>
    </w:p>
    <w:p w14:paraId="3AF8CD80" w14:textId="77777777" w:rsidR="008E7E15" w:rsidRDefault="008E7E15" w:rsidP="000545CF">
      <w:pPr>
        <w:spacing w:line="360" w:lineRule="auto"/>
        <w:ind w:right="-232"/>
        <w:rPr>
          <w:b/>
          <w:szCs w:val="24"/>
          <w:lang w:val="es-MX"/>
        </w:rPr>
      </w:pPr>
    </w:p>
    <w:p w14:paraId="1E1C3740" w14:textId="7CB80731" w:rsidR="009918FE" w:rsidRPr="008E7E15" w:rsidRDefault="009918FE" w:rsidP="000545CF">
      <w:pPr>
        <w:spacing w:line="360" w:lineRule="auto"/>
        <w:ind w:right="-232"/>
        <w:rPr>
          <w:rFonts w:asciiTheme="majorHAnsi" w:hAnsiTheme="majorHAnsi"/>
          <w:szCs w:val="24"/>
          <w:lang w:val="es-MX"/>
        </w:rPr>
      </w:pPr>
      <w:r w:rsidRPr="008E7E15">
        <w:rPr>
          <w:rFonts w:asciiTheme="majorHAnsi" w:hAnsiTheme="majorHAnsi"/>
          <w:b/>
          <w:szCs w:val="24"/>
          <w:lang w:val="es-MX"/>
        </w:rPr>
        <w:t>Artículo 1</w:t>
      </w:r>
      <w:r w:rsidR="002A5B05" w:rsidRPr="008E7E15">
        <w:rPr>
          <w:rFonts w:asciiTheme="majorHAnsi" w:hAnsiTheme="majorHAnsi"/>
          <w:b/>
          <w:szCs w:val="24"/>
          <w:lang w:val="es-MX"/>
        </w:rPr>
        <w:t xml:space="preserve">. </w:t>
      </w:r>
      <w:r w:rsidR="002A5B05" w:rsidRPr="008E7E15">
        <w:rPr>
          <w:rFonts w:asciiTheme="majorHAnsi" w:hAnsiTheme="majorHAnsi"/>
          <w:szCs w:val="24"/>
          <w:lang w:val="es-MX"/>
        </w:rPr>
        <w:t>En el ejercicio fiscal del año 201</w:t>
      </w:r>
      <w:r w:rsidR="00A45B27" w:rsidRPr="008E7E15">
        <w:rPr>
          <w:rFonts w:asciiTheme="majorHAnsi" w:hAnsiTheme="majorHAnsi"/>
          <w:szCs w:val="24"/>
          <w:lang w:val="es-MX"/>
        </w:rPr>
        <w:t>9</w:t>
      </w:r>
      <w:r w:rsidR="002A5B05" w:rsidRPr="008E7E15">
        <w:rPr>
          <w:rFonts w:asciiTheme="majorHAnsi" w:hAnsiTheme="majorHAnsi"/>
          <w:szCs w:val="24"/>
          <w:lang w:val="es-MX"/>
        </w:rPr>
        <w:t>, la Hacienda Pública del Estado de Tabasco, percibirá los ingresos estimados, provenientes de los conceptos que a continuación se enumeran:</w:t>
      </w:r>
    </w:p>
    <w:p w14:paraId="413AADEA" w14:textId="53FF16B2" w:rsidR="00893ED3" w:rsidRDefault="00893ED3">
      <w:pPr>
        <w:jc w:val="left"/>
        <w:rPr>
          <w:szCs w:val="24"/>
          <w:lang w:val="es-MX"/>
        </w:rPr>
      </w:pPr>
      <w:r>
        <w:rPr>
          <w:szCs w:val="24"/>
          <w:lang w:val="es-MX"/>
        </w:rPr>
        <w:br w:type="page"/>
      </w:r>
    </w:p>
    <w:p w14:paraId="7C168A0B" w14:textId="77777777" w:rsidR="00DA451A" w:rsidRDefault="00DA451A" w:rsidP="000545CF">
      <w:pPr>
        <w:spacing w:line="360" w:lineRule="auto"/>
        <w:ind w:right="-232"/>
        <w:rPr>
          <w:szCs w:val="24"/>
          <w:lang w:val="es-MX"/>
        </w:rPr>
      </w:pPr>
    </w:p>
    <w:tbl>
      <w:tblPr>
        <w:tblW w:w="8567" w:type="dxa"/>
        <w:tblInd w:w="55" w:type="dxa"/>
        <w:tblCellMar>
          <w:left w:w="70" w:type="dxa"/>
          <w:right w:w="70" w:type="dxa"/>
        </w:tblCellMar>
        <w:tblLook w:val="04A0" w:firstRow="1" w:lastRow="0" w:firstColumn="1" w:lastColumn="0" w:noHBand="0" w:noVBand="1"/>
      </w:tblPr>
      <w:tblGrid>
        <w:gridCol w:w="496"/>
        <w:gridCol w:w="359"/>
        <w:gridCol w:w="622"/>
        <w:gridCol w:w="755"/>
        <w:gridCol w:w="4547"/>
        <w:gridCol w:w="1788"/>
      </w:tblGrid>
      <w:tr w:rsidR="00F9012D" w:rsidRPr="00F9012D" w14:paraId="65D71A78" w14:textId="77777777" w:rsidTr="00F9012D">
        <w:trPr>
          <w:trHeight w:val="496"/>
        </w:trPr>
        <w:tc>
          <w:tcPr>
            <w:tcW w:w="496" w:type="dxa"/>
            <w:tcBorders>
              <w:top w:val="nil"/>
              <w:left w:val="nil"/>
              <w:bottom w:val="nil"/>
              <w:right w:val="nil"/>
            </w:tcBorders>
            <w:shd w:val="clear" w:color="000000" w:fill="FFFF00"/>
            <w:vAlign w:val="center"/>
            <w:hideMark/>
          </w:tcPr>
          <w:p w14:paraId="47704C06" w14:textId="77777777" w:rsidR="00F9012D" w:rsidRPr="00F9012D" w:rsidRDefault="00F9012D" w:rsidP="00F9012D">
            <w:pPr>
              <w:jc w:val="left"/>
              <w:rPr>
                <w:rFonts w:eastAsia="Times New Roman"/>
                <w:b/>
                <w:bCs/>
                <w:sz w:val="18"/>
                <w:szCs w:val="18"/>
                <w:lang w:val="es-MX" w:eastAsia="es-MX"/>
              </w:rPr>
            </w:pPr>
            <w:r w:rsidRPr="00F9012D">
              <w:rPr>
                <w:rFonts w:eastAsia="Times New Roman"/>
                <w:b/>
                <w:bCs/>
                <w:sz w:val="18"/>
                <w:szCs w:val="18"/>
                <w:lang w:val="es-MX" w:eastAsia="es-MX"/>
              </w:rPr>
              <w:t> </w:t>
            </w:r>
          </w:p>
        </w:tc>
        <w:tc>
          <w:tcPr>
            <w:tcW w:w="359" w:type="dxa"/>
            <w:tcBorders>
              <w:top w:val="nil"/>
              <w:left w:val="nil"/>
              <w:bottom w:val="nil"/>
              <w:right w:val="nil"/>
            </w:tcBorders>
            <w:shd w:val="clear" w:color="000000" w:fill="FFFF00"/>
            <w:vAlign w:val="center"/>
            <w:hideMark/>
          </w:tcPr>
          <w:p w14:paraId="3A2158F3" w14:textId="77777777" w:rsidR="00F9012D" w:rsidRPr="00F9012D" w:rsidRDefault="00F9012D" w:rsidP="00F9012D">
            <w:pPr>
              <w:jc w:val="left"/>
              <w:rPr>
                <w:rFonts w:eastAsia="Times New Roman"/>
                <w:b/>
                <w:bCs/>
                <w:sz w:val="18"/>
                <w:szCs w:val="18"/>
                <w:lang w:val="es-MX" w:eastAsia="es-MX"/>
              </w:rPr>
            </w:pPr>
            <w:r w:rsidRPr="00F9012D">
              <w:rPr>
                <w:rFonts w:eastAsia="Times New Roman"/>
                <w:b/>
                <w:bCs/>
                <w:sz w:val="18"/>
                <w:szCs w:val="18"/>
                <w:lang w:val="es-MX" w:eastAsia="es-MX"/>
              </w:rPr>
              <w:t> </w:t>
            </w:r>
          </w:p>
        </w:tc>
        <w:tc>
          <w:tcPr>
            <w:tcW w:w="622" w:type="dxa"/>
            <w:tcBorders>
              <w:top w:val="nil"/>
              <w:left w:val="nil"/>
              <w:bottom w:val="nil"/>
              <w:right w:val="nil"/>
            </w:tcBorders>
            <w:shd w:val="clear" w:color="000000" w:fill="FFFF00"/>
            <w:vAlign w:val="center"/>
            <w:hideMark/>
          </w:tcPr>
          <w:p w14:paraId="2C5E22CB" w14:textId="77777777" w:rsidR="00F9012D" w:rsidRPr="00F9012D" w:rsidRDefault="00F9012D" w:rsidP="00F9012D">
            <w:pPr>
              <w:jc w:val="left"/>
              <w:rPr>
                <w:rFonts w:eastAsia="Times New Roman"/>
                <w:b/>
                <w:bCs/>
                <w:sz w:val="18"/>
                <w:szCs w:val="18"/>
                <w:lang w:val="es-MX" w:eastAsia="es-MX"/>
              </w:rPr>
            </w:pPr>
            <w:r w:rsidRPr="00F9012D">
              <w:rPr>
                <w:rFonts w:eastAsia="Times New Roman"/>
                <w:b/>
                <w:bCs/>
                <w:sz w:val="18"/>
                <w:szCs w:val="18"/>
                <w:lang w:val="es-MX" w:eastAsia="es-MX"/>
              </w:rPr>
              <w:t> </w:t>
            </w:r>
          </w:p>
        </w:tc>
        <w:tc>
          <w:tcPr>
            <w:tcW w:w="755" w:type="dxa"/>
            <w:tcBorders>
              <w:top w:val="nil"/>
              <w:left w:val="nil"/>
              <w:bottom w:val="nil"/>
              <w:right w:val="nil"/>
            </w:tcBorders>
            <w:shd w:val="clear" w:color="000000" w:fill="FFFF00"/>
            <w:vAlign w:val="center"/>
            <w:hideMark/>
          </w:tcPr>
          <w:p w14:paraId="32698849" w14:textId="77777777" w:rsidR="00F9012D" w:rsidRPr="00F9012D" w:rsidRDefault="00F9012D" w:rsidP="00F9012D">
            <w:pPr>
              <w:jc w:val="left"/>
              <w:rPr>
                <w:rFonts w:eastAsia="Times New Roman"/>
                <w:b/>
                <w:bCs/>
                <w:sz w:val="18"/>
                <w:szCs w:val="18"/>
                <w:lang w:val="es-MX" w:eastAsia="es-MX"/>
              </w:rPr>
            </w:pPr>
            <w:r w:rsidRPr="00F9012D">
              <w:rPr>
                <w:rFonts w:eastAsia="Times New Roman"/>
                <w:b/>
                <w:bCs/>
                <w:sz w:val="18"/>
                <w:szCs w:val="18"/>
                <w:lang w:val="es-MX" w:eastAsia="es-MX"/>
              </w:rPr>
              <w:t> </w:t>
            </w:r>
          </w:p>
        </w:tc>
        <w:tc>
          <w:tcPr>
            <w:tcW w:w="4547" w:type="dxa"/>
            <w:tcBorders>
              <w:top w:val="nil"/>
              <w:left w:val="nil"/>
              <w:bottom w:val="nil"/>
              <w:right w:val="nil"/>
            </w:tcBorders>
            <w:shd w:val="clear" w:color="000000" w:fill="FFFF00"/>
            <w:vAlign w:val="center"/>
            <w:hideMark/>
          </w:tcPr>
          <w:p w14:paraId="159E1763" w14:textId="77777777" w:rsidR="00F9012D" w:rsidRPr="00F9012D" w:rsidRDefault="00F9012D" w:rsidP="00F9012D">
            <w:pPr>
              <w:jc w:val="center"/>
              <w:rPr>
                <w:rFonts w:eastAsia="Times New Roman"/>
                <w:b/>
                <w:bCs/>
                <w:sz w:val="18"/>
                <w:szCs w:val="18"/>
                <w:lang w:val="es-MX" w:eastAsia="es-MX"/>
              </w:rPr>
            </w:pPr>
            <w:r w:rsidRPr="00F9012D">
              <w:rPr>
                <w:rFonts w:eastAsia="Times New Roman"/>
                <w:b/>
                <w:bCs/>
                <w:sz w:val="18"/>
                <w:szCs w:val="18"/>
                <w:lang w:val="es-MX" w:eastAsia="es-MX"/>
              </w:rPr>
              <w:t>CONCEPTO</w:t>
            </w:r>
          </w:p>
        </w:tc>
        <w:tc>
          <w:tcPr>
            <w:tcW w:w="1788" w:type="dxa"/>
            <w:tcBorders>
              <w:top w:val="nil"/>
              <w:left w:val="nil"/>
              <w:bottom w:val="nil"/>
              <w:right w:val="nil"/>
            </w:tcBorders>
            <w:shd w:val="clear" w:color="000000" w:fill="FFFF00"/>
            <w:vAlign w:val="center"/>
            <w:hideMark/>
          </w:tcPr>
          <w:p w14:paraId="6CF3F3A6" w14:textId="77777777" w:rsidR="00F9012D" w:rsidRPr="00F9012D" w:rsidRDefault="00F9012D" w:rsidP="00F9012D">
            <w:pPr>
              <w:jc w:val="center"/>
              <w:rPr>
                <w:rFonts w:eastAsia="Times New Roman"/>
                <w:b/>
                <w:bCs/>
                <w:sz w:val="18"/>
                <w:szCs w:val="18"/>
                <w:lang w:val="es-MX" w:eastAsia="es-MX"/>
              </w:rPr>
            </w:pPr>
            <w:r w:rsidRPr="00F9012D">
              <w:rPr>
                <w:rFonts w:eastAsia="Times New Roman"/>
                <w:b/>
                <w:bCs/>
                <w:sz w:val="18"/>
                <w:szCs w:val="18"/>
                <w:lang w:val="es-MX" w:eastAsia="es-MX"/>
              </w:rPr>
              <w:t>ESTIMACIÓN 2019</w:t>
            </w:r>
          </w:p>
        </w:tc>
      </w:tr>
      <w:tr w:rsidR="00F9012D" w:rsidRPr="00F9012D" w14:paraId="2334C09B" w14:textId="77777777" w:rsidTr="00F9012D">
        <w:trPr>
          <w:trHeight w:val="449"/>
        </w:trPr>
        <w:tc>
          <w:tcPr>
            <w:tcW w:w="496" w:type="dxa"/>
            <w:tcBorders>
              <w:top w:val="nil"/>
              <w:left w:val="nil"/>
              <w:bottom w:val="nil"/>
              <w:right w:val="nil"/>
            </w:tcBorders>
            <w:shd w:val="clear" w:color="000000" w:fill="FFC000"/>
            <w:vAlign w:val="center"/>
            <w:hideMark/>
          </w:tcPr>
          <w:p w14:paraId="081F4E7B"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1</w:t>
            </w:r>
          </w:p>
        </w:tc>
        <w:tc>
          <w:tcPr>
            <w:tcW w:w="359" w:type="dxa"/>
            <w:tcBorders>
              <w:top w:val="nil"/>
              <w:left w:val="nil"/>
              <w:bottom w:val="nil"/>
              <w:right w:val="nil"/>
            </w:tcBorders>
            <w:shd w:val="clear" w:color="000000" w:fill="FFC000"/>
            <w:vAlign w:val="center"/>
            <w:hideMark/>
          </w:tcPr>
          <w:p w14:paraId="341272D7"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C000"/>
            <w:vAlign w:val="center"/>
            <w:hideMark/>
          </w:tcPr>
          <w:p w14:paraId="42CC77C0"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C000"/>
            <w:vAlign w:val="center"/>
            <w:hideMark/>
          </w:tcPr>
          <w:p w14:paraId="391ACBD4"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C000"/>
            <w:vAlign w:val="center"/>
            <w:hideMark/>
          </w:tcPr>
          <w:p w14:paraId="540A5E01"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IMPUESTOS</w:t>
            </w:r>
          </w:p>
        </w:tc>
        <w:tc>
          <w:tcPr>
            <w:tcW w:w="1788" w:type="dxa"/>
            <w:tcBorders>
              <w:top w:val="nil"/>
              <w:left w:val="nil"/>
              <w:bottom w:val="nil"/>
              <w:right w:val="nil"/>
            </w:tcBorders>
            <w:shd w:val="clear" w:color="000000" w:fill="FFC000"/>
            <w:vAlign w:val="center"/>
            <w:hideMark/>
          </w:tcPr>
          <w:p w14:paraId="2CC52BF9"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$1,621,563,931</w:t>
            </w:r>
          </w:p>
        </w:tc>
      </w:tr>
      <w:tr w:rsidR="00F9012D" w:rsidRPr="00F9012D" w14:paraId="5648C98F" w14:textId="77777777" w:rsidTr="00F9012D">
        <w:trPr>
          <w:trHeight w:val="452"/>
        </w:trPr>
        <w:tc>
          <w:tcPr>
            <w:tcW w:w="496" w:type="dxa"/>
            <w:tcBorders>
              <w:top w:val="nil"/>
              <w:left w:val="nil"/>
              <w:bottom w:val="nil"/>
              <w:right w:val="nil"/>
            </w:tcBorders>
            <w:shd w:val="clear" w:color="000000" w:fill="FFFFFF"/>
            <w:vAlign w:val="center"/>
            <w:hideMark/>
          </w:tcPr>
          <w:p w14:paraId="39CDC949"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6AFBA3B"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11</w:t>
            </w:r>
          </w:p>
        </w:tc>
        <w:tc>
          <w:tcPr>
            <w:tcW w:w="622" w:type="dxa"/>
            <w:tcBorders>
              <w:top w:val="nil"/>
              <w:left w:val="nil"/>
              <w:bottom w:val="nil"/>
              <w:right w:val="nil"/>
            </w:tcBorders>
            <w:shd w:val="clear" w:color="000000" w:fill="FFFFFF"/>
            <w:vAlign w:val="center"/>
            <w:hideMark/>
          </w:tcPr>
          <w:p w14:paraId="3E883290"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0A08A2F2"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085FCF38"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IMPUESTOS SOBRE LOS INGRESOS</w:t>
            </w:r>
          </w:p>
        </w:tc>
        <w:tc>
          <w:tcPr>
            <w:tcW w:w="1788" w:type="dxa"/>
            <w:tcBorders>
              <w:top w:val="nil"/>
              <w:left w:val="nil"/>
              <w:bottom w:val="nil"/>
              <w:right w:val="nil"/>
            </w:tcBorders>
            <w:shd w:val="clear" w:color="000000" w:fill="FFFFFF"/>
            <w:vAlign w:val="center"/>
            <w:hideMark/>
          </w:tcPr>
          <w:p w14:paraId="5E9D5EC0"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$34,109,237</w:t>
            </w:r>
          </w:p>
        </w:tc>
      </w:tr>
      <w:tr w:rsidR="00F9012D" w:rsidRPr="00F9012D" w14:paraId="37CB5B43" w14:textId="77777777" w:rsidTr="00F9012D">
        <w:trPr>
          <w:trHeight w:val="467"/>
        </w:trPr>
        <w:tc>
          <w:tcPr>
            <w:tcW w:w="496" w:type="dxa"/>
            <w:tcBorders>
              <w:top w:val="nil"/>
              <w:left w:val="nil"/>
              <w:bottom w:val="nil"/>
              <w:right w:val="nil"/>
            </w:tcBorders>
            <w:shd w:val="clear" w:color="000000" w:fill="FFFFFF"/>
            <w:vAlign w:val="center"/>
            <w:hideMark/>
          </w:tcPr>
          <w:p w14:paraId="41695CA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021517A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7E38AA4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1101</w:t>
            </w:r>
          </w:p>
        </w:tc>
        <w:tc>
          <w:tcPr>
            <w:tcW w:w="755" w:type="dxa"/>
            <w:tcBorders>
              <w:top w:val="nil"/>
              <w:left w:val="nil"/>
              <w:bottom w:val="nil"/>
              <w:right w:val="nil"/>
            </w:tcBorders>
            <w:shd w:val="clear" w:color="000000" w:fill="FFFFFF"/>
            <w:vAlign w:val="center"/>
            <w:hideMark/>
          </w:tcPr>
          <w:p w14:paraId="5EE9F68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50A3B6C4"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HONORARIOS POR ACTIVIDADES PROFESIONALES Y EJERCICIOS LUCRATIVOS NO GRAVADOS POR LA LEY DEL IVA</w:t>
            </w:r>
          </w:p>
        </w:tc>
        <w:tc>
          <w:tcPr>
            <w:tcW w:w="1788" w:type="dxa"/>
            <w:tcBorders>
              <w:top w:val="nil"/>
              <w:left w:val="nil"/>
              <w:bottom w:val="nil"/>
              <w:right w:val="nil"/>
            </w:tcBorders>
            <w:shd w:val="clear" w:color="auto" w:fill="auto"/>
            <w:vAlign w:val="center"/>
            <w:hideMark/>
          </w:tcPr>
          <w:p w14:paraId="33A7649B"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$8,817,303</w:t>
            </w:r>
          </w:p>
        </w:tc>
      </w:tr>
      <w:tr w:rsidR="00F9012D" w:rsidRPr="00F9012D" w14:paraId="6D3B43BF" w14:textId="77777777" w:rsidTr="00F9012D">
        <w:trPr>
          <w:trHeight w:val="449"/>
        </w:trPr>
        <w:tc>
          <w:tcPr>
            <w:tcW w:w="496" w:type="dxa"/>
            <w:tcBorders>
              <w:top w:val="nil"/>
              <w:left w:val="nil"/>
              <w:bottom w:val="nil"/>
              <w:right w:val="nil"/>
            </w:tcBorders>
            <w:shd w:val="clear" w:color="000000" w:fill="FFFFFF"/>
            <w:vAlign w:val="center"/>
            <w:hideMark/>
          </w:tcPr>
          <w:p w14:paraId="0F78E1B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B783B8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3E90117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1102</w:t>
            </w:r>
          </w:p>
        </w:tc>
        <w:tc>
          <w:tcPr>
            <w:tcW w:w="755" w:type="dxa"/>
            <w:tcBorders>
              <w:top w:val="nil"/>
              <w:left w:val="nil"/>
              <w:bottom w:val="nil"/>
              <w:right w:val="nil"/>
            </w:tcBorders>
            <w:shd w:val="clear" w:color="000000" w:fill="FFFFFF"/>
            <w:vAlign w:val="center"/>
            <w:hideMark/>
          </w:tcPr>
          <w:p w14:paraId="37FAEC4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30465447"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LOTERíAS, RIFAS, SORTEOS Y CONCURSOS DE TODA CLASE</w:t>
            </w:r>
          </w:p>
        </w:tc>
        <w:tc>
          <w:tcPr>
            <w:tcW w:w="1788" w:type="dxa"/>
            <w:tcBorders>
              <w:top w:val="nil"/>
              <w:left w:val="nil"/>
              <w:bottom w:val="nil"/>
              <w:right w:val="nil"/>
            </w:tcBorders>
            <w:shd w:val="clear" w:color="auto" w:fill="auto"/>
            <w:vAlign w:val="center"/>
            <w:hideMark/>
          </w:tcPr>
          <w:p w14:paraId="151BF965"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$25,291,934</w:t>
            </w:r>
          </w:p>
        </w:tc>
      </w:tr>
      <w:tr w:rsidR="00F9012D" w:rsidRPr="00F9012D" w14:paraId="441C6A58" w14:textId="77777777" w:rsidTr="00F9012D">
        <w:trPr>
          <w:trHeight w:val="452"/>
        </w:trPr>
        <w:tc>
          <w:tcPr>
            <w:tcW w:w="496" w:type="dxa"/>
            <w:tcBorders>
              <w:top w:val="nil"/>
              <w:left w:val="nil"/>
              <w:bottom w:val="nil"/>
              <w:right w:val="nil"/>
            </w:tcBorders>
            <w:shd w:val="clear" w:color="000000" w:fill="FFFFFF"/>
            <w:vAlign w:val="center"/>
            <w:hideMark/>
          </w:tcPr>
          <w:p w14:paraId="15A2EF19"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6BB5D89"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12</w:t>
            </w:r>
          </w:p>
        </w:tc>
        <w:tc>
          <w:tcPr>
            <w:tcW w:w="622" w:type="dxa"/>
            <w:tcBorders>
              <w:top w:val="nil"/>
              <w:left w:val="nil"/>
              <w:bottom w:val="nil"/>
              <w:right w:val="nil"/>
            </w:tcBorders>
            <w:shd w:val="clear" w:color="000000" w:fill="FFFFFF"/>
            <w:vAlign w:val="center"/>
            <w:hideMark/>
          </w:tcPr>
          <w:p w14:paraId="7D00273C"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09EE1A2B"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0E6E905B"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IMPUESTOS SOBRE EL PATRIMONIO</w:t>
            </w:r>
          </w:p>
        </w:tc>
        <w:tc>
          <w:tcPr>
            <w:tcW w:w="1788" w:type="dxa"/>
            <w:tcBorders>
              <w:top w:val="nil"/>
              <w:left w:val="nil"/>
              <w:bottom w:val="nil"/>
              <w:right w:val="nil"/>
            </w:tcBorders>
            <w:shd w:val="clear" w:color="auto" w:fill="auto"/>
            <w:vAlign w:val="center"/>
            <w:hideMark/>
          </w:tcPr>
          <w:p w14:paraId="42A4B765"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$20,458,961</w:t>
            </w:r>
          </w:p>
        </w:tc>
      </w:tr>
      <w:tr w:rsidR="00F9012D" w:rsidRPr="00F9012D" w14:paraId="2A621119" w14:textId="77777777" w:rsidTr="00F9012D">
        <w:trPr>
          <w:trHeight w:val="449"/>
        </w:trPr>
        <w:tc>
          <w:tcPr>
            <w:tcW w:w="496" w:type="dxa"/>
            <w:tcBorders>
              <w:top w:val="nil"/>
              <w:left w:val="nil"/>
              <w:bottom w:val="nil"/>
              <w:right w:val="nil"/>
            </w:tcBorders>
            <w:shd w:val="clear" w:color="000000" w:fill="FFFFFF"/>
            <w:vAlign w:val="center"/>
            <w:hideMark/>
          </w:tcPr>
          <w:p w14:paraId="112884D8"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5A7D01E6"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08BEAD9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1201</w:t>
            </w:r>
          </w:p>
        </w:tc>
        <w:tc>
          <w:tcPr>
            <w:tcW w:w="755" w:type="dxa"/>
            <w:tcBorders>
              <w:top w:val="nil"/>
              <w:left w:val="nil"/>
              <w:bottom w:val="nil"/>
              <w:right w:val="nil"/>
            </w:tcBorders>
            <w:shd w:val="clear" w:color="000000" w:fill="FFFFFF"/>
            <w:vAlign w:val="center"/>
            <w:hideMark/>
          </w:tcPr>
          <w:p w14:paraId="16158BCA"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53A07E60"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IMPUESTO VEHICULAR ESTATAL</w:t>
            </w:r>
          </w:p>
        </w:tc>
        <w:tc>
          <w:tcPr>
            <w:tcW w:w="1788" w:type="dxa"/>
            <w:tcBorders>
              <w:top w:val="nil"/>
              <w:left w:val="nil"/>
              <w:bottom w:val="nil"/>
              <w:right w:val="nil"/>
            </w:tcBorders>
            <w:shd w:val="clear" w:color="auto" w:fill="auto"/>
            <w:vAlign w:val="center"/>
            <w:hideMark/>
          </w:tcPr>
          <w:p w14:paraId="4F1D1957"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01C9F876" w14:textId="77777777" w:rsidTr="00F9012D">
        <w:trPr>
          <w:trHeight w:val="449"/>
        </w:trPr>
        <w:tc>
          <w:tcPr>
            <w:tcW w:w="496" w:type="dxa"/>
            <w:tcBorders>
              <w:top w:val="nil"/>
              <w:left w:val="nil"/>
              <w:bottom w:val="nil"/>
              <w:right w:val="nil"/>
            </w:tcBorders>
            <w:shd w:val="clear" w:color="000000" w:fill="FFFFFF"/>
            <w:vAlign w:val="center"/>
            <w:hideMark/>
          </w:tcPr>
          <w:p w14:paraId="0F36B48A"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40B8DE69"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0F39388A"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1202</w:t>
            </w:r>
          </w:p>
        </w:tc>
        <w:tc>
          <w:tcPr>
            <w:tcW w:w="755" w:type="dxa"/>
            <w:tcBorders>
              <w:top w:val="nil"/>
              <w:left w:val="nil"/>
              <w:bottom w:val="nil"/>
              <w:right w:val="nil"/>
            </w:tcBorders>
            <w:shd w:val="clear" w:color="000000" w:fill="FFFFFF"/>
            <w:vAlign w:val="center"/>
            <w:hideMark/>
          </w:tcPr>
          <w:p w14:paraId="213ACA2B"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676AAAC3"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IMPUESTO PREDIAL</w:t>
            </w:r>
          </w:p>
        </w:tc>
        <w:tc>
          <w:tcPr>
            <w:tcW w:w="1788" w:type="dxa"/>
            <w:tcBorders>
              <w:top w:val="nil"/>
              <w:left w:val="nil"/>
              <w:bottom w:val="nil"/>
              <w:right w:val="nil"/>
            </w:tcBorders>
            <w:shd w:val="clear" w:color="auto" w:fill="auto"/>
            <w:vAlign w:val="center"/>
            <w:hideMark/>
          </w:tcPr>
          <w:p w14:paraId="0225DE33"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$20,458,961</w:t>
            </w:r>
          </w:p>
        </w:tc>
      </w:tr>
      <w:tr w:rsidR="00F9012D" w:rsidRPr="00F9012D" w14:paraId="38BA115B" w14:textId="77777777" w:rsidTr="00F9012D">
        <w:trPr>
          <w:trHeight w:val="467"/>
        </w:trPr>
        <w:tc>
          <w:tcPr>
            <w:tcW w:w="496" w:type="dxa"/>
            <w:tcBorders>
              <w:top w:val="nil"/>
              <w:left w:val="nil"/>
              <w:bottom w:val="nil"/>
              <w:right w:val="nil"/>
            </w:tcBorders>
            <w:shd w:val="clear" w:color="000000" w:fill="FFFFFF"/>
            <w:vAlign w:val="center"/>
            <w:hideMark/>
          </w:tcPr>
          <w:p w14:paraId="3C4D879C"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055833C1"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13</w:t>
            </w:r>
          </w:p>
        </w:tc>
        <w:tc>
          <w:tcPr>
            <w:tcW w:w="622" w:type="dxa"/>
            <w:tcBorders>
              <w:top w:val="nil"/>
              <w:left w:val="nil"/>
              <w:bottom w:val="nil"/>
              <w:right w:val="nil"/>
            </w:tcBorders>
            <w:shd w:val="clear" w:color="000000" w:fill="FFFFFF"/>
            <w:vAlign w:val="center"/>
            <w:hideMark/>
          </w:tcPr>
          <w:p w14:paraId="23C614E8"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011CDF0D"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4BA5B63C"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IMPUESTOS SOBRE LA PRODUCCIÓN, EL CONSUMO Y LAS TRANSACCIONES</w:t>
            </w:r>
          </w:p>
        </w:tc>
        <w:tc>
          <w:tcPr>
            <w:tcW w:w="1788" w:type="dxa"/>
            <w:tcBorders>
              <w:top w:val="nil"/>
              <w:left w:val="nil"/>
              <w:bottom w:val="nil"/>
              <w:right w:val="nil"/>
            </w:tcBorders>
            <w:shd w:val="clear" w:color="auto" w:fill="auto"/>
            <w:vAlign w:val="center"/>
            <w:hideMark/>
          </w:tcPr>
          <w:p w14:paraId="2F4D04B3"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$90,599,481</w:t>
            </w:r>
          </w:p>
        </w:tc>
      </w:tr>
      <w:tr w:rsidR="00F9012D" w:rsidRPr="00F9012D" w14:paraId="3FF8DEBD" w14:textId="77777777" w:rsidTr="00F9012D">
        <w:trPr>
          <w:trHeight w:val="449"/>
        </w:trPr>
        <w:tc>
          <w:tcPr>
            <w:tcW w:w="496" w:type="dxa"/>
            <w:tcBorders>
              <w:top w:val="nil"/>
              <w:left w:val="nil"/>
              <w:bottom w:val="nil"/>
              <w:right w:val="nil"/>
            </w:tcBorders>
            <w:shd w:val="clear" w:color="000000" w:fill="FFFFFF"/>
            <w:vAlign w:val="center"/>
            <w:hideMark/>
          </w:tcPr>
          <w:p w14:paraId="5538B11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7AEEA1C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2FC275F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1301</w:t>
            </w:r>
          </w:p>
        </w:tc>
        <w:tc>
          <w:tcPr>
            <w:tcW w:w="755" w:type="dxa"/>
            <w:tcBorders>
              <w:top w:val="nil"/>
              <w:left w:val="nil"/>
              <w:bottom w:val="nil"/>
              <w:right w:val="nil"/>
            </w:tcBorders>
            <w:shd w:val="clear" w:color="000000" w:fill="FFFFFF"/>
            <w:vAlign w:val="center"/>
            <w:hideMark/>
          </w:tcPr>
          <w:p w14:paraId="523450A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3C0630C4"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TRASLADO DE DOMINIO DE BIENES MUEBLES USADO</w:t>
            </w:r>
          </w:p>
        </w:tc>
        <w:tc>
          <w:tcPr>
            <w:tcW w:w="1788" w:type="dxa"/>
            <w:tcBorders>
              <w:top w:val="nil"/>
              <w:left w:val="nil"/>
              <w:bottom w:val="nil"/>
              <w:right w:val="nil"/>
            </w:tcBorders>
            <w:shd w:val="clear" w:color="auto" w:fill="auto"/>
            <w:vAlign w:val="center"/>
            <w:hideMark/>
          </w:tcPr>
          <w:p w14:paraId="5489A7D8"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$17,547,017</w:t>
            </w:r>
          </w:p>
        </w:tc>
      </w:tr>
      <w:tr w:rsidR="00F9012D" w:rsidRPr="00F9012D" w14:paraId="5343FF93" w14:textId="77777777" w:rsidTr="00F9012D">
        <w:trPr>
          <w:trHeight w:val="449"/>
        </w:trPr>
        <w:tc>
          <w:tcPr>
            <w:tcW w:w="496" w:type="dxa"/>
            <w:tcBorders>
              <w:top w:val="nil"/>
              <w:left w:val="nil"/>
              <w:bottom w:val="nil"/>
              <w:right w:val="nil"/>
            </w:tcBorders>
            <w:shd w:val="clear" w:color="000000" w:fill="FFFFFF"/>
            <w:vAlign w:val="center"/>
            <w:hideMark/>
          </w:tcPr>
          <w:p w14:paraId="4985C74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C3A1D9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4C8D47C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1302</w:t>
            </w:r>
          </w:p>
        </w:tc>
        <w:tc>
          <w:tcPr>
            <w:tcW w:w="755" w:type="dxa"/>
            <w:tcBorders>
              <w:top w:val="nil"/>
              <w:left w:val="nil"/>
              <w:bottom w:val="nil"/>
              <w:right w:val="nil"/>
            </w:tcBorders>
            <w:shd w:val="clear" w:color="000000" w:fill="FFFFFF"/>
            <w:vAlign w:val="center"/>
            <w:hideMark/>
          </w:tcPr>
          <w:p w14:paraId="630759A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2C0877DA"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ACTOS, CONTRATOS E INSTRUMENTOS NOTARIALES</w:t>
            </w:r>
          </w:p>
        </w:tc>
        <w:tc>
          <w:tcPr>
            <w:tcW w:w="1788" w:type="dxa"/>
            <w:tcBorders>
              <w:top w:val="nil"/>
              <w:left w:val="nil"/>
              <w:bottom w:val="nil"/>
              <w:right w:val="nil"/>
            </w:tcBorders>
            <w:shd w:val="clear" w:color="auto" w:fill="auto"/>
            <w:vAlign w:val="center"/>
            <w:hideMark/>
          </w:tcPr>
          <w:p w14:paraId="5BEAA18A"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$48,958,281</w:t>
            </w:r>
          </w:p>
        </w:tc>
      </w:tr>
      <w:tr w:rsidR="00F9012D" w:rsidRPr="00F9012D" w14:paraId="65585BD4" w14:textId="77777777" w:rsidTr="00F9012D">
        <w:trPr>
          <w:trHeight w:val="449"/>
        </w:trPr>
        <w:tc>
          <w:tcPr>
            <w:tcW w:w="496" w:type="dxa"/>
            <w:tcBorders>
              <w:top w:val="nil"/>
              <w:left w:val="nil"/>
              <w:bottom w:val="nil"/>
              <w:right w:val="nil"/>
            </w:tcBorders>
            <w:shd w:val="clear" w:color="000000" w:fill="FFFFFF"/>
            <w:vAlign w:val="center"/>
            <w:hideMark/>
          </w:tcPr>
          <w:p w14:paraId="72B09F7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7CE1813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72284DF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1303</w:t>
            </w:r>
          </w:p>
        </w:tc>
        <w:tc>
          <w:tcPr>
            <w:tcW w:w="755" w:type="dxa"/>
            <w:tcBorders>
              <w:top w:val="nil"/>
              <w:left w:val="nil"/>
              <w:bottom w:val="nil"/>
              <w:right w:val="nil"/>
            </w:tcBorders>
            <w:shd w:val="clear" w:color="000000" w:fill="FFFFFF"/>
            <w:vAlign w:val="center"/>
            <w:hideMark/>
          </w:tcPr>
          <w:p w14:paraId="0F42DA5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12BFE41A"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PRESTACIÓN DE SERVICIOS DE HOSPEDAJE</w:t>
            </w:r>
          </w:p>
        </w:tc>
        <w:tc>
          <w:tcPr>
            <w:tcW w:w="1788" w:type="dxa"/>
            <w:tcBorders>
              <w:top w:val="nil"/>
              <w:left w:val="nil"/>
              <w:bottom w:val="nil"/>
              <w:right w:val="nil"/>
            </w:tcBorders>
            <w:shd w:val="clear" w:color="auto" w:fill="auto"/>
            <w:vAlign w:val="center"/>
            <w:hideMark/>
          </w:tcPr>
          <w:p w14:paraId="669E6367"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$14,587,696</w:t>
            </w:r>
          </w:p>
        </w:tc>
      </w:tr>
      <w:tr w:rsidR="00F9012D" w:rsidRPr="00F9012D" w14:paraId="7F8A6485" w14:textId="77777777" w:rsidTr="00F9012D">
        <w:trPr>
          <w:trHeight w:val="449"/>
        </w:trPr>
        <w:tc>
          <w:tcPr>
            <w:tcW w:w="496" w:type="dxa"/>
            <w:tcBorders>
              <w:top w:val="nil"/>
              <w:left w:val="nil"/>
              <w:bottom w:val="nil"/>
              <w:right w:val="nil"/>
            </w:tcBorders>
            <w:shd w:val="clear" w:color="000000" w:fill="FFFFFF"/>
            <w:vAlign w:val="center"/>
            <w:hideMark/>
          </w:tcPr>
          <w:p w14:paraId="09C7C60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5005F27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0F33578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1304</w:t>
            </w:r>
          </w:p>
        </w:tc>
        <w:tc>
          <w:tcPr>
            <w:tcW w:w="755" w:type="dxa"/>
            <w:tcBorders>
              <w:top w:val="nil"/>
              <w:left w:val="nil"/>
              <w:bottom w:val="nil"/>
              <w:right w:val="nil"/>
            </w:tcBorders>
            <w:shd w:val="clear" w:color="000000" w:fill="FFFFFF"/>
            <w:vAlign w:val="center"/>
            <w:hideMark/>
          </w:tcPr>
          <w:p w14:paraId="3FB0EA5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011C17AE"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TRASLADO DE DOMINIO DE BIENES INMUEBLES</w:t>
            </w:r>
          </w:p>
        </w:tc>
        <w:tc>
          <w:tcPr>
            <w:tcW w:w="1788" w:type="dxa"/>
            <w:tcBorders>
              <w:top w:val="nil"/>
              <w:left w:val="nil"/>
              <w:bottom w:val="nil"/>
              <w:right w:val="nil"/>
            </w:tcBorders>
            <w:shd w:val="clear" w:color="auto" w:fill="auto"/>
            <w:vAlign w:val="center"/>
            <w:hideMark/>
          </w:tcPr>
          <w:p w14:paraId="2DC52788"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$9,506,487</w:t>
            </w:r>
          </w:p>
        </w:tc>
      </w:tr>
      <w:tr w:rsidR="00F9012D" w:rsidRPr="00F9012D" w14:paraId="2F07A228" w14:textId="77777777" w:rsidTr="00F9012D">
        <w:trPr>
          <w:trHeight w:val="449"/>
        </w:trPr>
        <w:tc>
          <w:tcPr>
            <w:tcW w:w="496" w:type="dxa"/>
            <w:tcBorders>
              <w:top w:val="nil"/>
              <w:left w:val="nil"/>
              <w:bottom w:val="nil"/>
              <w:right w:val="nil"/>
            </w:tcBorders>
            <w:shd w:val="clear" w:color="000000" w:fill="FFFFFF"/>
            <w:vAlign w:val="center"/>
            <w:hideMark/>
          </w:tcPr>
          <w:p w14:paraId="7B3F3F08"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44620FF7"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14</w:t>
            </w:r>
          </w:p>
        </w:tc>
        <w:tc>
          <w:tcPr>
            <w:tcW w:w="622" w:type="dxa"/>
            <w:tcBorders>
              <w:top w:val="nil"/>
              <w:left w:val="nil"/>
              <w:bottom w:val="nil"/>
              <w:right w:val="nil"/>
            </w:tcBorders>
            <w:shd w:val="clear" w:color="000000" w:fill="FFFFFF"/>
            <w:vAlign w:val="center"/>
            <w:hideMark/>
          </w:tcPr>
          <w:p w14:paraId="010B4C87"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298389B2"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3646436A"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IMPUESTOS AL COMERCIO EXTERIOR</w:t>
            </w:r>
          </w:p>
        </w:tc>
        <w:tc>
          <w:tcPr>
            <w:tcW w:w="1788" w:type="dxa"/>
            <w:tcBorders>
              <w:top w:val="nil"/>
              <w:left w:val="nil"/>
              <w:bottom w:val="nil"/>
              <w:right w:val="nil"/>
            </w:tcBorders>
            <w:shd w:val="clear" w:color="auto" w:fill="auto"/>
            <w:vAlign w:val="center"/>
            <w:hideMark/>
          </w:tcPr>
          <w:p w14:paraId="4094FF01"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525891A3" w14:textId="77777777" w:rsidTr="00F9012D">
        <w:trPr>
          <w:trHeight w:val="449"/>
        </w:trPr>
        <w:tc>
          <w:tcPr>
            <w:tcW w:w="496" w:type="dxa"/>
            <w:tcBorders>
              <w:top w:val="nil"/>
              <w:left w:val="nil"/>
              <w:bottom w:val="nil"/>
              <w:right w:val="nil"/>
            </w:tcBorders>
            <w:shd w:val="clear" w:color="000000" w:fill="FFFFFF"/>
            <w:vAlign w:val="center"/>
            <w:hideMark/>
          </w:tcPr>
          <w:p w14:paraId="52E4955F"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6434A3C"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15</w:t>
            </w:r>
          </w:p>
        </w:tc>
        <w:tc>
          <w:tcPr>
            <w:tcW w:w="622" w:type="dxa"/>
            <w:tcBorders>
              <w:top w:val="nil"/>
              <w:left w:val="nil"/>
              <w:bottom w:val="nil"/>
              <w:right w:val="nil"/>
            </w:tcBorders>
            <w:shd w:val="clear" w:color="000000" w:fill="FFFFFF"/>
            <w:vAlign w:val="center"/>
            <w:hideMark/>
          </w:tcPr>
          <w:p w14:paraId="7E83A8C6"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1BEEB0FD"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2F089388"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IMPUESTOS SOBRE NÓMINAS Y ASIMILABLES</w:t>
            </w:r>
          </w:p>
        </w:tc>
        <w:tc>
          <w:tcPr>
            <w:tcW w:w="1788" w:type="dxa"/>
            <w:tcBorders>
              <w:top w:val="nil"/>
              <w:left w:val="nil"/>
              <w:bottom w:val="nil"/>
              <w:right w:val="nil"/>
            </w:tcBorders>
            <w:shd w:val="clear" w:color="auto" w:fill="auto"/>
            <w:vAlign w:val="center"/>
            <w:hideMark/>
          </w:tcPr>
          <w:p w14:paraId="77109607"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$1,458,993,155</w:t>
            </w:r>
          </w:p>
        </w:tc>
      </w:tr>
      <w:tr w:rsidR="00F9012D" w:rsidRPr="00F9012D" w14:paraId="593E4519" w14:textId="77777777" w:rsidTr="00F9012D">
        <w:trPr>
          <w:trHeight w:val="449"/>
        </w:trPr>
        <w:tc>
          <w:tcPr>
            <w:tcW w:w="496" w:type="dxa"/>
            <w:tcBorders>
              <w:top w:val="nil"/>
              <w:left w:val="nil"/>
              <w:bottom w:val="nil"/>
              <w:right w:val="nil"/>
            </w:tcBorders>
            <w:shd w:val="clear" w:color="000000" w:fill="FFFFFF"/>
            <w:vAlign w:val="center"/>
            <w:hideMark/>
          </w:tcPr>
          <w:p w14:paraId="2AD8073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3C9A6DA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0B6D65E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1501</w:t>
            </w:r>
          </w:p>
        </w:tc>
        <w:tc>
          <w:tcPr>
            <w:tcW w:w="755" w:type="dxa"/>
            <w:tcBorders>
              <w:top w:val="nil"/>
              <w:left w:val="nil"/>
              <w:bottom w:val="nil"/>
              <w:right w:val="nil"/>
            </w:tcBorders>
            <w:shd w:val="clear" w:color="000000" w:fill="FFFFFF"/>
            <w:vAlign w:val="center"/>
            <w:hideMark/>
          </w:tcPr>
          <w:p w14:paraId="7EEA23C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776B8E96"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SOBRE NÓMINAS DE CONTRIBUYENTES GENERALES</w:t>
            </w:r>
          </w:p>
        </w:tc>
        <w:tc>
          <w:tcPr>
            <w:tcW w:w="1788" w:type="dxa"/>
            <w:tcBorders>
              <w:top w:val="nil"/>
              <w:left w:val="nil"/>
              <w:bottom w:val="nil"/>
              <w:right w:val="nil"/>
            </w:tcBorders>
            <w:shd w:val="clear" w:color="auto" w:fill="auto"/>
            <w:vAlign w:val="center"/>
            <w:hideMark/>
          </w:tcPr>
          <w:p w14:paraId="744A1616"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$517,193,696</w:t>
            </w:r>
          </w:p>
        </w:tc>
      </w:tr>
      <w:tr w:rsidR="00F9012D" w:rsidRPr="00F9012D" w14:paraId="0E28D319" w14:textId="77777777" w:rsidTr="00F9012D">
        <w:trPr>
          <w:trHeight w:val="449"/>
        </w:trPr>
        <w:tc>
          <w:tcPr>
            <w:tcW w:w="496" w:type="dxa"/>
            <w:tcBorders>
              <w:top w:val="nil"/>
              <w:left w:val="nil"/>
              <w:bottom w:val="nil"/>
              <w:right w:val="nil"/>
            </w:tcBorders>
            <w:shd w:val="clear" w:color="000000" w:fill="FFFFFF"/>
            <w:vAlign w:val="center"/>
            <w:hideMark/>
          </w:tcPr>
          <w:p w14:paraId="44EDBAB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6F20776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4B92DAA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1502</w:t>
            </w:r>
          </w:p>
        </w:tc>
        <w:tc>
          <w:tcPr>
            <w:tcW w:w="755" w:type="dxa"/>
            <w:tcBorders>
              <w:top w:val="nil"/>
              <w:left w:val="nil"/>
              <w:bottom w:val="nil"/>
              <w:right w:val="nil"/>
            </w:tcBorders>
            <w:shd w:val="clear" w:color="000000" w:fill="FFFFFF"/>
            <w:vAlign w:val="center"/>
            <w:hideMark/>
          </w:tcPr>
          <w:p w14:paraId="5BDC1AB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25F94EE6"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SOBRE NÓMINAS DE MUNICIPIOS</w:t>
            </w:r>
          </w:p>
        </w:tc>
        <w:tc>
          <w:tcPr>
            <w:tcW w:w="1788" w:type="dxa"/>
            <w:tcBorders>
              <w:top w:val="nil"/>
              <w:left w:val="nil"/>
              <w:bottom w:val="nil"/>
              <w:right w:val="nil"/>
            </w:tcBorders>
            <w:shd w:val="clear" w:color="auto" w:fill="auto"/>
            <w:vAlign w:val="center"/>
            <w:hideMark/>
          </w:tcPr>
          <w:p w14:paraId="6854896C"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$107,905,492</w:t>
            </w:r>
          </w:p>
        </w:tc>
      </w:tr>
      <w:tr w:rsidR="00F9012D" w:rsidRPr="00F9012D" w14:paraId="547B33D0" w14:textId="77777777" w:rsidTr="00F9012D">
        <w:trPr>
          <w:trHeight w:val="467"/>
        </w:trPr>
        <w:tc>
          <w:tcPr>
            <w:tcW w:w="496" w:type="dxa"/>
            <w:tcBorders>
              <w:top w:val="nil"/>
              <w:left w:val="nil"/>
              <w:bottom w:val="nil"/>
              <w:right w:val="nil"/>
            </w:tcBorders>
            <w:shd w:val="clear" w:color="000000" w:fill="FFFFFF"/>
            <w:vAlign w:val="center"/>
            <w:hideMark/>
          </w:tcPr>
          <w:p w14:paraId="4F3717E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0F9D177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auto" w:fill="auto"/>
            <w:vAlign w:val="center"/>
            <w:hideMark/>
          </w:tcPr>
          <w:p w14:paraId="189A178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1503</w:t>
            </w:r>
          </w:p>
        </w:tc>
        <w:tc>
          <w:tcPr>
            <w:tcW w:w="755" w:type="dxa"/>
            <w:tcBorders>
              <w:top w:val="nil"/>
              <w:left w:val="nil"/>
              <w:bottom w:val="nil"/>
              <w:right w:val="nil"/>
            </w:tcBorders>
            <w:shd w:val="clear" w:color="auto" w:fill="auto"/>
            <w:vAlign w:val="center"/>
            <w:hideMark/>
          </w:tcPr>
          <w:p w14:paraId="6A868EEE"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47263353"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SOBRE NÓMINAS DE ENTES PÚBLICOS Y ÓRGANOS AUTÓNOMOS DE LOS PODERES DE LA FEDERACIÓN Y DEL ESTADO</w:t>
            </w:r>
          </w:p>
        </w:tc>
        <w:tc>
          <w:tcPr>
            <w:tcW w:w="1788" w:type="dxa"/>
            <w:tcBorders>
              <w:top w:val="nil"/>
              <w:left w:val="nil"/>
              <w:bottom w:val="nil"/>
              <w:right w:val="nil"/>
            </w:tcBorders>
            <w:shd w:val="clear" w:color="auto" w:fill="auto"/>
            <w:vAlign w:val="center"/>
            <w:hideMark/>
          </w:tcPr>
          <w:p w14:paraId="1F8BE274"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$833,893,967</w:t>
            </w:r>
          </w:p>
        </w:tc>
      </w:tr>
      <w:tr w:rsidR="00F9012D" w:rsidRPr="00F9012D" w14:paraId="542AAB0F" w14:textId="77777777" w:rsidTr="00F9012D">
        <w:trPr>
          <w:trHeight w:val="449"/>
        </w:trPr>
        <w:tc>
          <w:tcPr>
            <w:tcW w:w="496" w:type="dxa"/>
            <w:tcBorders>
              <w:top w:val="nil"/>
              <w:left w:val="nil"/>
              <w:bottom w:val="nil"/>
              <w:right w:val="nil"/>
            </w:tcBorders>
            <w:shd w:val="clear" w:color="000000" w:fill="FFFFFF"/>
            <w:vAlign w:val="center"/>
            <w:hideMark/>
          </w:tcPr>
          <w:p w14:paraId="157F8AD5"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58FDBFCE"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16</w:t>
            </w:r>
          </w:p>
        </w:tc>
        <w:tc>
          <w:tcPr>
            <w:tcW w:w="622" w:type="dxa"/>
            <w:tcBorders>
              <w:top w:val="nil"/>
              <w:left w:val="nil"/>
              <w:bottom w:val="nil"/>
              <w:right w:val="nil"/>
            </w:tcBorders>
            <w:shd w:val="clear" w:color="000000" w:fill="FFFFFF"/>
            <w:vAlign w:val="center"/>
            <w:hideMark/>
          </w:tcPr>
          <w:p w14:paraId="19B4250B"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2EFDDD5B"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5C21B50A"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IMPUESTOS ECOLÓGICOS</w:t>
            </w:r>
          </w:p>
        </w:tc>
        <w:tc>
          <w:tcPr>
            <w:tcW w:w="1788" w:type="dxa"/>
            <w:tcBorders>
              <w:top w:val="nil"/>
              <w:left w:val="nil"/>
              <w:bottom w:val="nil"/>
              <w:right w:val="nil"/>
            </w:tcBorders>
            <w:shd w:val="clear" w:color="000000" w:fill="FFFFFF"/>
            <w:vAlign w:val="center"/>
            <w:hideMark/>
          </w:tcPr>
          <w:p w14:paraId="142B1754"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574FCF03" w14:textId="77777777" w:rsidTr="00F9012D">
        <w:trPr>
          <w:trHeight w:val="449"/>
        </w:trPr>
        <w:tc>
          <w:tcPr>
            <w:tcW w:w="496" w:type="dxa"/>
            <w:tcBorders>
              <w:top w:val="nil"/>
              <w:left w:val="nil"/>
              <w:bottom w:val="nil"/>
              <w:right w:val="nil"/>
            </w:tcBorders>
            <w:shd w:val="clear" w:color="000000" w:fill="FFFFFF"/>
            <w:vAlign w:val="center"/>
            <w:hideMark/>
          </w:tcPr>
          <w:p w14:paraId="03F14B79"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5AE91F72"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17</w:t>
            </w:r>
          </w:p>
        </w:tc>
        <w:tc>
          <w:tcPr>
            <w:tcW w:w="622" w:type="dxa"/>
            <w:tcBorders>
              <w:top w:val="nil"/>
              <w:left w:val="nil"/>
              <w:bottom w:val="nil"/>
              <w:right w:val="nil"/>
            </w:tcBorders>
            <w:shd w:val="clear" w:color="000000" w:fill="FFFFFF"/>
            <w:vAlign w:val="center"/>
            <w:hideMark/>
          </w:tcPr>
          <w:p w14:paraId="3C6844FC"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072B58F5"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25006794"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ACCESORIOS DE IMPUESTOS</w:t>
            </w:r>
          </w:p>
        </w:tc>
        <w:tc>
          <w:tcPr>
            <w:tcW w:w="1788" w:type="dxa"/>
            <w:tcBorders>
              <w:top w:val="nil"/>
              <w:left w:val="nil"/>
              <w:bottom w:val="nil"/>
              <w:right w:val="nil"/>
            </w:tcBorders>
            <w:shd w:val="clear" w:color="000000" w:fill="FFFFFF"/>
            <w:vAlign w:val="center"/>
            <w:hideMark/>
          </w:tcPr>
          <w:p w14:paraId="1B925190"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$9,406,380</w:t>
            </w:r>
          </w:p>
        </w:tc>
      </w:tr>
      <w:tr w:rsidR="00F9012D" w:rsidRPr="00F9012D" w14:paraId="7AB2C30F" w14:textId="77777777" w:rsidTr="00F9012D">
        <w:trPr>
          <w:trHeight w:val="449"/>
        </w:trPr>
        <w:tc>
          <w:tcPr>
            <w:tcW w:w="496" w:type="dxa"/>
            <w:tcBorders>
              <w:top w:val="nil"/>
              <w:left w:val="nil"/>
              <w:bottom w:val="nil"/>
              <w:right w:val="nil"/>
            </w:tcBorders>
            <w:shd w:val="clear" w:color="000000" w:fill="FFFFFF"/>
            <w:vAlign w:val="center"/>
            <w:hideMark/>
          </w:tcPr>
          <w:p w14:paraId="2BC58DC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54DD673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4CCD3A8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1701</w:t>
            </w:r>
          </w:p>
        </w:tc>
        <w:tc>
          <w:tcPr>
            <w:tcW w:w="755" w:type="dxa"/>
            <w:tcBorders>
              <w:top w:val="nil"/>
              <w:left w:val="nil"/>
              <w:bottom w:val="nil"/>
              <w:right w:val="nil"/>
            </w:tcBorders>
            <w:shd w:val="clear" w:color="000000" w:fill="FFFFFF"/>
            <w:vAlign w:val="center"/>
            <w:hideMark/>
          </w:tcPr>
          <w:p w14:paraId="784AA0C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62062544"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RECARGOS</w:t>
            </w:r>
          </w:p>
        </w:tc>
        <w:tc>
          <w:tcPr>
            <w:tcW w:w="1788" w:type="dxa"/>
            <w:tcBorders>
              <w:top w:val="nil"/>
              <w:left w:val="nil"/>
              <w:bottom w:val="nil"/>
              <w:right w:val="nil"/>
            </w:tcBorders>
            <w:shd w:val="clear" w:color="auto" w:fill="auto"/>
            <w:vAlign w:val="center"/>
            <w:hideMark/>
          </w:tcPr>
          <w:p w14:paraId="20D08609"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$6,076,526</w:t>
            </w:r>
          </w:p>
        </w:tc>
      </w:tr>
      <w:tr w:rsidR="00F9012D" w:rsidRPr="00F9012D" w14:paraId="42FBF58C" w14:textId="77777777" w:rsidTr="00F9012D">
        <w:trPr>
          <w:trHeight w:val="449"/>
        </w:trPr>
        <w:tc>
          <w:tcPr>
            <w:tcW w:w="496" w:type="dxa"/>
            <w:tcBorders>
              <w:top w:val="nil"/>
              <w:left w:val="nil"/>
              <w:bottom w:val="nil"/>
              <w:right w:val="nil"/>
            </w:tcBorders>
            <w:shd w:val="clear" w:color="000000" w:fill="FFFFFF"/>
            <w:vAlign w:val="center"/>
            <w:hideMark/>
          </w:tcPr>
          <w:p w14:paraId="36F214B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001119C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2B16BFB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1702</w:t>
            </w:r>
          </w:p>
        </w:tc>
        <w:tc>
          <w:tcPr>
            <w:tcW w:w="755" w:type="dxa"/>
            <w:tcBorders>
              <w:top w:val="nil"/>
              <w:left w:val="nil"/>
              <w:bottom w:val="nil"/>
              <w:right w:val="nil"/>
            </w:tcBorders>
            <w:shd w:val="clear" w:color="000000" w:fill="FFFFFF"/>
            <w:vAlign w:val="center"/>
            <w:hideMark/>
          </w:tcPr>
          <w:p w14:paraId="22C5697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0A6C7C49"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MULTAS</w:t>
            </w:r>
          </w:p>
        </w:tc>
        <w:tc>
          <w:tcPr>
            <w:tcW w:w="1788" w:type="dxa"/>
            <w:tcBorders>
              <w:top w:val="nil"/>
              <w:left w:val="nil"/>
              <w:bottom w:val="nil"/>
              <w:right w:val="nil"/>
            </w:tcBorders>
            <w:shd w:val="clear" w:color="auto" w:fill="auto"/>
            <w:vAlign w:val="center"/>
            <w:hideMark/>
          </w:tcPr>
          <w:p w14:paraId="7EE8C5DF"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$892,229</w:t>
            </w:r>
          </w:p>
        </w:tc>
      </w:tr>
      <w:tr w:rsidR="00F9012D" w:rsidRPr="00F9012D" w14:paraId="6D7DB8C2" w14:textId="77777777" w:rsidTr="00F9012D">
        <w:trPr>
          <w:trHeight w:val="449"/>
        </w:trPr>
        <w:tc>
          <w:tcPr>
            <w:tcW w:w="496" w:type="dxa"/>
            <w:tcBorders>
              <w:top w:val="nil"/>
              <w:left w:val="nil"/>
              <w:bottom w:val="nil"/>
              <w:right w:val="nil"/>
            </w:tcBorders>
            <w:shd w:val="clear" w:color="000000" w:fill="FFFFFF"/>
            <w:vAlign w:val="center"/>
            <w:hideMark/>
          </w:tcPr>
          <w:p w14:paraId="5707C72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60705EC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51F13EA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1703</w:t>
            </w:r>
          </w:p>
        </w:tc>
        <w:tc>
          <w:tcPr>
            <w:tcW w:w="755" w:type="dxa"/>
            <w:tcBorders>
              <w:top w:val="nil"/>
              <w:left w:val="nil"/>
              <w:bottom w:val="nil"/>
              <w:right w:val="nil"/>
            </w:tcBorders>
            <w:shd w:val="clear" w:color="000000" w:fill="FFFFFF"/>
            <w:vAlign w:val="center"/>
            <w:hideMark/>
          </w:tcPr>
          <w:p w14:paraId="2EFC78C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26B19540"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HONORARIOS</w:t>
            </w:r>
          </w:p>
        </w:tc>
        <w:tc>
          <w:tcPr>
            <w:tcW w:w="1788" w:type="dxa"/>
            <w:tcBorders>
              <w:top w:val="nil"/>
              <w:left w:val="nil"/>
              <w:bottom w:val="nil"/>
              <w:right w:val="nil"/>
            </w:tcBorders>
            <w:shd w:val="clear" w:color="auto" w:fill="auto"/>
            <w:vAlign w:val="center"/>
            <w:hideMark/>
          </w:tcPr>
          <w:p w14:paraId="05B78BE0"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04E7F590" w14:textId="77777777" w:rsidTr="00F9012D">
        <w:trPr>
          <w:trHeight w:val="449"/>
        </w:trPr>
        <w:tc>
          <w:tcPr>
            <w:tcW w:w="496" w:type="dxa"/>
            <w:tcBorders>
              <w:top w:val="nil"/>
              <w:left w:val="nil"/>
              <w:bottom w:val="nil"/>
              <w:right w:val="nil"/>
            </w:tcBorders>
            <w:shd w:val="clear" w:color="000000" w:fill="FFFFFF"/>
            <w:vAlign w:val="center"/>
            <w:hideMark/>
          </w:tcPr>
          <w:p w14:paraId="0B25E70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481C0D3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773400D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1704</w:t>
            </w:r>
          </w:p>
        </w:tc>
        <w:tc>
          <w:tcPr>
            <w:tcW w:w="755" w:type="dxa"/>
            <w:tcBorders>
              <w:top w:val="nil"/>
              <w:left w:val="nil"/>
              <w:bottom w:val="nil"/>
              <w:right w:val="nil"/>
            </w:tcBorders>
            <w:shd w:val="clear" w:color="000000" w:fill="FFFFFF"/>
            <w:vAlign w:val="center"/>
            <w:hideMark/>
          </w:tcPr>
          <w:p w14:paraId="2111671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33ABAFBF"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GASTOS DE EJECUCIÓN</w:t>
            </w:r>
          </w:p>
        </w:tc>
        <w:tc>
          <w:tcPr>
            <w:tcW w:w="1788" w:type="dxa"/>
            <w:tcBorders>
              <w:top w:val="nil"/>
              <w:left w:val="nil"/>
              <w:bottom w:val="nil"/>
              <w:right w:val="nil"/>
            </w:tcBorders>
            <w:shd w:val="clear" w:color="auto" w:fill="auto"/>
            <w:vAlign w:val="center"/>
            <w:hideMark/>
          </w:tcPr>
          <w:p w14:paraId="5C82118B"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$2,437,625</w:t>
            </w:r>
          </w:p>
        </w:tc>
      </w:tr>
      <w:tr w:rsidR="00F9012D" w:rsidRPr="00F9012D" w14:paraId="5E13208C" w14:textId="77777777" w:rsidTr="00F9012D">
        <w:trPr>
          <w:trHeight w:val="449"/>
        </w:trPr>
        <w:tc>
          <w:tcPr>
            <w:tcW w:w="496" w:type="dxa"/>
            <w:tcBorders>
              <w:top w:val="nil"/>
              <w:left w:val="nil"/>
              <w:bottom w:val="nil"/>
              <w:right w:val="nil"/>
            </w:tcBorders>
            <w:shd w:val="clear" w:color="000000" w:fill="FFFFFF"/>
            <w:vAlign w:val="center"/>
            <w:hideMark/>
          </w:tcPr>
          <w:p w14:paraId="51C456A6"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743D0720"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18</w:t>
            </w:r>
          </w:p>
        </w:tc>
        <w:tc>
          <w:tcPr>
            <w:tcW w:w="622" w:type="dxa"/>
            <w:tcBorders>
              <w:top w:val="nil"/>
              <w:left w:val="nil"/>
              <w:bottom w:val="nil"/>
              <w:right w:val="nil"/>
            </w:tcBorders>
            <w:shd w:val="clear" w:color="000000" w:fill="FFFFFF"/>
            <w:vAlign w:val="center"/>
            <w:hideMark/>
          </w:tcPr>
          <w:p w14:paraId="64475B3F"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20846D0F"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1358A4E1"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OTROS IMPUESTOS</w:t>
            </w:r>
          </w:p>
        </w:tc>
        <w:tc>
          <w:tcPr>
            <w:tcW w:w="1788" w:type="dxa"/>
            <w:tcBorders>
              <w:top w:val="nil"/>
              <w:left w:val="nil"/>
              <w:bottom w:val="nil"/>
              <w:right w:val="nil"/>
            </w:tcBorders>
            <w:shd w:val="clear" w:color="000000" w:fill="FFFFFF"/>
            <w:vAlign w:val="center"/>
            <w:hideMark/>
          </w:tcPr>
          <w:p w14:paraId="4ABA09B4"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124759B7" w14:textId="77777777" w:rsidTr="00F9012D">
        <w:trPr>
          <w:trHeight w:val="744"/>
        </w:trPr>
        <w:tc>
          <w:tcPr>
            <w:tcW w:w="496" w:type="dxa"/>
            <w:tcBorders>
              <w:top w:val="nil"/>
              <w:left w:val="nil"/>
              <w:bottom w:val="nil"/>
              <w:right w:val="nil"/>
            </w:tcBorders>
            <w:shd w:val="clear" w:color="000000" w:fill="FFFFFF"/>
            <w:vAlign w:val="center"/>
            <w:hideMark/>
          </w:tcPr>
          <w:p w14:paraId="1ED472C1"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auto" w:fill="auto"/>
            <w:vAlign w:val="center"/>
            <w:hideMark/>
          </w:tcPr>
          <w:p w14:paraId="57430C10"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19</w:t>
            </w:r>
          </w:p>
        </w:tc>
        <w:tc>
          <w:tcPr>
            <w:tcW w:w="622" w:type="dxa"/>
            <w:tcBorders>
              <w:top w:val="nil"/>
              <w:left w:val="nil"/>
              <w:bottom w:val="nil"/>
              <w:right w:val="nil"/>
            </w:tcBorders>
            <w:shd w:val="clear" w:color="auto" w:fill="auto"/>
            <w:vAlign w:val="center"/>
            <w:hideMark/>
          </w:tcPr>
          <w:p w14:paraId="42329342"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294835D3"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5245BA3D"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IMPUESTOS NO COMPRENDIDOS EN LA LEY DE INGRESOS VIGENTE, CAUSADOS EN EJERCICIOS FISCALES ANTERIORES PENDIENTES DE LIQUIDACIÓN O PAGO</w:t>
            </w:r>
          </w:p>
        </w:tc>
        <w:tc>
          <w:tcPr>
            <w:tcW w:w="1788" w:type="dxa"/>
            <w:tcBorders>
              <w:top w:val="nil"/>
              <w:left w:val="nil"/>
              <w:bottom w:val="nil"/>
              <w:right w:val="nil"/>
            </w:tcBorders>
            <w:shd w:val="clear" w:color="auto" w:fill="auto"/>
            <w:vAlign w:val="center"/>
            <w:hideMark/>
          </w:tcPr>
          <w:p w14:paraId="5806A727"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$7,996,717</w:t>
            </w:r>
          </w:p>
        </w:tc>
      </w:tr>
      <w:tr w:rsidR="00F9012D" w:rsidRPr="00F9012D" w14:paraId="4BCCB407" w14:textId="77777777" w:rsidTr="00F9012D">
        <w:trPr>
          <w:trHeight w:val="449"/>
        </w:trPr>
        <w:tc>
          <w:tcPr>
            <w:tcW w:w="496" w:type="dxa"/>
            <w:tcBorders>
              <w:top w:val="nil"/>
              <w:left w:val="nil"/>
              <w:bottom w:val="nil"/>
              <w:right w:val="nil"/>
            </w:tcBorders>
            <w:shd w:val="clear" w:color="000000" w:fill="FFC000"/>
            <w:vAlign w:val="center"/>
            <w:hideMark/>
          </w:tcPr>
          <w:p w14:paraId="56496D16"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lastRenderedPageBreak/>
              <w:t>2</w:t>
            </w:r>
          </w:p>
        </w:tc>
        <w:tc>
          <w:tcPr>
            <w:tcW w:w="359" w:type="dxa"/>
            <w:tcBorders>
              <w:top w:val="nil"/>
              <w:left w:val="nil"/>
              <w:bottom w:val="nil"/>
              <w:right w:val="nil"/>
            </w:tcBorders>
            <w:shd w:val="clear" w:color="000000" w:fill="FFC000"/>
            <w:vAlign w:val="center"/>
            <w:hideMark/>
          </w:tcPr>
          <w:p w14:paraId="59EADA41"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C000"/>
            <w:vAlign w:val="center"/>
            <w:hideMark/>
          </w:tcPr>
          <w:p w14:paraId="21C3D3B8"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C000"/>
            <w:vAlign w:val="center"/>
            <w:hideMark/>
          </w:tcPr>
          <w:p w14:paraId="709E0718"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C000"/>
            <w:vAlign w:val="center"/>
            <w:hideMark/>
          </w:tcPr>
          <w:p w14:paraId="798307F8"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CUOTAS Y APORTACIONES DE SEGURIDAD SOCIAL</w:t>
            </w:r>
          </w:p>
        </w:tc>
        <w:tc>
          <w:tcPr>
            <w:tcW w:w="1788" w:type="dxa"/>
            <w:tcBorders>
              <w:top w:val="nil"/>
              <w:left w:val="nil"/>
              <w:bottom w:val="nil"/>
              <w:right w:val="nil"/>
            </w:tcBorders>
            <w:shd w:val="clear" w:color="000000" w:fill="FFC000"/>
            <w:vAlign w:val="center"/>
            <w:hideMark/>
          </w:tcPr>
          <w:p w14:paraId="32D5B6A5"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746DD581" w14:textId="77777777" w:rsidTr="00F9012D">
        <w:trPr>
          <w:trHeight w:val="449"/>
        </w:trPr>
        <w:tc>
          <w:tcPr>
            <w:tcW w:w="496" w:type="dxa"/>
            <w:tcBorders>
              <w:top w:val="nil"/>
              <w:left w:val="nil"/>
              <w:bottom w:val="nil"/>
              <w:right w:val="nil"/>
            </w:tcBorders>
            <w:shd w:val="clear" w:color="000000" w:fill="FFC000"/>
            <w:vAlign w:val="center"/>
            <w:hideMark/>
          </w:tcPr>
          <w:p w14:paraId="07235374"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3</w:t>
            </w:r>
          </w:p>
        </w:tc>
        <w:tc>
          <w:tcPr>
            <w:tcW w:w="359" w:type="dxa"/>
            <w:tcBorders>
              <w:top w:val="nil"/>
              <w:left w:val="nil"/>
              <w:bottom w:val="nil"/>
              <w:right w:val="nil"/>
            </w:tcBorders>
            <w:shd w:val="clear" w:color="000000" w:fill="FFC000"/>
            <w:vAlign w:val="center"/>
            <w:hideMark/>
          </w:tcPr>
          <w:p w14:paraId="7145339F"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C000"/>
            <w:vAlign w:val="center"/>
            <w:hideMark/>
          </w:tcPr>
          <w:p w14:paraId="06DA5A98"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C000"/>
            <w:vAlign w:val="center"/>
            <w:hideMark/>
          </w:tcPr>
          <w:p w14:paraId="01D2280E"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C000"/>
            <w:vAlign w:val="center"/>
            <w:hideMark/>
          </w:tcPr>
          <w:p w14:paraId="7657425A"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CONTRIBUCIONES DE MEJORAS</w:t>
            </w:r>
          </w:p>
        </w:tc>
        <w:tc>
          <w:tcPr>
            <w:tcW w:w="1788" w:type="dxa"/>
            <w:tcBorders>
              <w:top w:val="nil"/>
              <w:left w:val="nil"/>
              <w:bottom w:val="nil"/>
              <w:right w:val="nil"/>
            </w:tcBorders>
            <w:shd w:val="clear" w:color="000000" w:fill="FFC000"/>
            <w:vAlign w:val="center"/>
            <w:hideMark/>
          </w:tcPr>
          <w:p w14:paraId="0C99696B"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695166EE" w14:textId="77777777" w:rsidTr="00F9012D">
        <w:trPr>
          <w:trHeight w:val="449"/>
        </w:trPr>
        <w:tc>
          <w:tcPr>
            <w:tcW w:w="496" w:type="dxa"/>
            <w:tcBorders>
              <w:top w:val="nil"/>
              <w:left w:val="nil"/>
              <w:bottom w:val="nil"/>
              <w:right w:val="nil"/>
            </w:tcBorders>
            <w:shd w:val="clear" w:color="000000" w:fill="FFC000"/>
            <w:vAlign w:val="center"/>
            <w:hideMark/>
          </w:tcPr>
          <w:p w14:paraId="34A4B970"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4</w:t>
            </w:r>
          </w:p>
        </w:tc>
        <w:tc>
          <w:tcPr>
            <w:tcW w:w="359" w:type="dxa"/>
            <w:tcBorders>
              <w:top w:val="nil"/>
              <w:left w:val="nil"/>
              <w:bottom w:val="nil"/>
              <w:right w:val="nil"/>
            </w:tcBorders>
            <w:shd w:val="clear" w:color="000000" w:fill="FFC000"/>
            <w:vAlign w:val="center"/>
            <w:hideMark/>
          </w:tcPr>
          <w:p w14:paraId="2E6AD608"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C000"/>
            <w:vAlign w:val="center"/>
            <w:hideMark/>
          </w:tcPr>
          <w:p w14:paraId="53A1AA4D"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C000"/>
            <w:vAlign w:val="center"/>
            <w:hideMark/>
          </w:tcPr>
          <w:p w14:paraId="7C0F2B0E"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C000"/>
            <w:vAlign w:val="center"/>
            <w:hideMark/>
          </w:tcPr>
          <w:p w14:paraId="6CF3A52E"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DERECHOS</w:t>
            </w:r>
          </w:p>
        </w:tc>
        <w:tc>
          <w:tcPr>
            <w:tcW w:w="1788" w:type="dxa"/>
            <w:tcBorders>
              <w:top w:val="nil"/>
              <w:left w:val="nil"/>
              <w:bottom w:val="nil"/>
              <w:right w:val="nil"/>
            </w:tcBorders>
            <w:shd w:val="clear" w:color="000000" w:fill="FFC000"/>
            <w:vAlign w:val="center"/>
            <w:hideMark/>
          </w:tcPr>
          <w:p w14:paraId="5A14C188"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$1,021,226,359</w:t>
            </w:r>
          </w:p>
        </w:tc>
      </w:tr>
      <w:tr w:rsidR="00F9012D" w:rsidRPr="00F9012D" w14:paraId="4CFBF7D1" w14:textId="77777777" w:rsidTr="00F9012D">
        <w:trPr>
          <w:trHeight w:val="467"/>
        </w:trPr>
        <w:tc>
          <w:tcPr>
            <w:tcW w:w="496" w:type="dxa"/>
            <w:tcBorders>
              <w:top w:val="nil"/>
              <w:left w:val="nil"/>
              <w:bottom w:val="nil"/>
              <w:right w:val="nil"/>
            </w:tcBorders>
            <w:shd w:val="clear" w:color="000000" w:fill="FFFFFF"/>
            <w:vAlign w:val="center"/>
            <w:hideMark/>
          </w:tcPr>
          <w:p w14:paraId="72E6A135"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14C36BE9"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41</w:t>
            </w:r>
          </w:p>
        </w:tc>
        <w:tc>
          <w:tcPr>
            <w:tcW w:w="622" w:type="dxa"/>
            <w:tcBorders>
              <w:top w:val="nil"/>
              <w:left w:val="nil"/>
              <w:bottom w:val="nil"/>
              <w:right w:val="nil"/>
            </w:tcBorders>
            <w:shd w:val="clear" w:color="000000" w:fill="FFFFFF"/>
            <w:vAlign w:val="center"/>
            <w:hideMark/>
          </w:tcPr>
          <w:p w14:paraId="280F94A6"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78C67752"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70DC8EE1"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DERECHOS POR EL USO, GOCE, APROVECHAMIENTO O EXPLOTACIÓN DE BIENES DE DOMINIO PÚBLICO</w:t>
            </w:r>
          </w:p>
        </w:tc>
        <w:tc>
          <w:tcPr>
            <w:tcW w:w="1788" w:type="dxa"/>
            <w:tcBorders>
              <w:top w:val="nil"/>
              <w:left w:val="nil"/>
              <w:bottom w:val="nil"/>
              <w:right w:val="nil"/>
            </w:tcBorders>
            <w:shd w:val="clear" w:color="000000" w:fill="FFFFFF"/>
            <w:vAlign w:val="center"/>
            <w:hideMark/>
          </w:tcPr>
          <w:p w14:paraId="586244F3"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238EED8C" w14:textId="77777777" w:rsidTr="00F9012D">
        <w:trPr>
          <w:trHeight w:val="449"/>
        </w:trPr>
        <w:tc>
          <w:tcPr>
            <w:tcW w:w="496" w:type="dxa"/>
            <w:tcBorders>
              <w:top w:val="nil"/>
              <w:left w:val="nil"/>
              <w:bottom w:val="nil"/>
              <w:right w:val="nil"/>
            </w:tcBorders>
            <w:shd w:val="clear" w:color="000000" w:fill="FFFFFF"/>
            <w:vAlign w:val="center"/>
            <w:hideMark/>
          </w:tcPr>
          <w:p w14:paraId="795EE916"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4920DADE"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43</w:t>
            </w:r>
          </w:p>
        </w:tc>
        <w:tc>
          <w:tcPr>
            <w:tcW w:w="622" w:type="dxa"/>
            <w:tcBorders>
              <w:top w:val="nil"/>
              <w:left w:val="nil"/>
              <w:bottom w:val="nil"/>
              <w:right w:val="nil"/>
            </w:tcBorders>
            <w:shd w:val="clear" w:color="000000" w:fill="FFFFFF"/>
            <w:vAlign w:val="center"/>
            <w:hideMark/>
          </w:tcPr>
          <w:p w14:paraId="0C794374"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231D7396"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3BE80F0B"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DERECHOS POR PRESTACIÓN DE SERVICIOS</w:t>
            </w:r>
          </w:p>
        </w:tc>
        <w:tc>
          <w:tcPr>
            <w:tcW w:w="1788" w:type="dxa"/>
            <w:tcBorders>
              <w:top w:val="nil"/>
              <w:left w:val="nil"/>
              <w:bottom w:val="nil"/>
              <w:right w:val="nil"/>
            </w:tcBorders>
            <w:shd w:val="clear" w:color="000000" w:fill="FFFFFF"/>
            <w:vAlign w:val="center"/>
            <w:hideMark/>
          </w:tcPr>
          <w:p w14:paraId="5095F2C2"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$1,005,619,948</w:t>
            </w:r>
          </w:p>
        </w:tc>
      </w:tr>
      <w:tr w:rsidR="00F9012D" w:rsidRPr="00F9012D" w14:paraId="5F462736" w14:textId="77777777" w:rsidTr="00F9012D">
        <w:trPr>
          <w:trHeight w:val="467"/>
        </w:trPr>
        <w:tc>
          <w:tcPr>
            <w:tcW w:w="496" w:type="dxa"/>
            <w:tcBorders>
              <w:top w:val="nil"/>
              <w:left w:val="nil"/>
              <w:bottom w:val="nil"/>
              <w:right w:val="nil"/>
            </w:tcBorders>
            <w:shd w:val="clear" w:color="000000" w:fill="FFFFFF"/>
            <w:vAlign w:val="center"/>
            <w:hideMark/>
          </w:tcPr>
          <w:p w14:paraId="3D3BCB0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39E7D99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0E92D20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4301</w:t>
            </w:r>
          </w:p>
        </w:tc>
        <w:tc>
          <w:tcPr>
            <w:tcW w:w="755" w:type="dxa"/>
            <w:tcBorders>
              <w:top w:val="nil"/>
              <w:left w:val="nil"/>
              <w:bottom w:val="nil"/>
              <w:right w:val="nil"/>
            </w:tcBorders>
            <w:shd w:val="clear" w:color="000000" w:fill="FFFFFF"/>
            <w:vAlign w:val="center"/>
            <w:hideMark/>
          </w:tcPr>
          <w:p w14:paraId="3190AA3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15DEDEFE"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SERVICIOS PRESTADOS POR LA SECRETARÍA DE GOBIERNO, RELACIONADOS CON:</w:t>
            </w:r>
          </w:p>
        </w:tc>
        <w:tc>
          <w:tcPr>
            <w:tcW w:w="1788" w:type="dxa"/>
            <w:tcBorders>
              <w:top w:val="nil"/>
              <w:left w:val="nil"/>
              <w:bottom w:val="nil"/>
              <w:right w:val="nil"/>
            </w:tcBorders>
            <w:shd w:val="clear" w:color="000000" w:fill="FFFFFF"/>
            <w:vAlign w:val="center"/>
            <w:hideMark/>
          </w:tcPr>
          <w:p w14:paraId="221D760A"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$18,272,476</w:t>
            </w:r>
          </w:p>
        </w:tc>
      </w:tr>
      <w:tr w:rsidR="00F9012D" w:rsidRPr="00F9012D" w14:paraId="53077D04" w14:textId="77777777" w:rsidTr="00F9012D">
        <w:trPr>
          <w:trHeight w:val="449"/>
        </w:trPr>
        <w:tc>
          <w:tcPr>
            <w:tcW w:w="496" w:type="dxa"/>
            <w:tcBorders>
              <w:top w:val="nil"/>
              <w:left w:val="nil"/>
              <w:bottom w:val="nil"/>
              <w:right w:val="nil"/>
            </w:tcBorders>
            <w:shd w:val="clear" w:color="000000" w:fill="FFFFFF"/>
            <w:vAlign w:val="center"/>
            <w:hideMark/>
          </w:tcPr>
          <w:p w14:paraId="215B2AB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4181AD9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26EDDCF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0E42B86A"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430101</w:t>
            </w:r>
          </w:p>
        </w:tc>
        <w:tc>
          <w:tcPr>
            <w:tcW w:w="4547" w:type="dxa"/>
            <w:tcBorders>
              <w:top w:val="nil"/>
              <w:left w:val="nil"/>
              <w:bottom w:val="nil"/>
              <w:right w:val="nil"/>
            </w:tcBorders>
            <w:shd w:val="clear" w:color="000000" w:fill="FFFFFF"/>
            <w:vAlign w:val="center"/>
            <w:hideMark/>
          </w:tcPr>
          <w:p w14:paraId="30A97554"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La Dirección General de Asuntos Jurídicos</w:t>
            </w:r>
          </w:p>
        </w:tc>
        <w:tc>
          <w:tcPr>
            <w:tcW w:w="1788" w:type="dxa"/>
            <w:tcBorders>
              <w:top w:val="nil"/>
              <w:left w:val="nil"/>
              <w:bottom w:val="nil"/>
              <w:right w:val="nil"/>
            </w:tcBorders>
            <w:shd w:val="clear" w:color="auto" w:fill="auto"/>
            <w:vAlign w:val="center"/>
            <w:hideMark/>
          </w:tcPr>
          <w:p w14:paraId="7006E18B"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$3,836,954</w:t>
            </w:r>
          </w:p>
        </w:tc>
      </w:tr>
      <w:tr w:rsidR="00F9012D" w:rsidRPr="00F9012D" w14:paraId="157FFFAC" w14:textId="77777777" w:rsidTr="00F9012D">
        <w:trPr>
          <w:trHeight w:val="449"/>
        </w:trPr>
        <w:tc>
          <w:tcPr>
            <w:tcW w:w="496" w:type="dxa"/>
            <w:tcBorders>
              <w:top w:val="nil"/>
              <w:left w:val="nil"/>
              <w:bottom w:val="nil"/>
              <w:right w:val="nil"/>
            </w:tcBorders>
            <w:shd w:val="clear" w:color="000000" w:fill="FFFFFF"/>
            <w:vAlign w:val="center"/>
            <w:hideMark/>
          </w:tcPr>
          <w:p w14:paraId="6153F57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6CFCCF7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39AFDE0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2AE5654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430102</w:t>
            </w:r>
          </w:p>
        </w:tc>
        <w:tc>
          <w:tcPr>
            <w:tcW w:w="4547" w:type="dxa"/>
            <w:tcBorders>
              <w:top w:val="nil"/>
              <w:left w:val="nil"/>
              <w:bottom w:val="nil"/>
              <w:right w:val="nil"/>
            </w:tcBorders>
            <w:shd w:val="clear" w:color="000000" w:fill="FFFFFF"/>
            <w:vAlign w:val="center"/>
            <w:hideMark/>
          </w:tcPr>
          <w:p w14:paraId="3D6AE0C8"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La Dirección de Registro Civil</w:t>
            </w:r>
          </w:p>
        </w:tc>
        <w:tc>
          <w:tcPr>
            <w:tcW w:w="1788" w:type="dxa"/>
            <w:tcBorders>
              <w:top w:val="nil"/>
              <w:left w:val="nil"/>
              <w:bottom w:val="nil"/>
              <w:right w:val="nil"/>
            </w:tcBorders>
            <w:shd w:val="clear" w:color="auto" w:fill="auto"/>
            <w:vAlign w:val="center"/>
            <w:hideMark/>
          </w:tcPr>
          <w:p w14:paraId="483E34E5"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$14,435,522</w:t>
            </w:r>
          </w:p>
        </w:tc>
      </w:tr>
      <w:tr w:rsidR="00F9012D" w:rsidRPr="00F9012D" w14:paraId="528767D3" w14:textId="77777777" w:rsidTr="00F9012D">
        <w:trPr>
          <w:trHeight w:val="467"/>
        </w:trPr>
        <w:tc>
          <w:tcPr>
            <w:tcW w:w="496" w:type="dxa"/>
            <w:tcBorders>
              <w:top w:val="nil"/>
              <w:left w:val="nil"/>
              <w:bottom w:val="nil"/>
              <w:right w:val="nil"/>
            </w:tcBorders>
            <w:shd w:val="clear" w:color="000000" w:fill="FFFFFF"/>
            <w:vAlign w:val="center"/>
            <w:hideMark/>
          </w:tcPr>
          <w:p w14:paraId="6A80321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530E769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6CE78D3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4302</w:t>
            </w:r>
          </w:p>
        </w:tc>
        <w:tc>
          <w:tcPr>
            <w:tcW w:w="755" w:type="dxa"/>
            <w:tcBorders>
              <w:top w:val="nil"/>
              <w:left w:val="nil"/>
              <w:bottom w:val="nil"/>
              <w:right w:val="nil"/>
            </w:tcBorders>
            <w:shd w:val="clear" w:color="000000" w:fill="FFFFFF"/>
            <w:vAlign w:val="center"/>
            <w:hideMark/>
          </w:tcPr>
          <w:p w14:paraId="0A20559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15802B98"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SERVICIOS PRESTADOS POR LA SECRETARÍA DE SEGURIDAD PÚBLICA, RELACIONADOS CON:</w:t>
            </w:r>
          </w:p>
        </w:tc>
        <w:tc>
          <w:tcPr>
            <w:tcW w:w="1788" w:type="dxa"/>
            <w:tcBorders>
              <w:top w:val="nil"/>
              <w:left w:val="nil"/>
              <w:bottom w:val="nil"/>
              <w:right w:val="nil"/>
            </w:tcBorders>
            <w:shd w:val="clear" w:color="auto" w:fill="auto"/>
            <w:vAlign w:val="center"/>
            <w:hideMark/>
          </w:tcPr>
          <w:p w14:paraId="7115205C"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$160,805,480</w:t>
            </w:r>
          </w:p>
        </w:tc>
      </w:tr>
      <w:tr w:rsidR="00F9012D" w:rsidRPr="00F9012D" w14:paraId="4A40C188" w14:textId="77777777" w:rsidTr="00F9012D">
        <w:trPr>
          <w:trHeight w:val="449"/>
        </w:trPr>
        <w:tc>
          <w:tcPr>
            <w:tcW w:w="496" w:type="dxa"/>
            <w:tcBorders>
              <w:top w:val="nil"/>
              <w:left w:val="nil"/>
              <w:bottom w:val="nil"/>
              <w:right w:val="nil"/>
            </w:tcBorders>
            <w:shd w:val="clear" w:color="000000" w:fill="FFFFFF"/>
            <w:vAlign w:val="center"/>
            <w:hideMark/>
          </w:tcPr>
          <w:p w14:paraId="2FA6F3FA"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32EA8DF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6B5630B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649909A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430201</w:t>
            </w:r>
          </w:p>
        </w:tc>
        <w:tc>
          <w:tcPr>
            <w:tcW w:w="4547" w:type="dxa"/>
            <w:tcBorders>
              <w:top w:val="nil"/>
              <w:left w:val="nil"/>
              <w:bottom w:val="nil"/>
              <w:right w:val="nil"/>
            </w:tcBorders>
            <w:shd w:val="clear" w:color="000000" w:fill="FFFFFF"/>
            <w:vAlign w:val="center"/>
            <w:hideMark/>
          </w:tcPr>
          <w:p w14:paraId="5E14CFBE"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Servicios relacionados con la Seguridad Privada</w:t>
            </w:r>
          </w:p>
        </w:tc>
        <w:tc>
          <w:tcPr>
            <w:tcW w:w="1788" w:type="dxa"/>
            <w:tcBorders>
              <w:top w:val="nil"/>
              <w:left w:val="nil"/>
              <w:bottom w:val="nil"/>
              <w:right w:val="nil"/>
            </w:tcBorders>
            <w:shd w:val="clear" w:color="auto" w:fill="auto"/>
            <w:vAlign w:val="center"/>
            <w:hideMark/>
          </w:tcPr>
          <w:p w14:paraId="5F729812"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$1,142,931</w:t>
            </w:r>
          </w:p>
        </w:tc>
      </w:tr>
      <w:tr w:rsidR="00F9012D" w:rsidRPr="00F9012D" w14:paraId="03068D4A" w14:textId="77777777" w:rsidTr="00F9012D">
        <w:trPr>
          <w:trHeight w:val="449"/>
        </w:trPr>
        <w:tc>
          <w:tcPr>
            <w:tcW w:w="496" w:type="dxa"/>
            <w:tcBorders>
              <w:top w:val="nil"/>
              <w:left w:val="nil"/>
              <w:bottom w:val="nil"/>
              <w:right w:val="nil"/>
            </w:tcBorders>
            <w:shd w:val="clear" w:color="000000" w:fill="FFFFFF"/>
            <w:vAlign w:val="center"/>
            <w:hideMark/>
          </w:tcPr>
          <w:p w14:paraId="314D53D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7E95A22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4D7BF1CA"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26F7B0D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430202</w:t>
            </w:r>
          </w:p>
        </w:tc>
        <w:tc>
          <w:tcPr>
            <w:tcW w:w="4547" w:type="dxa"/>
            <w:tcBorders>
              <w:top w:val="nil"/>
              <w:left w:val="nil"/>
              <w:bottom w:val="nil"/>
              <w:right w:val="nil"/>
            </w:tcBorders>
            <w:shd w:val="clear" w:color="000000" w:fill="FFFFFF"/>
            <w:vAlign w:val="center"/>
            <w:hideMark/>
          </w:tcPr>
          <w:p w14:paraId="0749105D"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Dirección de la Policía Auxiliar, Bancaria, Industrial y Comercial</w:t>
            </w:r>
          </w:p>
        </w:tc>
        <w:tc>
          <w:tcPr>
            <w:tcW w:w="1788" w:type="dxa"/>
            <w:tcBorders>
              <w:top w:val="nil"/>
              <w:left w:val="nil"/>
              <w:bottom w:val="nil"/>
              <w:right w:val="nil"/>
            </w:tcBorders>
            <w:shd w:val="clear" w:color="auto" w:fill="auto"/>
            <w:vAlign w:val="center"/>
            <w:hideMark/>
          </w:tcPr>
          <w:p w14:paraId="19057FDA"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$67,818,516</w:t>
            </w:r>
          </w:p>
        </w:tc>
      </w:tr>
      <w:tr w:rsidR="00F9012D" w:rsidRPr="00F9012D" w14:paraId="62DCDDE0" w14:textId="77777777" w:rsidTr="00F9012D">
        <w:trPr>
          <w:trHeight w:val="449"/>
        </w:trPr>
        <w:tc>
          <w:tcPr>
            <w:tcW w:w="496" w:type="dxa"/>
            <w:tcBorders>
              <w:top w:val="nil"/>
              <w:left w:val="nil"/>
              <w:bottom w:val="nil"/>
              <w:right w:val="nil"/>
            </w:tcBorders>
            <w:shd w:val="clear" w:color="000000" w:fill="FFFFFF"/>
            <w:vAlign w:val="center"/>
            <w:hideMark/>
          </w:tcPr>
          <w:p w14:paraId="2D67011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63A275F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6A94CA6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69253E9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430203</w:t>
            </w:r>
          </w:p>
        </w:tc>
        <w:tc>
          <w:tcPr>
            <w:tcW w:w="4547" w:type="dxa"/>
            <w:tcBorders>
              <w:top w:val="nil"/>
              <w:left w:val="nil"/>
              <w:bottom w:val="nil"/>
              <w:right w:val="nil"/>
            </w:tcBorders>
            <w:shd w:val="clear" w:color="000000" w:fill="FFFFFF"/>
            <w:vAlign w:val="center"/>
            <w:hideMark/>
          </w:tcPr>
          <w:p w14:paraId="54DFD02C"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Dirección General de la Policía Estatal de Caminos</w:t>
            </w:r>
          </w:p>
        </w:tc>
        <w:tc>
          <w:tcPr>
            <w:tcW w:w="1788" w:type="dxa"/>
            <w:tcBorders>
              <w:top w:val="nil"/>
              <w:left w:val="nil"/>
              <w:bottom w:val="nil"/>
              <w:right w:val="nil"/>
            </w:tcBorders>
            <w:shd w:val="clear" w:color="auto" w:fill="auto"/>
            <w:vAlign w:val="center"/>
            <w:hideMark/>
          </w:tcPr>
          <w:p w14:paraId="2941F83C"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$86,702,623</w:t>
            </w:r>
          </w:p>
        </w:tc>
      </w:tr>
      <w:tr w:rsidR="00F9012D" w:rsidRPr="00F9012D" w14:paraId="0492C619" w14:textId="77777777" w:rsidTr="00F9012D">
        <w:trPr>
          <w:trHeight w:val="449"/>
        </w:trPr>
        <w:tc>
          <w:tcPr>
            <w:tcW w:w="496" w:type="dxa"/>
            <w:tcBorders>
              <w:top w:val="nil"/>
              <w:left w:val="nil"/>
              <w:bottom w:val="nil"/>
              <w:right w:val="nil"/>
            </w:tcBorders>
            <w:shd w:val="clear" w:color="000000" w:fill="FFFFFF"/>
            <w:vAlign w:val="center"/>
            <w:hideMark/>
          </w:tcPr>
          <w:p w14:paraId="4E38D08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74A502C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796801BA"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2617256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430204</w:t>
            </w:r>
          </w:p>
        </w:tc>
        <w:tc>
          <w:tcPr>
            <w:tcW w:w="4547" w:type="dxa"/>
            <w:tcBorders>
              <w:top w:val="nil"/>
              <w:left w:val="nil"/>
              <w:bottom w:val="nil"/>
              <w:right w:val="nil"/>
            </w:tcBorders>
            <w:shd w:val="clear" w:color="000000" w:fill="FFFFFF"/>
            <w:vAlign w:val="center"/>
            <w:hideMark/>
          </w:tcPr>
          <w:p w14:paraId="61027206"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Servicios prestados por Seguridad Pública</w:t>
            </w:r>
          </w:p>
        </w:tc>
        <w:tc>
          <w:tcPr>
            <w:tcW w:w="1788" w:type="dxa"/>
            <w:tcBorders>
              <w:top w:val="nil"/>
              <w:left w:val="nil"/>
              <w:bottom w:val="nil"/>
              <w:right w:val="nil"/>
            </w:tcBorders>
            <w:shd w:val="clear" w:color="auto" w:fill="auto"/>
            <w:vAlign w:val="center"/>
            <w:hideMark/>
          </w:tcPr>
          <w:p w14:paraId="35DD4452"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$5,141,410</w:t>
            </w:r>
          </w:p>
        </w:tc>
      </w:tr>
      <w:tr w:rsidR="00F9012D" w:rsidRPr="00F9012D" w14:paraId="07B27C9C" w14:textId="77777777" w:rsidTr="00F9012D">
        <w:trPr>
          <w:trHeight w:val="467"/>
        </w:trPr>
        <w:tc>
          <w:tcPr>
            <w:tcW w:w="496" w:type="dxa"/>
            <w:tcBorders>
              <w:top w:val="nil"/>
              <w:left w:val="nil"/>
              <w:bottom w:val="nil"/>
              <w:right w:val="nil"/>
            </w:tcBorders>
            <w:shd w:val="clear" w:color="000000" w:fill="FFFFFF"/>
            <w:vAlign w:val="center"/>
            <w:hideMark/>
          </w:tcPr>
          <w:p w14:paraId="0DC66B6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1013ECD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6772EA4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4303</w:t>
            </w:r>
          </w:p>
        </w:tc>
        <w:tc>
          <w:tcPr>
            <w:tcW w:w="755" w:type="dxa"/>
            <w:tcBorders>
              <w:top w:val="nil"/>
              <w:left w:val="nil"/>
              <w:bottom w:val="nil"/>
              <w:right w:val="nil"/>
            </w:tcBorders>
            <w:shd w:val="clear" w:color="000000" w:fill="FFFFFF"/>
            <w:vAlign w:val="center"/>
            <w:hideMark/>
          </w:tcPr>
          <w:p w14:paraId="3E9343C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329CA8F3"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SERVICIOS PRESTADOS POR LA SECRETARÍA DE PLANEACIÓN Y FINANZAS RELACIONADOS CON:</w:t>
            </w:r>
          </w:p>
        </w:tc>
        <w:tc>
          <w:tcPr>
            <w:tcW w:w="1788" w:type="dxa"/>
            <w:tcBorders>
              <w:top w:val="nil"/>
              <w:left w:val="nil"/>
              <w:bottom w:val="nil"/>
              <w:right w:val="nil"/>
            </w:tcBorders>
            <w:shd w:val="clear" w:color="auto" w:fill="auto"/>
            <w:vAlign w:val="center"/>
            <w:hideMark/>
          </w:tcPr>
          <w:p w14:paraId="3F0A42D3"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$418,185,526</w:t>
            </w:r>
          </w:p>
        </w:tc>
      </w:tr>
      <w:tr w:rsidR="00F9012D" w:rsidRPr="00F9012D" w14:paraId="0F2CA45D" w14:textId="77777777" w:rsidTr="00F9012D">
        <w:trPr>
          <w:trHeight w:val="449"/>
        </w:trPr>
        <w:tc>
          <w:tcPr>
            <w:tcW w:w="496" w:type="dxa"/>
            <w:tcBorders>
              <w:top w:val="nil"/>
              <w:left w:val="nil"/>
              <w:bottom w:val="nil"/>
              <w:right w:val="nil"/>
            </w:tcBorders>
            <w:shd w:val="clear" w:color="000000" w:fill="FFFFFF"/>
            <w:vAlign w:val="center"/>
            <w:hideMark/>
          </w:tcPr>
          <w:p w14:paraId="65632BF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89B4F0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6934336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12A60C6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430301</w:t>
            </w:r>
          </w:p>
        </w:tc>
        <w:tc>
          <w:tcPr>
            <w:tcW w:w="4547" w:type="dxa"/>
            <w:tcBorders>
              <w:top w:val="nil"/>
              <w:left w:val="nil"/>
              <w:bottom w:val="nil"/>
              <w:right w:val="nil"/>
            </w:tcBorders>
            <w:shd w:val="clear" w:color="000000" w:fill="FFFFFF"/>
            <w:vAlign w:val="center"/>
            <w:hideMark/>
          </w:tcPr>
          <w:p w14:paraId="0735C407"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Aplicación de la Ley de Catastro del Estado de Tabasco</w:t>
            </w:r>
          </w:p>
        </w:tc>
        <w:tc>
          <w:tcPr>
            <w:tcW w:w="1788" w:type="dxa"/>
            <w:tcBorders>
              <w:top w:val="nil"/>
              <w:left w:val="nil"/>
              <w:bottom w:val="nil"/>
              <w:right w:val="nil"/>
            </w:tcBorders>
            <w:shd w:val="clear" w:color="auto" w:fill="auto"/>
            <w:vAlign w:val="center"/>
            <w:hideMark/>
          </w:tcPr>
          <w:p w14:paraId="34ADEB67"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$2,916,293</w:t>
            </w:r>
          </w:p>
        </w:tc>
      </w:tr>
      <w:tr w:rsidR="00F9012D" w:rsidRPr="00F9012D" w14:paraId="545738D1" w14:textId="77777777" w:rsidTr="00F9012D">
        <w:trPr>
          <w:trHeight w:val="449"/>
        </w:trPr>
        <w:tc>
          <w:tcPr>
            <w:tcW w:w="496" w:type="dxa"/>
            <w:tcBorders>
              <w:top w:val="nil"/>
              <w:left w:val="nil"/>
              <w:bottom w:val="nil"/>
              <w:right w:val="nil"/>
            </w:tcBorders>
            <w:shd w:val="clear" w:color="000000" w:fill="FFFFFF"/>
            <w:vAlign w:val="center"/>
            <w:hideMark/>
          </w:tcPr>
          <w:p w14:paraId="3EAA446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50DE06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2065CA5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7C107B6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430302</w:t>
            </w:r>
          </w:p>
        </w:tc>
        <w:tc>
          <w:tcPr>
            <w:tcW w:w="4547" w:type="dxa"/>
            <w:tcBorders>
              <w:top w:val="nil"/>
              <w:left w:val="nil"/>
              <w:bottom w:val="nil"/>
              <w:right w:val="nil"/>
            </w:tcBorders>
            <w:shd w:val="clear" w:color="000000" w:fill="FFFFFF"/>
            <w:vAlign w:val="center"/>
            <w:hideMark/>
          </w:tcPr>
          <w:p w14:paraId="1F5A9AF9"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Aplicación de la Ley que Regula la Venta, Distribución y Consumo de Bebidas Alcohólicas en el Estado de Tabasco</w:t>
            </w:r>
          </w:p>
        </w:tc>
        <w:tc>
          <w:tcPr>
            <w:tcW w:w="1788" w:type="dxa"/>
            <w:tcBorders>
              <w:top w:val="nil"/>
              <w:left w:val="nil"/>
              <w:bottom w:val="nil"/>
              <w:right w:val="nil"/>
            </w:tcBorders>
            <w:shd w:val="clear" w:color="auto" w:fill="auto"/>
            <w:vAlign w:val="center"/>
            <w:hideMark/>
          </w:tcPr>
          <w:p w14:paraId="71F80EA8"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$92,251,993</w:t>
            </w:r>
          </w:p>
        </w:tc>
      </w:tr>
      <w:tr w:rsidR="00F9012D" w:rsidRPr="00F9012D" w14:paraId="2EA1A138" w14:textId="77777777" w:rsidTr="00F9012D">
        <w:trPr>
          <w:trHeight w:val="449"/>
        </w:trPr>
        <w:tc>
          <w:tcPr>
            <w:tcW w:w="496" w:type="dxa"/>
            <w:tcBorders>
              <w:top w:val="nil"/>
              <w:left w:val="nil"/>
              <w:bottom w:val="nil"/>
              <w:right w:val="nil"/>
            </w:tcBorders>
            <w:shd w:val="clear" w:color="000000" w:fill="FFFFFF"/>
            <w:vAlign w:val="center"/>
            <w:hideMark/>
          </w:tcPr>
          <w:p w14:paraId="312B987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7084242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186CDF9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23CA667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430303</w:t>
            </w:r>
          </w:p>
        </w:tc>
        <w:tc>
          <w:tcPr>
            <w:tcW w:w="4547" w:type="dxa"/>
            <w:tcBorders>
              <w:top w:val="nil"/>
              <w:left w:val="nil"/>
              <w:bottom w:val="nil"/>
              <w:right w:val="nil"/>
            </w:tcBorders>
            <w:shd w:val="clear" w:color="000000" w:fill="FFFFFF"/>
            <w:vAlign w:val="center"/>
            <w:hideMark/>
          </w:tcPr>
          <w:p w14:paraId="26C9CF6E"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El registro de Vehículos Particulares</w:t>
            </w:r>
          </w:p>
        </w:tc>
        <w:tc>
          <w:tcPr>
            <w:tcW w:w="1788" w:type="dxa"/>
            <w:tcBorders>
              <w:top w:val="nil"/>
              <w:left w:val="nil"/>
              <w:bottom w:val="nil"/>
              <w:right w:val="nil"/>
            </w:tcBorders>
            <w:shd w:val="clear" w:color="auto" w:fill="auto"/>
            <w:vAlign w:val="center"/>
            <w:hideMark/>
          </w:tcPr>
          <w:p w14:paraId="27276D87"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$201,091,128</w:t>
            </w:r>
          </w:p>
        </w:tc>
      </w:tr>
      <w:tr w:rsidR="00F9012D" w:rsidRPr="00F9012D" w14:paraId="278306F1" w14:textId="77777777" w:rsidTr="00F9012D">
        <w:trPr>
          <w:trHeight w:val="449"/>
        </w:trPr>
        <w:tc>
          <w:tcPr>
            <w:tcW w:w="496" w:type="dxa"/>
            <w:tcBorders>
              <w:top w:val="nil"/>
              <w:left w:val="nil"/>
              <w:bottom w:val="nil"/>
              <w:right w:val="nil"/>
            </w:tcBorders>
            <w:shd w:val="clear" w:color="000000" w:fill="FFFFFF"/>
            <w:vAlign w:val="center"/>
            <w:hideMark/>
          </w:tcPr>
          <w:p w14:paraId="09B2BEA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94805C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4B133EB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3C5B04D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430304</w:t>
            </w:r>
          </w:p>
        </w:tc>
        <w:tc>
          <w:tcPr>
            <w:tcW w:w="4547" w:type="dxa"/>
            <w:tcBorders>
              <w:top w:val="nil"/>
              <w:left w:val="nil"/>
              <w:bottom w:val="nil"/>
              <w:right w:val="nil"/>
            </w:tcBorders>
            <w:shd w:val="clear" w:color="000000" w:fill="FFFFFF"/>
            <w:vAlign w:val="center"/>
            <w:hideMark/>
          </w:tcPr>
          <w:p w14:paraId="0AD5BC0C"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El registro de Vehículos del Transporte Público</w:t>
            </w:r>
          </w:p>
        </w:tc>
        <w:tc>
          <w:tcPr>
            <w:tcW w:w="1788" w:type="dxa"/>
            <w:tcBorders>
              <w:top w:val="nil"/>
              <w:left w:val="nil"/>
              <w:bottom w:val="nil"/>
              <w:right w:val="nil"/>
            </w:tcBorders>
            <w:shd w:val="clear" w:color="auto" w:fill="auto"/>
            <w:vAlign w:val="center"/>
            <w:hideMark/>
          </w:tcPr>
          <w:p w14:paraId="449BC936"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$6,968,294</w:t>
            </w:r>
          </w:p>
        </w:tc>
      </w:tr>
      <w:tr w:rsidR="00F9012D" w:rsidRPr="00F9012D" w14:paraId="7AB51B15" w14:textId="77777777" w:rsidTr="00F9012D">
        <w:trPr>
          <w:trHeight w:val="449"/>
        </w:trPr>
        <w:tc>
          <w:tcPr>
            <w:tcW w:w="496" w:type="dxa"/>
            <w:tcBorders>
              <w:top w:val="nil"/>
              <w:left w:val="nil"/>
              <w:bottom w:val="nil"/>
              <w:right w:val="nil"/>
            </w:tcBorders>
            <w:shd w:val="clear" w:color="000000" w:fill="FFFFFF"/>
            <w:vAlign w:val="center"/>
            <w:hideMark/>
          </w:tcPr>
          <w:p w14:paraId="68AE1BB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7A6A6FA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604B607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46C1AC6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430305</w:t>
            </w:r>
          </w:p>
        </w:tc>
        <w:tc>
          <w:tcPr>
            <w:tcW w:w="4547" w:type="dxa"/>
            <w:tcBorders>
              <w:top w:val="nil"/>
              <w:left w:val="nil"/>
              <w:bottom w:val="nil"/>
              <w:right w:val="nil"/>
            </w:tcBorders>
            <w:shd w:val="clear" w:color="000000" w:fill="FFFFFF"/>
            <w:vAlign w:val="center"/>
            <w:hideMark/>
          </w:tcPr>
          <w:p w14:paraId="0EFF8ABE"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La aplicación de la Ley que Regula las Casas de Empeño del Estado de Tabasco</w:t>
            </w:r>
          </w:p>
        </w:tc>
        <w:tc>
          <w:tcPr>
            <w:tcW w:w="1788" w:type="dxa"/>
            <w:tcBorders>
              <w:top w:val="nil"/>
              <w:left w:val="nil"/>
              <w:bottom w:val="nil"/>
              <w:right w:val="nil"/>
            </w:tcBorders>
            <w:shd w:val="clear" w:color="auto" w:fill="auto"/>
            <w:vAlign w:val="center"/>
            <w:hideMark/>
          </w:tcPr>
          <w:p w14:paraId="7C7A4BA6"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$2,429,170</w:t>
            </w:r>
          </w:p>
        </w:tc>
      </w:tr>
      <w:tr w:rsidR="00F9012D" w:rsidRPr="00F9012D" w14:paraId="5E4E4983" w14:textId="77777777" w:rsidTr="00F9012D">
        <w:trPr>
          <w:trHeight w:val="449"/>
        </w:trPr>
        <w:tc>
          <w:tcPr>
            <w:tcW w:w="496" w:type="dxa"/>
            <w:tcBorders>
              <w:top w:val="nil"/>
              <w:left w:val="nil"/>
              <w:bottom w:val="nil"/>
              <w:right w:val="nil"/>
            </w:tcBorders>
            <w:shd w:val="clear" w:color="000000" w:fill="FFFFFF"/>
            <w:vAlign w:val="center"/>
            <w:hideMark/>
          </w:tcPr>
          <w:p w14:paraId="10DCF78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0810DC7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09E6CD0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76551CF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430306</w:t>
            </w:r>
          </w:p>
        </w:tc>
        <w:tc>
          <w:tcPr>
            <w:tcW w:w="4547" w:type="dxa"/>
            <w:tcBorders>
              <w:top w:val="nil"/>
              <w:left w:val="nil"/>
              <w:bottom w:val="nil"/>
              <w:right w:val="nil"/>
            </w:tcBorders>
            <w:shd w:val="clear" w:color="000000" w:fill="FFFFFF"/>
            <w:vAlign w:val="center"/>
            <w:hideMark/>
          </w:tcPr>
          <w:p w14:paraId="3A447D14"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Registro de Vehículos nuevos no Enajenados</w:t>
            </w:r>
          </w:p>
        </w:tc>
        <w:tc>
          <w:tcPr>
            <w:tcW w:w="1788" w:type="dxa"/>
            <w:tcBorders>
              <w:top w:val="nil"/>
              <w:left w:val="nil"/>
              <w:bottom w:val="nil"/>
              <w:right w:val="nil"/>
            </w:tcBorders>
            <w:shd w:val="clear" w:color="auto" w:fill="auto"/>
            <w:vAlign w:val="center"/>
            <w:hideMark/>
          </w:tcPr>
          <w:p w14:paraId="707F4A32"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156E1193" w14:textId="77777777" w:rsidTr="00F9012D">
        <w:trPr>
          <w:trHeight w:val="449"/>
        </w:trPr>
        <w:tc>
          <w:tcPr>
            <w:tcW w:w="496" w:type="dxa"/>
            <w:tcBorders>
              <w:top w:val="nil"/>
              <w:left w:val="nil"/>
              <w:bottom w:val="nil"/>
              <w:right w:val="nil"/>
            </w:tcBorders>
            <w:shd w:val="clear" w:color="000000" w:fill="FFFFFF"/>
            <w:vAlign w:val="center"/>
            <w:hideMark/>
          </w:tcPr>
          <w:p w14:paraId="7C670F4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18C1740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508CFF9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4C3635E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430307</w:t>
            </w:r>
          </w:p>
        </w:tc>
        <w:tc>
          <w:tcPr>
            <w:tcW w:w="4547" w:type="dxa"/>
            <w:tcBorders>
              <w:top w:val="nil"/>
              <w:left w:val="nil"/>
              <w:bottom w:val="nil"/>
              <w:right w:val="nil"/>
            </w:tcBorders>
            <w:shd w:val="clear" w:color="000000" w:fill="FFFFFF"/>
            <w:vAlign w:val="center"/>
            <w:hideMark/>
          </w:tcPr>
          <w:p w14:paraId="56BE7D90"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Aplicación de la Ley Registral del Estado de Tabasco</w:t>
            </w:r>
          </w:p>
        </w:tc>
        <w:tc>
          <w:tcPr>
            <w:tcW w:w="1788" w:type="dxa"/>
            <w:tcBorders>
              <w:top w:val="nil"/>
              <w:left w:val="nil"/>
              <w:bottom w:val="nil"/>
              <w:right w:val="nil"/>
            </w:tcBorders>
            <w:shd w:val="clear" w:color="auto" w:fill="auto"/>
            <w:vAlign w:val="center"/>
            <w:hideMark/>
          </w:tcPr>
          <w:p w14:paraId="64E3E250"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$112,528,648</w:t>
            </w:r>
          </w:p>
        </w:tc>
      </w:tr>
      <w:tr w:rsidR="00F9012D" w:rsidRPr="00F9012D" w14:paraId="527EBBD4" w14:textId="77777777" w:rsidTr="00F9012D">
        <w:trPr>
          <w:trHeight w:val="467"/>
        </w:trPr>
        <w:tc>
          <w:tcPr>
            <w:tcW w:w="496" w:type="dxa"/>
            <w:tcBorders>
              <w:top w:val="nil"/>
              <w:left w:val="nil"/>
              <w:bottom w:val="nil"/>
              <w:right w:val="nil"/>
            </w:tcBorders>
            <w:shd w:val="clear" w:color="000000" w:fill="FFFFFF"/>
            <w:vAlign w:val="center"/>
            <w:hideMark/>
          </w:tcPr>
          <w:p w14:paraId="3AA4E73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6346959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25E5008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4304</w:t>
            </w:r>
          </w:p>
        </w:tc>
        <w:tc>
          <w:tcPr>
            <w:tcW w:w="755" w:type="dxa"/>
            <w:tcBorders>
              <w:top w:val="nil"/>
              <w:left w:val="nil"/>
              <w:bottom w:val="nil"/>
              <w:right w:val="nil"/>
            </w:tcBorders>
            <w:shd w:val="clear" w:color="000000" w:fill="FFFFFF"/>
            <w:vAlign w:val="center"/>
            <w:hideMark/>
          </w:tcPr>
          <w:p w14:paraId="5D51B92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23399212"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SERVICIOS PRESTADOS POR LA SECRETARÍA DE EDUCACIÓN DEL ESTADO, RELACIONADOS CON:</w:t>
            </w:r>
          </w:p>
        </w:tc>
        <w:tc>
          <w:tcPr>
            <w:tcW w:w="1788" w:type="dxa"/>
            <w:tcBorders>
              <w:top w:val="nil"/>
              <w:left w:val="nil"/>
              <w:bottom w:val="nil"/>
              <w:right w:val="nil"/>
            </w:tcBorders>
            <w:shd w:val="clear" w:color="auto" w:fill="auto"/>
            <w:vAlign w:val="center"/>
            <w:hideMark/>
          </w:tcPr>
          <w:p w14:paraId="72A58225"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$12,236,154</w:t>
            </w:r>
          </w:p>
        </w:tc>
      </w:tr>
      <w:tr w:rsidR="00F9012D" w:rsidRPr="00F9012D" w14:paraId="05618C1D" w14:textId="77777777" w:rsidTr="00F9012D">
        <w:trPr>
          <w:trHeight w:val="449"/>
        </w:trPr>
        <w:tc>
          <w:tcPr>
            <w:tcW w:w="496" w:type="dxa"/>
            <w:tcBorders>
              <w:top w:val="nil"/>
              <w:left w:val="nil"/>
              <w:bottom w:val="nil"/>
              <w:right w:val="nil"/>
            </w:tcBorders>
            <w:shd w:val="clear" w:color="000000" w:fill="FFFFFF"/>
            <w:vAlign w:val="center"/>
            <w:hideMark/>
          </w:tcPr>
          <w:p w14:paraId="62F88D8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745B5CB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7001F54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162AD82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430401</w:t>
            </w:r>
          </w:p>
        </w:tc>
        <w:tc>
          <w:tcPr>
            <w:tcW w:w="4547" w:type="dxa"/>
            <w:tcBorders>
              <w:top w:val="nil"/>
              <w:left w:val="nil"/>
              <w:bottom w:val="nil"/>
              <w:right w:val="nil"/>
            </w:tcBorders>
            <w:shd w:val="clear" w:color="000000" w:fill="FFFFFF"/>
            <w:vAlign w:val="center"/>
            <w:hideMark/>
          </w:tcPr>
          <w:p w14:paraId="04B2BDF7"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Secretaría de Educación del Estado</w:t>
            </w:r>
          </w:p>
        </w:tc>
        <w:tc>
          <w:tcPr>
            <w:tcW w:w="1788" w:type="dxa"/>
            <w:tcBorders>
              <w:top w:val="nil"/>
              <w:left w:val="nil"/>
              <w:bottom w:val="nil"/>
              <w:right w:val="nil"/>
            </w:tcBorders>
            <w:shd w:val="clear" w:color="auto" w:fill="auto"/>
            <w:vAlign w:val="center"/>
            <w:hideMark/>
          </w:tcPr>
          <w:p w14:paraId="582E5AE3"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$8,891,203</w:t>
            </w:r>
          </w:p>
        </w:tc>
      </w:tr>
      <w:tr w:rsidR="00F9012D" w:rsidRPr="00F9012D" w14:paraId="200B421D" w14:textId="77777777" w:rsidTr="00F9012D">
        <w:trPr>
          <w:trHeight w:val="449"/>
        </w:trPr>
        <w:tc>
          <w:tcPr>
            <w:tcW w:w="496" w:type="dxa"/>
            <w:tcBorders>
              <w:top w:val="nil"/>
              <w:left w:val="nil"/>
              <w:bottom w:val="nil"/>
              <w:right w:val="nil"/>
            </w:tcBorders>
            <w:shd w:val="clear" w:color="000000" w:fill="FFFFFF"/>
            <w:vAlign w:val="center"/>
            <w:hideMark/>
          </w:tcPr>
          <w:p w14:paraId="0A48D94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7C3463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096A71C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539B63B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430402</w:t>
            </w:r>
          </w:p>
        </w:tc>
        <w:tc>
          <w:tcPr>
            <w:tcW w:w="4547" w:type="dxa"/>
            <w:tcBorders>
              <w:top w:val="nil"/>
              <w:left w:val="nil"/>
              <w:bottom w:val="nil"/>
              <w:right w:val="nil"/>
            </w:tcBorders>
            <w:shd w:val="clear" w:color="000000" w:fill="FFFFFF"/>
            <w:vAlign w:val="center"/>
            <w:hideMark/>
          </w:tcPr>
          <w:p w14:paraId="0B4D3275"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Instituto del Deporte del Estado de Tabasco</w:t>
            </w:r>
          </w:p>
        </w:tc>
        <w:tc>
          <w:tcPr>
            <w:tcW w:w="1788" w:type="dxa"/>
            <w:tcBorders>
              <w:top w:val="nil"/>
              <w:left w:val="nil"/>
              <w:bottom w:val="nil"/>
              <w:right w:val="nil"/>
            </w:tcBorders>
            <w:shd w:val="clear" w:color="auto" w:fill="auto"/>
            <w:vAlign w:val="center"/>
            <w:hideMark/>
          </w:tcPr>
          <w:p w14:paraId="2B957737"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$703,617</w:t>
            </w:r>
          </w:p>
        </w:tc>
      </w:tr>
      <w:tr w:rsidR="00F9012D" w:rsidRPr="00F9012D" w14:paraId="21C524C8" w14:textId="77777777" w:rsidTr="00F9012D">
        <w:trPr>
          <w:trHeight w:val="449"/>
        </w:trPr>
        <w:tc>
          <w:tcPr>
            <w:tcW w:w="496" w:type="dxa"/>
            <w:tcBorders>
              <w:top w:val="nil"/>
              <w:left w:val="nil"/>
              <w:bottom w:val="nil"/>
              <w:right w:val="nil"/>
            </w:tcBorders>
            <w:shd w:val="clear" w:color="000000" w:fill="FFFFFF"/>
            <w:vAlign w:val="center"/>
            <w:hideMark/>
          </w:tcPr>
          <w:p w14:paraId="6AF410C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3035602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0AB60C7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0509CED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430403</w:t>
            </w:r>
          </w:p>
        </w:tc>
        <w:tc>
          <w:tcPr>
            <w:tcW w:w="4547" w:type="dxa"/>
            <w:tcBorders>
              <w:top w:val="nil"/>
              <w:left w:val="nil"/>
              <w:bottom w:val="nil"/>
              <w:right w:val="nil"/>
            </w:tcBorders>
            <w:shd w:val="clear" w:color="000000" w:fill="FFFFFF"/>
            <w:vAlign w:val="center"/>
            <w:hideMark/>
          </w:tcPr>
          <w:p w14:paraId="64519148"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Coordinación de Escuelas Normales, IESMA Y UPN</w:t>
            </w:r>
          </w:p>
        </w:tc>
        <w:tc>
          <w:tcPr>
            <w:tcW w:w="1788" w:type="dxa"/>
            <w:tcBorders>
              <w:top w:val="nil"/>
              <w:left w:val="nil"/>
              <w:bottom w:val="nil"/>
              <w:right w:val="nil"/>
            </w:tcBorders>
            <w:shd w:val="clear" w:color="auto" w:fill="auto"/>
            <w:vAlign w:val="center"/>
            <w:hideMark/>
          </w:tcPr>
          <w:p w14:paraId="283F5C50"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$2,641,334</w:t>
            </w:r>
          </w:p>
        </w:tc>
      </w:tr>
      <w:tr w:rsidR="00F9012D" w:rsidRPr="00F9012D" w14:paraId="12A66858" w14:textId="77777777" w:rsidTr="00F9012D">
        <w:trPr>
          <w:trHeight w:val="701"/>
        </w:trPr>
        <w:tc>
          <w:tcPr>
            <w:tcW w:w="496" w:type="dxa"/>
            <w:tcBorders>
              <w:top w:val="nil"/>
              <w:left w:val="nil"/>
              <w:bottom w:val="nil"/>
              <w:right w:val="nil"/>
            </w:tcBorders>
            <w:shd w:val="clear" w:color="000000" w:fill="FFFFFF"/>
            <w:vAlign w:val="center"/>
            <w:hideMark/>
          </w:tcPr>
          <w:p w14:paraId="2320DD9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3EE1573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65DB109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4305</w:t>
            </w:r>
          </w:p>
        </w:tc>
        <w:tc>
          <w:tcPr>
            <w:tcW w:w="755" w:type="dxa"/>
            <w:tcBorders>
              <w:top w:val="nil"/>
              <w:left w:val="nil"/>
              <w:bottom w:val="nil"/>
              <w:right w:val="nil"/>
            </w:tcBorders>
            <w:shd w:val="clear" w:color="000000" w:fill="FFFFFF"/>
            <w:vAlign w:val="center"/>
            <w:hideMark/>
          </w:tcPr>
          <w:p w14:paraId="2018ABF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6D897878"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SERVICIOS PRESTADOS POR LA SECRETARÍA DE ENERGÍA, RECURSOS NATURALES Y PROTECCIÓN AMBIENTAL, RELACIONADOS CON:</w:t>
            </w:r>
          </w:p>
        </w:tc>
        <w:tc>
          <w:tcPr>
            <w:tcW w:w="1788" w:type="dxa"/>
            <w:tcBorders>
              <w:top w:val="nil"/>
              <w:left w:val="nil"/>
              <w:bottom w:val="nil"/>
              <w:right w:val="nil"/>
            </w:tcBorders>
            <w:shd w:val="clear" w:color="auto" w:fill="auto"/>
            <w:vAlign w:val="center"/>
            <w:hideMark/>
          </w:tcPr>
          <w:p w14:paraId="4DDF82B6"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$21,237,716</w:t>
            </w:r>
          </w:p>
        </w:tc>
      </w:tr>
      <w:tr w:rsidR="00F9012D" w:rsidRPr="00F9012D" w14:paraId="3A99DAD1" w14:textId="77777777" w:rsidTr="00F9012D">
        <w:trPr>
          <w:trHeight w:val="449"/>
        </w:trPr>
        <w:tc>
          <w:tcPr>
            <w:tcW w:w="496" w:type="dxa"/>
            <w:tcBorders>
              <w:top w:val="nil"/>
              <w:left w:val="nil"/>
              <w:bottom w:val="nil"/>
              <w:right w:val="nil"/>
            </w:tcBorders>
            <w:shd w:val="clear" w:color="000000" w:fill="FFFFFF"/>
            <w:vAlign w:val="center"/>
            <w:hideMark/>
          </w:tcPr>
          <w:p w14:paraId="14FDC4D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66757A3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43DF8C5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7216D99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430501</w:t>
            </w:r>
          </w:p>
        </w:tc>
        <w:tc>
          <w:tcPr>
            <w:tcW w:w="4547" w:type="dxa"/>
            <w:tcBorders>
              <w:top w:val="nil"/>
              <w:left w:val="nil"/>
              <w:bottom w:val="nil"/>
              <w:right w:val="nil"/>
            </w:tcBorders>
            <w:shd w:val="clear" w:color="000000" w:fill="FFFFFF"/>
            <w:vAlign w:val="center"/>
            <w:hideMark/>
          </w:tcPr>
          <w:p w14:paraId="71A556DB"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Secretaría de Energía, Recursos Naturales y Protección Ambiental</w:t>
            </w:r>
          </w:p>
        </w:tc>
        <w:tc>
          <w:tcPr>
            <w:tcW w:w="1788" w:type="dxa"/>
            <w:tcBorders>
              <w:top w:val="nil"/>
              <w:left w:val="nil"/>
              <w:bottom w:val="nil"/>
              <w:right w:val="nil"/>
            </w:tcBorders>
            <w:shd w:val="clear" w:color="auto" w:fill="auto"/>
            <w:vAlign w:val="center"/>
            <w:hideMark/>
          </w:tcPr>
          <w:p w14:paraId="6F01FED3"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$3,115,631</w:t>
            </w:r>
          </w:p>
        </w:tc>
      </w:tr>
      <w:tr w:rsidR="00F9012D" w:rsidRPr="00F9012D" w14:paraId="5792A4C6" w14:textId="77777777" w:rsidTr="00F9012D">
        <w:trPr>
          <w:trHeight w:val="449"/>
        </w:trPr>
        <w:tc>
          <w:tcPr>
            <w:tcW w:w="496" w:type="dxa"/>
            <w:tcBorders>
              <w:top w:val="nil"/>
              <w:left w:val="nil"/>
              <w:bottom w:val="nil"/>
              <w:right w:val="nil"/>
            </w:tcBorders>
            <w:shd w:val="clear" w:color="000000" w:fill="FFFFFF"/>
            <w:vAlign w:val="center"/>
            <w:hideMark/>
          </w:tcPr>
          <w:p w14:paraId="3B6C48A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lastRenderedPageBreak/>
              <w:t> </w:t>
            </w:r>
          </w:p>
        </w:tc>
        <w:tc>
          <w:tcPr>
            <w:tcW w:w="359" w:type="dxa"/>
            <w:tcBorders>
              <w:top w:val="nil"/>
              <w:left w:val="nil"/>
              <w:bottom w:val="nil"/>
              <w:right w:val="nil"/>
            </w:tcBorders>
            <w:shd w:val="clear" w:color="000000" w:fill="FFFFFF"/>
            <w:vAlign w:val="center"/>
            <w:hideMark/>
          </w:tcPr>
          <w:p w14:paraId="442B5E5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4ECF3A9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7F07D73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430502</w:t>
            </w:r>
          </w:p>
        </w:tc>
        <w:tc>
          <w:tcPr>
            <w:tcW w:w="4547" w:type="dxa"/>
            <w:tcBorders>
              <w:top w:val="nil"/>
              <w:left w:val="nil"/>
              <w:bottom w:val="nil"/>
              <w:right w:val="nil"/>
            </w:tcBorders>
            <w:shd w:val="clear" w:color="000000" w:fill="FFFFFF"/>
            <w:vAlign w:val="center"/>
            <w:hideMark/>
          </w:tcPr>
          <w:p w14:paraId="6AD979A8"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Centro de Interpretación y Convivencia con la Naturaleza Yumká</w:t>
            </w:r>
          </w:p>
        </w:tc>
        <w:tc>
          <w:tcPr>
            <w:tcW w:w="1788" w:type="dxa"/>
            <w:tcBorders>
              <w:top w:val="nil"/>
              <w:left w:val="nil"/>
              <w:bottom w:val="nil"/>
              <w:right w:val="nil"/>
            </w:tcBorders>
            <w:shd w:val="clear" w:color="auto" w:fill="auto"/>
            <w:vAlign w:val="center"/>
            <w:hideMark/>
          </w:tcPr>
          <w:p w14:paraId="341CFFEB"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$18,122,085</w:t>
            </w:r>
          </w:p>
        </w:tc>
      </w:tr>
      <w:tr w:rsidR="00F9012D" w:rsidRPr="00F9012D" w14:paraId="28F890AE" w14:textId="77777777" w:rsidTr="00F9012D">
        <w:trPr>
          <w:trHeight w:val="485"/>
        </w:trPr>
        <w:tc>
          <w:tcPr>
            <w:tcW w:w="496" w:type="dxa"/>
            <w:tcBorders>
              <w:top w:val="nil"/>
              <w:left w:val="nil"/>
              <w:bottom w:val="nil"/>
              <w:right w:val="nil"/>
            </w:tcBorders>
            <w:shd w:val="clear" w:color="000000" w:fill="FFFFFF"/>
            <w:vAlign w:val="center"/>
            <w:hideMark/>
          </w:tcPr>
          <w:p w14:paraId="2FC827E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CB0B3C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11EE66E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4306</w:t>
            </w:r>
          </w:p>
        </w:tc>
        <w:tc>
          <w:tcPr>
            <w:tcW w:w="755" w:type="dxa"/>
            <w:tcBorders>
              <w:top w:val="nil"/>
              <w:left w:val="nil"/>
              <w:bottom w:val="nil"/>
              <w:right w:val="nil"/>
            </w:tcBorders>
            <w:shd w:val="clear" w:color="000000" w:fill="FFFFFF"/>
            <w:vAlign w:val="center"/>
            <w:hideMark/>
          </w:tcPr>
          <w:p w14:paraId="01EDDAC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1CEE9C46"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SERVICIOS PRESTADOS POR LA SECRETARÍA DE DESARROLLO ECONÓMICO Y TURISMO</w:t>
            </w:r>
          </w:p>
        </w:tc>
        <w:tc>
          <w:tcPr>
            <w:tcW w:w="1788" w:type="dxa"/>
            <w:tcBorders>
              <w:top w:val="nil"/>
              <w:left w:val="nil"/>
              <w:bottom w:val="nil"/>
              <w:right w:val="nil"/>
            </w:tcBorders>
            <w:shd w:val="clear" w:color="auto" w:fill="auto"/>
            <w:vAlign w:val="center"/>
            <w:hideMark/>
          </w:tcPr>
          <w:p w14:paraId="08EDE1B5"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$26,634,626</w:t>
            </w:r>
          </w:p>
        </w:tc>
      </w:tr>
      <w:tr w:rsidR="00F9012D" w:rsidRPr="00F9012D" w14:paraId="3DB444C9" w14:textId="77777777" w:rsidTr="00F9012D">
        <w:trPr>
          <w:trHeight w:val="485"/>
        </w:trPr>
        <w:tc>
          <w:tcPr>
            <w:tcW w:w="496" w:type="dxa"/>
            <w:tcBorders>
              <w:top w:val="nil"/>
              <w:left w:val="nil"/>
              <w:bottom w:val="nil"/>
              <w:right w:val="nil"/>
            </w:tcBorders>
            <w:shd w:val="clear" w:color="000000" w:fill="FFFFFF"/>
            <w:vAlign w:val="center"/>
            <w:hideMark/>
          </w:tcPr>
          <w:p w14:paraId="62D3385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5C24D58A"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0C2105F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4307</w:t>
            </w:r>
          </w:p>
        </w:tc>
        <w:tc>
          <w:tcPr>
            <w:tcW w:w="755" w:type="dxa"/>
            <w:tcBorders>
              <w:top w:val="nil"/>
              <w:left w:val="nil"/>
              <w:bottom w:val="nil"/>
              <w:right w:val="nil"/>
            </w:tcBorders>
            <w:shd w:val="clear" w:color="000000" w:fill="FFFFFF"/>
            <w:vAlign w:val="center"/>
            <w:hideMark/>
          </w:tcPr>
          <w:p w14:paraId="69EED81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0AE46111"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SERVICIOS PRESTADOS POR LA SECRETARÍA DE COMUNICACIONES Y TRANSPORTES</w:t>
            </w:r>
          </w:p>
        </w:tc>
        <w:tc>
          <w:tcPr>
            <w:tcW w:w="1788" w:type="dxa"/>
            <w:tcBorders>
              <w:top w:val="nil"/>
              <w:left w:val="nil"/>
              <w:bottom w:val="nil"/>
              <w:right w:val="nil"/>
            </w:tcBorders>
            <w:shd w:val="clear" w:color="auto" w:fill="auto"/>
            <w:vAlign w:val="center"/>
            <w:hideMark/>
          </w:tcPr>
          <w:p w14:paraId="766C8EEE"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$10,789,170</w:t>
            </w:r>
          </w:p>
        </w:tc>
      </w:tr>
      <w:tr w:rsidR="00F9012D" w:rsidRPr="00F9012D" w14:paraId="390C181F" w14:textId="77777777" w:rsidTr="00F9012D">
        <w:trPr>
          <w:trHeight w:val="701"/>
        </w:trPr>
        <w:tc>
          <w:tcPr>
            <w:tcW w:w="496" w:type="dxa"/>
            <w:tcBorders>
              <w:top w:val="nil"/>
              <w:left w:val="nil"/>
              <w:bottom w:val="nil"/>
              <w:right w:val="nil"/>
            </w:tcBorders>
            <w:shd w:val="clear" w:color="000000" w:fill="FFFFFF"/>
            <w:vAlign w:val="center"/>
            <w:hideMark/>
          </w:tcPr>
          <w:p w14:paraId="47BFA45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1E0F945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56BA8A1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4308</w:t>
            </w:r>
          </w:p>
        </w:tc>
        <w:tc>
          <w:tcPr>
            <w:tcW w:w="755" w:type="dxa"/>
            <w:tcBorders>
              <w:top w:val="nil"/>
              <w:left w:val="nil"/>
              <w:bottom w:val="nil"/>
              <w:right w:val="nil"/>
            </w:tcBorders>
            <w:shd w:val="clear" w:color="000000" w:fill="FFFFFF"/>
            <w:vAlign w:val="center"/>
            <w:hideMark/>
          </w:tcPr>
          <w:p w14:paraId="4D4FC4C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083D0A3F"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BÚSQUEDA EN LOS ARCHIVOS, LEGALIZACIÓN DE FIRMAS, EXPEDICIÓN DE CERTIFICACIONES, CONSTANCIAS Y COPIAS CERTIFICADAS</w:t>
            </w:r>
          </w:p>
        </w:tc>
        <w:tc>
          <w:tcPr>
            <w:tcW w:w="1788" w:type="dxa"/>
            <w:tcBorders>
              <w:top w:val="nil"/>
              <w:left w:val="nil"/>
              <w:bottom w:val="nil"/>
              <w:right w:val="nil"/>
            </w:tcBorders>
            <w:shd w:val="clear" w:color="auto" w:fill="auto"/>
            <w:vAlign w:val="center"/>
            <w:hideMark/>
          </w:tcPr>
          <w:p w14:paraId="28BEC158"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$15,163,532</w:t>
            </w:r>
          </w:p>
        </w:tc>
      </w:tr>
      <w:tr w:rsidR="00F9012D" w:rsidRPr="00F9012D" w14:paraId="5E68D875" w14:textId="77777777" w:rsidTr="00F9012D">
        <w:trPr>
          <w:trHeight w:val="485"/>
        </w:trPr>
        <w:tc>
          <w:tcPr>
            <w:tcW w:w="496" w:type="dxa"/>
            <w:tcBorders>
              <w:top w:val="nil"/>
              <w:left w:val="nil"/>
              <w:bottom w:val="nil"/>
              <w:right w:val="nil"/>
            </w:tcBorders>
            <w:shd w:val="clear" w:color="000000" w:fill="FFFFFF"/>
            <w:vAlign w:val="center"/>
            <w:hideMark/>
          </w:tcPr>
          <w:p w14:paraId="20063E3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A8DC5D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1BEB4DE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4309</w:t>
            </w:r>
          </w:p>
        </w:tc>
        <w:tc>
          <w:tcPr>
            <w:tcW w:w="755" w:type="dxa"/>
            <w:tcBorders>
              <w:top w:val="nil"/>
              <w:left w:val="nil"/>
              <w:bottom w:val="nil"/>
              <w:right w:val="nil"/>
            </w:tcBorders>
            <w:shd w:val="clear" w:color="000000" w:fill="FFFFFF"/>
            <w:vAlign w:val="center"/>
            <w:hideMark/>
          </w:tcPr>
          <w:p w14:paraId="2D18625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1B82ACFB"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SERVICIOS PRESTADOS POR H TRIBUNAL SUPERIOR DE JUSTICIA DEL ESTADO</w:t>
            </w:r>
          </w:p>
        </w:tc>
        <w:tc>
          <w:tcPr>
            <w:tcW w:w="1788" w:type="dxa"/>
            <w:tcBorders>
              <w:top w:val="nil"/>
              <w:left w:val="nil"/>
              <w:bottom w:val="nil"/>
              <w:right w:val="nil"/>
            </w:tcBorders>
            <w:shd w:val="clear" w:color="auto" w:fill="auto"/>
            <w:vAlign w:val="center"/>
            <w:hideMark/>
          </w:tcPr>
          <w:p w14:paraId="7F32E42F"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$1,175,184</w:t>
            </w:r>
          </w:p>
        </w:tc>
      </w:tr>
      <w:tr w:rsidR="00F9012D" w:rsidRPr="00F9012D" w14:paraId="495EEF3A" w14:textId="77777777" w:rsidTr="00F9012D">
        <w:trPr>
          <w:trHeight w:val="485"/>
        </w:trPr>
        <w:tc>
          <w:tcPr>
            <w:tcW w:w="496" w:type="dxa"/>
            <w:tcBorders>
              <w:top w:val="nil"/>
              <w:left w:val="nil"/>
              <w:bottom w:val="nil"/>
              <w:right w:val="nil"/>
            </w:tcBorders>
            <w:shd w:val="clear" w:color="000000" w:fill="FFFFFF"/>
            <w:vAlign w:val="center"/>
            <w:hideMark/>
          </w:tcPr>
          <w:p w14:paraId="7744E43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8F4A29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4C0D8D8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4310</w:t>
            </w:r>
          </w:p>
        </w:tc>
        <w:tc>
          <w:tcPr>
            <w:tcW w:w="755" w:type="dxa"/>
            <w:tcBorders>
              <w:top w:val="nil"/>
              <w:left w:val="nil"/>
              <w:bottom w:val="nil"/>
              <w:right w:val="nil"/>
            </w:tcBorders>
            <w:shd w:val="clear" w:color="000000" w:fill="FFFFFF"/>
            <w:vAlign w:val="center"/>
            <w:hideMark/>
          </w:tcPr>
          <w:p w14:paraId="3EFB9A1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5553053F"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SERVICIOS PRESTADOS POR LA SECRETARÍA DE DESARROLLO AGROPECUARIO FORESTAL Y PESQUERO</w:t>
            </w:r>
          </w:p>
        </w:tc>
        <w:tc>
          <w:tcPr>
            <w:tcW w:w="1788" w:type="dxa"/>
            <w:tcBorders>
              <w:top w:val="nil"/>
              <w:left w:val="nil"/>
              <w:bottom w:val="nil"/>
              <w:right w:val="nil"/>
            </w:tcBorders>
            <w:shd w:val="clear" w:color="auto" w:fill="auto"/>
            <w:vAlign w:val="center"/>
            <w:hideMark/>
          </w:tcPr>
          <w:p w14:paraId="6CFD381F"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$557,500</w:t>
            </w:r>
          </w:p>
        </w:tc>
      </w:tr>
      <w:tr w:rsidR="00F9012D" w:rsidRPr="00F9012D" w14:paraId="3EE519EF" w14:textId="77777777" w:rsidTr="00F9012D">
        <w:trPr>
          <w:trHeight w:val="701"/>
        </w:trPr>
        <w:tc>
          <w:tcPr>
            <w:tcW w:w="496" w:type="dxa"/>
            <w:tcBorders>
              <w:top w:val="nil"/>
              <w:left w:val="nil"/>
              <w:bottom w:val="nil"/>
              <w:right w:val="nil"/>
            </w:tcBorders>
            <w:shd w:val="clear" w:color="000000" w:fill="FFFFFF"/>
            <w:vAlign w:val="center"/>
            <w:hideMark/>
          </w:tcPr>
          <w:p w14:paraId="5A0C688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913B2F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73C50A4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4311</w:t>
            </w:r>
          </w:p>
        </w:tc>
        <w:tc>
          <w:tcPr>
            <w:tcW w:w="755" w:type="dxa"/>
            <w:tcBorders>
              <w:top w:val="nil"/>
              <w:left w:val="nil"/>
              <w:bottom w:val="nil"/>
              <w:right w:val="nil"/>
            </w:tcBorders>
            <w:shd w:val="clear" w:color="000000" w:fill="FFFFFF"/>
            <w:vAlign w:val="center"/>
            <w:hideMark/>
          </w:tcPr>
          <w:p w14:paraId="692895F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550D2F51"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SERVICIOS PRESTADOS POR LA SECRETARÍA DE ORDENAMIENTO TERRITORIAL Y OBRAS PÚBLICAS, RELACIONADOS CON:</w:t>
            </w:r>
          </w:p>
        </w:tc>
        <w:tc>
          <w:tcPr>
            <w:tcW w:w="1788" w:type="dxa"/>
            <w:tcBorders>
              <w:top w:val="nil"/>
              <w:left w:val="nil"/>
              <w:bottom w:val="nil"/>
              <w:right w:val="nil"/>
            </w:tcBorders>
            <w:shd w:val="clear" w:color="auto" w:fill="auto"/>
            <w:vAlign w:val="center"/>
            <w:hideMark/>
          </w:tcPr>
          <w:p w14:paraId="75DD1E6C"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$4,639,724</w:t>
            </w:r>
          </w:p>
        </w:tc>
      </w:tr>
      <w:tr w:rsidR="00F9012D" w:rsidRPr="00F9012D" w14:paraId="6F19C722" w14:textId="77777777" w:rsidTr="00F9012D">
        <w:trPr>
          <w:trHeight w:val="449"/>
        </w:trPr>
        <w:tc>
          <w:tcPr>
            <w:tcW w:w="496" w:type="dxa"/>
            <w:tcBorders>
              <w:top w:val="nil"/>
              <w:left w:val="nil"/>
              <w:bottom w:val="nil"/>
              <w:right w:val="nil"/>
            </w:tcBorders>
            <w:shd w:val="clear" w:color="000000" w:fill="FFFFFF"/>
            <w:vAlign w:val="center"/>
            <w:hideMark/>
          </w:tcPr>
          <w:p w14:paraId="7620B3A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5F99C31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28DF5CD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1BF9A97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431101</w:t>
            </w:r>
          </w:p>
        </w:tc>
        <w:tc>
          <w:tcPr>
            <w:tcW w:w="4547" w:type="dxa"/>
            <w:tcBorders>
              <w:top w:val="nil"/>
              <w:left w:val="nil"/>
              <w:bottom w:val="nil"/>
              <w:right w:val="nil"/>
            </w:tcBorders>
            <w:shd w:val="clear" w:color="000000" w:fill="FFFFFF"/>
            <w:vAlign w:val="center"/>
            <w:hideMark/>
          </w:tcPr>
          <w:p w14:paraId="53E79372"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Dirección General de Obras Públicas</w:t>
            </w:r>
          </w:p>
        </w:tc>
        <w:tc>
          <w:tcPr>
            <w:tcW w:w="1788" w:type="dxa"/>
            <w:tcBorders>
              <w:top w:val="nil"/>
              <w:left w:val="nil"/>
              <w:bottom w:val="nil"/>
              <w:right w:val="nil"/>
            </w:tcBorders>
            <w:shd w:val="clear" w:color="auto" w:fill="auto"/>
            <w:vAlign w:val="center"/>
            <w:hideMark/>
          </w:tcPr>
          <w:p w14:paraId="76106C5B"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$1,815,542</w:t>
            </w:r>
          </w:p>
        </w:tc>
      </w:tr>
      <w:tr w:rsidR="00F9012D" w:rsidRPr="00F9012D" w14:paraId="2938ACCD" w14:textId="77777777" w:rsidTr="00F9012D">
        <w:trPr>
          <w:trHeight w:val="449"/>
        </w:trPr>
        <w:tc>
          <w:tcPr>
            <w:tcW w:w="496" w:type="dxa"/>
            <w:tcBorders>
              <w:top w:val="nil"/>
              <w:left w:val="nil"/>
              <w:bottom w:val="nil"/>
              <w:right w:val="nil"/>
            </w:tcBorders>
            <w:shd w:val="clear" w:color="000000" w:fill="FFFFFF"/>
            <w:vAlign w:val="center"/>
            <w:hideMark/>
          </w:tcPr>
          <w:p w14:paraId="4AF948B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5867FEA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28A0586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2A6B5EA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431102</w:t>
            </w:r>
          </w:p>
        </w:tc>
        <w:tc>
          <w:tcPr>
            <w:tcW w:w="4547" w:type="dxa"/>
            <w:tcBorders>
              <w:top w:val="nil"/>
              <w:left w:val="nil"/>
              <w:bottom w:val="nil"/>
              <w:right w:val="nil"/>
            </w:tcBorders>
            <w:shd w:val="clear" w:color="000000" w:fill="FFFFFF"/>
            <w:vAlign w:val="center"/>
            <w:hideMark/>
          </w:tcPr>
          <w:p w14:paraId="741BD9BA"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Junta Estatal de Caminos</w:t>
            </w:r>
          </w:p>
        </w:tc>
        <w:tc>
          <w:tcPr>
            <w:tcW w:w="1788" w:type="dxa"/>
            <w:tcBorders>
              <w:top w:val="nil"/>
              <w:left w:val="nil"/>
              <w:bottom w:val="nil"/>
              <w:right w:val="nil"/>
            </w:tcBorders>
            <w:shd w:val="clear" w:color="auto" w:fill="auto"/>
            <w:vAlign w:val="center"/>
            <w:hideMark/>
          </w:tcPr>
          <w:p w14:paraId="6B7CAE54"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$2,250,000</w:t>
            </w:r>
          </w:p>
        </w:tc>
      </w:tr>
      <w:tr w:rsidR="00F9012D" w:rsidRPr="00F9012D" w14:paraId="2D110F9E" w14:textId="77777777" w:rsidTr="00F9012D">
        <w:trPr>
          <w:trHeight w:val="449"/>
        </w:trPr>
        <w:tc>
          <w:tcPr>
            <w:tcW w:w="496" w:type="dxa"/>
            <w:tcBorders>
              <w:top w:val="nil"/>
              <w:left w:val="nil"/>
              <w:bottom w:val="nil"/>
              <w:right w:val="nil"/>
            </w:tcBorders>
            <w:shd w:val="clear" w:color="000000" w:fill="FFFFFF"/>
            <w:vAlign w:val="center"/>
            <w:hideMark/>
          </w:tcPr>
          <w:p w14:paraId="7E49F7A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76AFCBCA"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5129EEB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50B7660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431103</w:t>
            </w:r>
          </w:p>
        </w:tc>
        <w:tc>
          <w:tcPr>
            <w:tcW w:w="4547" w:type="dxa"/>
            <w:tcBorders>
              <w:top w:val="nil"/>
              <w:left w:val="nil"/>
              <w:bottom w:val="nil"/>
              <w:right w:val="nil"/>
            </w:tcBorders>
            <w:shd w:val="clear" w:color="000000" w:fill="FFFFFF"/>
            <w:vAlign w:val="center"/>
            <w:hideMark/>
          </w:tcPr>
          <w:p w14:paraId="26D0FC72"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Central de Maquinaria de Tabasco</w:t>
            </w:r>
          </w:p>
        </w:tc>
        <w:tc>
          <w:tcPr>
            <w:tcW w:w="1788" w:type="dxa"/>
            <w:tcBorders>
              <w:top w:val="nil"/>
              <w:left w:val="nil"/>
              <w:bottom w:val="nil"/>
              <w:right w:val="nil"/>
            </w:tcBorders>
            <w:shd w:val="clear" w:color="auto" w:fill="auto"/>
            <w:vAlign w:val="center"/>
            <w:hideMark/>
          </w:tcPr>
          <w:p w14:paraId="3A717137"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$219,282</w:t>
            </w:r>
          </w:p>
        </w:tc>
      </w:tr>
      <w:tr w:rsidR="00F9012D" w:rsidRPr="00F9012D" w14:paraId="194448DC" w14:textId="77777777" w:rsidTr="00F9012D">
        <w:trPr>
          <w:trHeight w:val="449"/>
        </w:trPr>
        <w:tc>
          <w:tcPr>
            <w:tcW w:w="496" w:type="dxa"/>
            <w:tcBorders>
              <w:top w:val="nil"/>
              <w:left w:val="nil"/>
              <w:bottom w:val="nil"/>
              <w:right w:val="nil"/>
            </w:tcBorders>
            <w:shd w:val="clear" w:color="000000" w:fill="FFFFFF"/>
            <w:vAlign w:val="center"/>
            <w:hideMark/>
          </w:tcPr>
          <w:p w14:paraId="0290E29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0B5070B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28005A5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3095DDB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431104</w:t>
            </w:r>
          </w:p>
        </w:tc>
        <w:tc>
          <w:tcPr>
            <w:tcW w:w="4547" w:type="dxa"/>
            <w:tcBorders>
              <w:top w:val="nil"/>
              <w:left w:val="nil"/>
              <w:bottom w:val="nil"/>
              <w:right w:val="nil"/>
            </w:tcBorders>
            <w:shd w:val="clear" w:color="000000" w:fill="FFFFFF"/>
            <w:vAlign w:val="center"/>
            <w:hideMark/>
          </w:tcPr>
          <w:p w14:paraId="00676939"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Coordinación Estatal de Regularización de la Tenencia de la Tierra</w:t>
            </w:r>
          </w:p>
        </w:tc>
        <w:tc>
          <w:tcPr>
            <w:tcW w:w="1788" w:type="dxa"/>
            <w:tcBorders>
              <w:top w:val="nil"/>
              <w:left w:val="nil"/>
              <w:bottom w:val="nil"/>
              <w:right w:val="nil"/>
            </w:tcBorders>
            <w:shd w:val="clear" w:color="auto" w:fill="auto"/>
            <w:vAlign w:val="center"/>
            <w:hideMark/>
          </w:tcPr>
          <w:p w14:paraId="1A3C603A"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$354,900</w:t>
            </w:r>
          </w:p>
        </w:tc>
      </w:tr>
      <w:tr w:rsidR="00F9012D" w:rsidRPr="00F9012D" w14:paraId="3AD90FBF" w14:textId="77777777" w:rsidTr="00F9012D">
        <w:trPr>
          <w:trHeight w:val="449"/>
        </w:trPr>
        <w:tc>
          <w:tcPr>
            <w:tcW w:w="496" w:type="dxa"/>
            <w:tcBorders>
              <w:top w:val="nil"/>
              <w:left w:val="nil"/>
              <w:bottom w:val="nil"/>
              <w:right w:val="nil"/>
            </w:tcBorders>
            <w:shd w:val="clear" w:color="000000" w:fill="FFFFFF"/>
            <w:vAlign w:val="center"/>
            <w:hideMark/>
          </w:tcPr>
          <w:p w14:paraId="6BABD77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3A75B2B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5055C68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4312</w:t>
            </w:r>
          </w:p>
        </w:tc>
        <w:tc>
          <w:tcPr>
            <w:tcW w:w="755" w:type="dxa"/>
            <w:tcBorders>
              <w:top w:val="nil"/>
              <w:left w:val="nil"/>
              <w:bottom w:val="nil"/>
              <w:right w:val="nil"/>
            </w:tcBorders>
            <w:shd w:val="clear" w:color="000000" w:fill="FFFFFF"/>
            <w:vAlign w:val="center"/>
            <w:hideMark/>
          </w:tcPr>
          <w:p w14:paraId="05AD53A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656DF844"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SERVICIOS PRESTADOS POR LA SECRETARÍA DE SALUD</w:t>
            </w:r>
          </w:p>
        </w:tc>
        <w:tc>
          <w:tcPr>
            <w:tcW w:w="1788" w:type="dxa"/>
            <w:tcBorders>
              <w:top w:val="nil"/>
              <w:left w:val="nil"/>
              <w:bottom w:val="nil"/>
              <w:right w:val="nil"/>
            </w:tcBorders>
            <w:shd w:val="clear" w:color="auto" w:fill="auto"/>
            <w:vAlign w:val="center"/>
            <w:hideMark/>
          </w:tcPr>
          <w:p w14:paraId="46DA2C0F"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$23,500,510</w:t>
            </w:r>
          </w:p>
        </w:tc>
      </w:tr>
      <w:tr w:rsidR="00F9012D" w:rsidRPr="00F9012D" w14:paraId="77C8C62A" w14:textId="77777777" w:rsidTr="00F9012D">
        <w:trPr>
          <w:trHeight w:val="467"/>
        </w:trPr>
        <w:tc>
          <w:tcPr>
            <w:tcW w:w="496" w:type="dxa"/>
            <w:tcBorders>
              <w:top w:val="nil"/>
              <w:left w:val="nil"/>
              <w:bottom w:val="nil"/>
              <w:right w:val="nil"/>
            </w:tcBorders>
            <w:shd w:val="clear" w:color="000000" w:fill="FFFFFF"/>
            <w:vAlign w:val="center"/>
            <w:hideMark/>
          </w:tcPr>
          <w:p w14:paraId="343DD32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42D94A1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24FB470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4313</w:t>
            </w:r>
          </w:p>
        </w:tc>
        <w:tc>
          <w:tcPr>
            <w:tcW w:w="755" w:type="dxa"/>
            <w:tcBorders>
              <w:top w:val="nil"/>
              <w:left w:val="nil"/>
              <w:bottom w:val="nil"/>
              <w:right w:val="nil"/>
            </w:tcBorders>
            <w:shd w:val="clear" w:color="000000" w:fill="FFFFFF"/>
            <w:vAlign w:val="center"/>
            <w:hideMark/>
          </w:tcPr>
          <w:p w14:paraId="56E134C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18B3AB70"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SERVICIO ESTATAL DE ADMINISTRACIÓN DE BIENES ASEGURADOS</w:t>
            </w:r>
          </w:p>
        </w:tc>
        <w:tc>
          <w:tcPr>
            <w:tcW w:w="1788" w:type="dxa"/>
            <w:tcBorders>
              <w:top w:val="nil"/>
              <w:left w:val="nil"/>
              <w:bottom w:val="nil"/>
              <w:right w:val="nil"/>
            </w:tcBorders>
            <w:shd w:val="clear" w:color="auto" w:fill="auto"/>
            <w:vAlign w:val="center"/>
            <w:hideMark/>
          </w:tcPr>
          <w:p w14:paraId="3FC4B10B"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$904,917</w:t>
            </w:r>
          </w:p>
        </w:tc>
      </w:tr>
      <w:tr w:rsidR="00F9012D" w:rsidRPr="00F9012D" w14:paraId="0C35E0F4" w14:textId="77777777" w:rsidTr="00F9012D">
        <w:trPr>
          <w:trHeight w:val="467"/>
        </w:trPr>
        <w:tc>
          <w:tcPr>
            <w:tcW w:w="496" w:type="dxa"/>
            <w:tcBorders>
              <w:top w:val="nil"/>
              <w:left w:val="nil"/>
              <w:bottom w:val="nil"/>
              <w:right w:val="nil"/>
            </w:tcBorders>
            <w:shd w:val="clear" w:color="000000" w:fill="FFFFFF"/>
            <w:vAlign w:val="center"/>
            <w:hideMark/>
          </w:tcPr>
          <w:p w14:paraId="6C672AE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4CE68EB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43FD69A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4314</w:t>
            </w:r>
          </w:p>
        </w:tc>
        <w:tc>
          <w:tcPr>
            <w:tcW w:w="755" w:type="dxa"/>
            <w:tcBorders>
              <w:top w:val="nil"/>
              <w:left w:val="nil"/>
              <w:bottom w:val="nil"/>
              <w:right w:val="nil"/>
            </w:tcBorders>
            <w:shd w:val="clear" w:color="000000" w:fill="FFFFFF"/>
            <w:vAlign w:val="center"/>
            <w:hideMark/>
          </w:tcPr>
          <w:p w14:paraId="6BCC0D5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0E28368C"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SERVICIOS PRESTADOS POR LA SECRETARÍA DE ADMINISTRACIÓN</w:t>
            </w:r>
          </w:p>
        </w:tc>
        <w:tc>
          <w:tcPr>
            <w:tcW w:w="1788" w:type="dxa"/>
            <w:tcBorders>
              <w:top w:val="nil"/>
              <w:left w:val="nil"/>
              <w:bottom w:val="nil"/>
              <w:right w:val="nil"/>
            </w:tcBorders>
            <w:shd w:val="clear" w:color="auto" w:fill="auto"/>
            <w:vAlign w:val="center"/>
            <w:hideMark/>
          </w:tcPr>
          <w:p w14:paraId="37C1430B"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$2,077,768</w:t>
            </w:r>
          </w:p>
        </w:tc>
      </w:tr>
      <w:tr w:rsidR="00F9012D" w:rsidRPr="00F9012D" w14:paraId="3DEB0794" w14:textId="77777777" w:rsidTr="00F9012D">
        <w:trPr>
          <w:trHeight w:val="449"/>
        </w:trPr>
        <w:tc>
          <w:tcPr>
            <w:tcW w:w="496" w:type="dxa"/>
            <w:tcBorders>
              <w:top w:val="nil"/>
              <w:left w:val="nil"/>
              <w:bottom w:val="nil"/>
              <w:right w:val="nil"/>
            </w:tcBorders>
            <w:shd w:val="clear" w:color="000000" w:fill="FFFFFF"/>
            <w:vAlign w:val="center"/>
            <w:hideMark/>
          </w:tcPr>
          <w:p w14:paraId="0A03AFF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4A82102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7AB1E92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4315</w:t>
            </w:r>
          </w:p>
        </w:tc>
        <w:tc>
          <w:tcPr>
            <w:tcW w:w="755" w:type="dxa"/>
            <w:tcBorders>
              <w:top w:val="nil"/>
              <w:left w:val="nil"/>
              <w:bottom w:val="nil"/>
              <w:right w:val="nil"/>
            </w:tcBorders>
            <w:shd w:val="clear" w:color="000000" w:fill="FFFFFF"/>
            <w:vAlign w:val="center"/>
            <w:hideMark/>
          </w:tcPr>
          <w:p w14:paraId="164A603A"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3E5A497E"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SERVICIOS PRESTADOS POR LA SECRETARÍA DE CONTRALORÍA</w:t>
            </w:r>
          </w:p>
        </w:tc>
        <w:tc>
          <w:tcPr>
            <w:tcW w:w="1788" w:type="dxa"/>
            <w:tcBorders>
              <w:top w:val="nil"/>
              <w:left w:val="nil"/>
              <w:bottom w:val="nil"/>
              <w:right w:val="nil"/>
            </w:tcBorders>
            <w:shd w:val="clear" w:color="auto" w:fill="auto"/>
            <w:vAlign w:val="center"/>
            <w:hideMark/>
          </w:tcPr>
          <w:p w14:paraId="28C237FF"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$7,130,550</w:t>
            </w:r>
          </w:p>
        </w:tc>
      </w:tr>
      <w:tr w:rsidR="00F9012D" w:rsidRPr="00F9012D" w14:paraId="053492CA" w14:textId="77777777" w:rsidTr="00F9012D">
        <w:trPr>
          <w:trHeight w:val="467"/>
        </w:trPr>
        <w:tc>
          <w:tcPr>
            <w:tcW w:w="496" w:type="dxa"/>
            <w:tcBorders>
              <w:top w:val="nil"/>
              <w:left w:val="nil"/>
              <w:bottom w:val="nil"/>
              <w:right w:val="nil"/>
            </w:tcBorders>
            <w:shd w:val="clear" w:color="000000" w:fill="FFFFFF"/>
            <w:vAlign w:val="center"/>
            <w:hideMark/>
          </w:tcPr>
          <w:p w14:paraId="7C8E9FB7"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06921F5A"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2EC97A8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w:t>
            </w:r>
          </w:p>
        </w:tc>
        <w:tc>
          <w:tcPr>
            <w:tcW w:w="755" w:type="dxa"/>
            <w:tcBorders>
              <w:top w:val="nil"/>
              <w:left w:val="nil"/>
              <w:bottom w:val="nil"/>
              <w:right w:val="nil"/>
            </w:tcBorders>
            <w:shd w:val="clear" w:color="000000" w:fill="FFFFFF"/>
            <w:vAlign w:val="center"/>
            <w:hideMark/>
          </w:tcPr>
          <w:p w14:paraId="026DE3F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4CCFFFB5"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SERVICIOS PRESTADOS POR LOS ORGANISMOS PÚBLICOS DESCENTRALIZADOS</w:t>
            </w:r>
          </w:p>
        </w:tc>
        <w:tc>
          <w:tcPr>
            <w:tcW w:w="1788" w:type="dxa"/>
            <w:tcBorders>
              <w:top w:val="nil"/>
              <w:left w:val="nil"/>
              <w:bottom w:val="nil"/>
              <w:right w:val="nil"/>
            </w:tcBorders>
            <w:shd w:val="clear" w:color="auto" w:fill="auto"/>
            <w:vAlign w:val="center"/>
            <w:hideMark/>
          </w:tcPr>
          <w:p w14:paraId="62918F55"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$282,309,115</w:t>
            </w:r>
          </w:p>
        </w:tc>
      </w:tr>
      <w:tr w:rsidR="00F9012D" w:rsidRPr="00F9012D" w14:paraId="4C2ADD11" w14:textId="77777777" w:rsidTr="00F9012D">
        <w:trPr>
          <w:trHeight w:val="449"/>
        </w:trPr>
        <w:tc>
          <w:tcPr>
            <w:tcW w:w="496" w:type="dxa"/>
            <w:tcBorders>
              <w:top w:val="nil"/>
              <w:left w:val="nil"/>
              <w:bottom w:val="nil"/>
              <w:right w:val="nil"/>
            </w:tcBorders>
            <w:shd w:val="clear" w:color="000000" w:fill="FFFFFF"/>
            <w:vAlign w:val="center"/>
            <w:hideMark/>
          </w:tcPr>
          <w:p w14:paraId="4CEFF9D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D51931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2D8594B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78A7919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431601</w:t>
            </w:r>
          </w:p>
        </w:tc>
        <w:tc>
          <w:tcPr>
            <w:tcW w:w="4547" w:type="dxa"/>
            <w:tcBorders>
              <w:top w:val="nil"/>
              <w:left w:val="nil"/>
              <w:bottom w:val="nil"/>
              <w:right w:val="nil"/>
            </w:tcBorders>
            <w:shd w:val="clear" w:color="000000" w:fill="FFFFFF"/>
            <w:vAlign w:val="center"/>
            <w:hideMark/>
          </w:tcPr>
          <w:p w14:paraId="4F883407"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Colegio de Bachilleres de Tabasco</w:t>
            </w:r>
          </w:p>
        </w:tc>
        <w:tc>
          <w:tcPr>
            <w:tcW w:w="1788" w:type="dxa"/>
            <w:tcBorders>
              <w:top w:val="nil"/>
              <w:left w:val="nil"/>
              <w:bottom w:val="nil"/>
              <w:right w:val="nil"/>
            </w:tcBorders>
            <w:shd w:val="clear" w:color="auto" w:fill="auto"/>
            <w:vAlign w:val="center"/>
            <w:hideMark/>
          </w:tcPr>
          <w:p w14:paraId="3740CDFB"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$35,958,928</w:t>
            </w:r>
          </w:p>
        </w:tc>
      </w:tr>
      <w:tr w:rsidR="00F9012D" w:rsidRPr="00F9012D" w14:paraId="2409D25B" w14:textId="77777777" w:rsidTr="00F9012D">
        <w:trPr>
          <w:trHeight w:val="449"/>
        </w:trPr>
        <w:tc>
          <w:tcPr>
            <w:tcW w:w="496" w:type="dxa"/>
            <w:tcBorders>
              <w:top w:val="nil"/>
              <w:left w:val="nil"/>
              <w:bottom w:val="nil"/>
              <w:right w:val="nil"/>
            </w:tcBorders>
            <w:shd w:val="clear" w:color="000000" w:fill="FFFFFF"/>
            <w:vAlign w:val="center"/>
            <w:hideMark/>
          </w:tcPr>
          <w:p w14:paraId="236FA89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0DA2C94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390F586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1CBFD53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431602</w:t>
            </w:r>
          </w:p>
        </w:tc>
        <w:tc>
          <w:tcPr>
            <w:tcW w:w="4547" w:type="dxa"/>
            <w:tcBorders>
              <w:top w:val="nil"/>
              <w:left w:val="nil"/>
              <w:bottom w:val="nil"/>
              <w:right w:val="nil"/>
            </w:tcBorders>
            <w:shd w:val="clear" w:color="000000" w:fill="FFFFFF"/>
            <w:vAlign w:val="center"/>
            <w:hideMark/>
          </w:tcPr>
          <w:p w14:paraId="0664733C"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Colegio de Estudios Científicos y Tecnológicos del Estado de Tabasco</w:t>
            </w:r>
          </w:p>
        </w:tc>
        <w:tc>
          <w:tcPr>
            <w:tcW w:w="1788" w:type="dxa"/>
            <w:tcBorders>
              <w:top w:val="nil"/>
              <w:left w:val="nil"/>
              <w:bottom w:val="nil"/>
              <w:right w:val="nil"/>
            </w:tcBorders>
            <w:shd w:val="clear" w:color="auto" w:fill="auto"/>
            <w:vAlign w:val="center"/>
            <w:hideMark/>
          </w:tcPr>
          <w:p w14:paraId="56A571C1"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$4,406,400</w:t>
            </w:r>
          </w:p>
        </w:tc>
      </w:tr>
      <w:tr w:rsidR="00F9012D" w:rsidRPr="00F9012D" w14:paraId="7AA0C9ED" w14:textId="77777777" w:rsidTr="00F9012D">
        <w:trPr>
          <w:trHeight w:val="449"/>
        </w:trPr>
        <w:tc>
          <w:tcPr>
            <w:tcW w:w="496" w:type="dxa"/>
            <w:tcBorders>
              <w:top w:val="nil"/>
              <w:left w:val="nil"/>
              <w:bottom w:val="nil"/>
              <w:right w:val="nil"/>
            </w:tcBorders>
            <w:shd w:val="clear" w:color="000000" w:fill="FFFFFF"/>
            <w:vAlign w:val="center"/>
            <w:hideMark/>
          </w:tcPr>
          <w:p w14:paraId="27D7AD5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1822035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6BE678B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03B2F8F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431603</w:t>
            </w:r>
          </w:p>
        </w:tc>
        <w:tc>
          <w:tcPr>
            <w:tcW w:w="4547" w:type="dxa"/>
            <w:tcBorders>
              <w:top w:val="nil"/>
              <w:left w:val="nil"/>
              <w:bottom w:val="nil"/>
              <w:right w:val="nil"/>
            </w:tcBorders>
            <w:shd w:val="clear" w:color="000000" w:fill="FFFFFF"/>
            <w:vAlign w:val="center"/>
            <w:hideMark/>
          </w:tcPr>
          <w:p w14:paraId="040559B9"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Universidad Intercultural del Estado de Tabasco</w:t>
            </w:r>
          </w:p>
        </w:tc>
        <w:tc>
          <w:tcPr>
            <w:tcW w:w="1788" w:type="dxa"/>
            <w:tcBorders>
              <w:top w:val="nil"/>
              <w:left w:val="nil"/>
              <w:bottom w:val="nil"/>
              <w:right w:val="nil"/>
            </w:tcBorders>
            <w:shd w:val="clear" w:color="auto" w:fill="auto"/>
            <w:vAlign w:val="center"/>
            <w:hideMark/>
          </w:tcPr>
          <w:p w14:paraId="5C4FC0B5"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$1,588,124</w:t>
            </w:r>
          </w:p>
        </w:tc>
      </w:tr>
      <w:tr w:rsidR="00F9012D" w:rsidRPr="00F9012D" w14:paraId="11BE901D" w14:textId="77777777" w:rsidTr="00F9012D">
        <w:trPr>
          <w:trHeight w:val="449"/>
        </w:trPr>
        <w:tc>
          <w:tcPr>
            <w:tcW w:w="496" w:type="dxa"/>
            <w:tcBorders>
              <w:top w:val="nil"/>
              <w:left w:val="nil"/>
              <w:bottom w:val="nil"/>
              <w:right w:val="nil"/>
            </w:tcBorders>
            <w:shd w:val="clear" w:color="000000" w:fill="FFFFFF"/>
            <w:vAlign w:val="center"/>
            <w:hideMark/>
          </w:tcPr>
          <w:p w14:paraId="056F71B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1F69A96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3393E7C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4C2F623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431604</w:t>
            </w:r>
          </w:p>
        </w:tc>
        <w:tc>
          <w:tcPr>
            <w:tcW w:w="4547" w:type="dxa"/>
            <w:tcBorders>
              <w:top w:val="nil"/>
              <w:left w:val="nil"/>
              <w:bottom w:val="nil"/>
              <w:right w:val="nil"/>
            </w:tcBorders>
            <w:shd w:val="clear" w:color="000000" w:fill="FFFFFF"/>
            <w:vAlign w:val="center"/>
            <w:hideMark/>
          </w:tcPr>
          <w:p w14:paraId="50D86054"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Instituto Tecnológico Superior de Centla</w:t>
            </w:r>
          </w:p>
        </w:tc>
        <w:tc>
          <w:tcPr>
            <w:tcW w:w="1788" w:type="dxa"/>
            <w:tcBorders>
              <w:top w:val="nil"/>
              <w:left w:val="nil"/>
              <w:bottom w:val="nil"/>
              <w:right w:val="nil"/>
            </w:tcBorders>
            <w:shd w:val="clear" w:color="auto" w:fill="auto"/>
            <w:vAlign w:val="center"/>
            <w:hideMark/>
          </w:tcPr>
          <w:p w14:paraId="17F449C4"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$5,176,322</w:t>
            </w:r>
          </w:p>
        </w:tc>
      </w:tr>
      <w:tr w:rsidR="00F9012D" w:rsidRPr="00F9012D" w14:paraId="37321772" w14:textId="77777777" w:rsidTr="00F9012D">
        <w:trPr>
          <w:trHeight w:val="449"/>
        </w:trPr>
        <w:tc>
          <w:tcPr>
            <w:tcW w:w="496" w:type="dxa"/>
            <w:tcBorders>
              <w:top w:val="nil"/>
              <w:left w:val="nil"/>
              <w:bottom w:val="nil"/>
              <w:right w:val="nil"/>
            </w:tcBorders>
            <w:shd w:val="clear" w:color="000000" w:fill="FFFFFF"/>
            <w:vAlign w:val="center"/>
            <w:hideMark/>
          </w:tcPr>
          <w:p w14:paraId="56AB6CF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097F538A"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74B47D8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4B402D7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431605</w:t>
            </w:r>
          </w:p>
        </w:tc>
        <w:tc>
          <w:tcPr>
            <w:tcW w:w="4547" w:type="dxa"/>
            <w:tcBorders>
              <w:top w:val="nil"/>
              <w:left w:val="nil"/>
              <w:bottom w:val="nil"/>
              <w:right w:val="nil"/>
            </w:tcBorders>
            <w:shd w:val="clear" w:color="000000" w:fill="FFFFFF"/>
            <w:vAlign w:val="center"/>
            <w:hideMark/>
          </w:tcPr>
          <w:p w14:paraId="781DC389"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Instituto Tecnológico Superior de Comalcalco</w:t>
            </w:r>
          </w:p>
        </w:tc>
        <w:tc>
          <w:tcPr>
            <w:tcW w:w="1788" w:type="dxa"/>
            <w:tcBorders>
              <w:top w:val="nil"/>
              <w:left w:val="nil"/>
              <w:bottom w:val="nil"/>
              <w:right w:val="nil"/>
            </w:tcBorders>
            <w:shd w:val="clear" w:color="auto" w:fill="auto"/>
            <w:vAlign w:val="center"/>
            <w:hideMark/>
          </w:tcPr>
          <w:p w14:paraId="28E368A4"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$13,285,939</w:t>
            </w:r>
          </w:p>
        </w:tc>
      </w:tr>
      <w:tr w:rsidR="00F9012D" w:rsidRPr="00F9012D" w14:paraId="6F8C62F0" w14:textId="77777777" w:rsidTr="00F9012D">
        <w:trPr>
          <w:trHeight w:val="449"/>
        </w:trPr>
        <w:tc>
          <w:tcPr>
            <w:tcW w:w="496" w:type="dxa"/>
            <w:tcBorders>
              <w:top w:val="nil"/>
              <w:left w:val="nil"/>
              <w:bottom w:val="nil"/>
              <w:right w:val="nil"/>
            </w:tcBorders>
            <w:shd w:val="clear" w:color="000000" w:fill="FFFFFF"/>
            <w:vAlign w:val="center"/>
            <w:hideMark/>
          </w:tcPr>
          <w:p w14:paraId="17BA4F4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6180089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07D78D9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735F747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431606</w:t>
            </w:r>
          </w:p>
        </w:tc>
        <w:tc>
          <w:tcPr>
            <w:tcW w:w="4547" w:type="dxa"/>
            <w:tcBorders>
              <w:top w:val="nil"/>
              <w:left w:val="nil"/>
              <w:bottom w:val="nil"/>
              <w:right w:val="nil"/>
            </w:tcBorders>
            <w:shd w:val="clear" w:color="000000" w:fill="FFFFFF"/>
            <w:vAlign w:val="center"/>
            <w:hideMark/>
          </w:tcPr>
          <w:p w14:paraId="3003727D"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Instituto Tecnológico Superior de la Región Sierra</w:t>
            </w:r>
          </w:p>
        </w:tc>
        <w:tc>
          <w:tcPr>
            <w:tcW w:w="1788" w:type="dxa"/>
            <w:tcBorders>
              <w:top w:val="nil"/>
              <w:left w:val="nil"/>
              <w:bottom w:val="nil"/>
              <w:right w:val="nil"/>
            </w:tcBorders>
            <w:shd w:val="clear" w:color="auto" w:fill="auto"/>
            <w:vAlign w:val="center"/>
            <w:hideMark/>
          </w:tcPr>
          <w:p w14:paraId="0F4BF1EA"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$3,053,013</w:t>
            </w:r>
          </w:p>
        </w:tc>
      </w:tr>
      <w:tr w:rsidR="00F9012D" w:rsidRPr="00F9012D" w14:paraId="07E39DF1" w14:textId="77777777" w:rsidTr="00F9012D">
        <w:trPr>
          <w:trHeight w:val="449"/>
        </w:trPr>
        <w:tc>
          <w:tcPr>
            <w:tcW w:w="496" w:type="dxa"/>
            <w:tcBorders>
              <w:top w:val="nil"/>
              <w:left w:val="nil"/>
              <w:bottom w:val="nil"/>
              <w:right w:val="nil"/>
            </w:tcBorders>
            <w:shd w:val="clear" w:color="000000" w:fill="FFFFFF"/>
            <w:vAlign w:val="center"/>
            <w:hideMark/>
          </w:tcPr>
          <w:p w14:paraId="77BC959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18C373D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1D3F923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2AD907A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431607</w:t>
            </w:r>
          </w:p>
        </w:tc>
        <w:tc>
          <w:tcPr>
            <w:tcW w:w="4547" w:type="dxa"/>
            <w:tcBorders>
              <w:top w:val="nil"/>
              <w:left w:val="nil"/>
              <w:bottom w:val="nil"/>
              <w:right w:val="nil"/>
            </w:tcBorders>
            <w:shd w:val="clear" w:color="000000" w:fill="FFFFFF"/>
            <w:vAlign w:val="center"/>
            <w:hideMark/>
          </w:tcPr>
          <w:p w14:paraId="63081418"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Instituto Tecnológico Superior de los Ríos</w:t>
            </w:r>
          </w:p>
        </w:tc>
        <w:tc>
          <w:tcPr>
            <w:tcW w:w="1788" w:type="dxa"/>
            <w:tcBorders>
              <w:top w:val="nil"/>
              <w:left w:val="nil"/>
              <w:bottom w:val="nil"/>
              <w:right w:val="nil"/>
            </w:tcBorders>
            <w:shd w:val="clear" w:color="auto" w:fill="auto"/>
            <w:vAlign w:val="center"/>
            <w:hideMark/>
          </w:tcPr>
          <w:p w14:paraId="47F7C8EA"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$6,264,120</w:t>
            </w:r>
          </w:p>
        </w:tc>
      </w:tr>
      <w:tr w:rsidR="00F9012D" w:rsidRPr="00F9012D" w14:paraId="4C7C28D3" w14:textId="77777777" w:rsidTr="00F9012D">
        <w:trPr>
          <w:trHeight w:val="449"/>
        </w:trPr>
        <w:tc>
          <w:tcPr>
            <w:tcW w:w="496" w:type="dxa"/>
            <w:tcBorders>
              <w:top w:val="nil"/>
              <w:left w:val="nil"/>
              <w:bottom w:val="nil"/>
              <w:right w:val="nil"/>
            </w:tcBorders>
            <w:shd w:val="clear" w:color="000000" w:fill="FFFFFF"/>
            <w:vAlign w:val="center"/>
            <w:hideMark/>
          </w:tcPr>
          <w:p w14:paraId="422ECD5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1889461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6551FFD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15D1037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431608</w:t>
            </w:r>
          </w:p>
        </w:tc>
        <w:tc>
          <w:tcPr>
            <w:tcW w:w="4547" w:type="dxa"/>
            <w:tcBorders>
              <w:top w:val="nil"/>
              <w:left w:val="nil"/>
              <w:bottom w:val="nil"/>
              <w:right w:val="nil"/>
            </w:tcBorders>
            <w:shd w:val="clear" w:color="000000" w:fill="FFFFFF"/>
            <w:vAlign w:val="center"/>
            <w:hideMark/>
          </w:tcPr>
          <w:p w14:paraId="0E7EF20E"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Instituto Tecnológico Superior de Macuspana</w:t>
            </w:r>
          </w:p>
        </w:tc>
        <w:tc>
          <w:tcPr>
            <w:tcW w:w="1788" w:type="dxa"/>
            <w:tcBorders>
              <w:top w:val="nil"/>
              <w:left w:val="nil"/>
              <w:bottom w:val="nil"/>
              <w:right w:val="nil"/>
            </w:tcBorders>
            <w:shd w:val="clear" w:color="auto" w:fill="auto"/>
            <w:vAlign w:val="center"/>
            <w:hideMark/>
          </w:tcPr>
          <w:p w14:paraId="3718C64C"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$5,097,175</w:t>
            </w:r>
          </w:p>
        </w:tc>
      </w:tr>
      <w:tr w:rsidR="00F9012D" w:rsidRPr="00F9012D" w14:paraId="52E39688" w14:textId="77777777" w:rsidTr="00F9012D">
        <w:trPr>
          <w:trHeight w:val="449"/>
        </w:trPr>
        <w:tc>
          <w:tcPr>
            <w:tcW w:w="496" w:type="dxa"/>
            <w:tcBorders>
              <w:top w:val="nil"/>
              <w:left w:val="nil"/>
              <w:bottom w:val="nil"/>
              <w:right w:val="nil"/>
            </w:tcBorders>
            <w:shd w:val="clear" w:color="000000" w:fill="FFFFFF"/>
            <w:vAlign w:val="center"/>
            <w:hideMark/>
          </w:tcPr>
          <w:p w14:paraId="523710FA"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59316F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16E5F5C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0F119AA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431609</w:t>
            </w:r>
          </w:p>
        </w:tc>
        <w:tc>
          <w:tcPr>
            <w:tcW w:w="4547" w:type="dxa"/>
            <w:tcBorders>
              <w:top w:val="nil"/>
              <w:left w:val="nil"/>
              <w:bottom w:val="nil"/>
              <w:right w:val="nil"/>
            </w:tcBorders>
            <w:shd w:val="clear" w:color="000000" w:fill="FFFFFF"/>
            <w:vAlign w:val="center"/>
            <w:hideMark/>
          </w:tcPr>
          <w:p w14:paraId="31677CBF"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Instituto Tecnológico Superior de Villa la Venta, Huimanguillo</w:t>
            </w:r>
          </w:p>
        </w:tc>
        <w:tc>
          <w:tcPr>
            <w:tcW w:w="1788" w:type="dxa"/>
            <w:tcBorders>
              <w:top w:val="nil"/>
              <w:left w:val="nil"/>
              <w:bottom w:val="nil"/>
              <w:right w:val="nil"/>
            </w:tcBorders>
            <w:shd w:val="clear" w:color="auto" w:fill="auto"/>
            <w:vAlign w:val="center"/>
            <w:hideMark/>
          </w:tcPr>
          <w:p w14:paraId="6A297111"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$2,095,340</w:t>
            </w:r>
          </w:p>
        </w:tc>
      </w:tr>
      <w:tr w:rsidR="00F9012D" w:rsidRPr="00F9012D" w14:paraId="505E0B30" w14:textId="77777777" w:rsidTr="00F9012D">
        <w:trPr>
          <w:trHeight w:val="449"/>
        </w:trPr>
        <w:tc>
          <w:tcPr>
            <w:tcW w:w="496" w:type="dxa"/>
            <w:tcBorders>
              <w:top w:val="nil"/>
              <w:left w:val="nil"/>
              <w:bottom w:val="nil"/>
              <w:right w:val="nil"/>
            </w:tcBorders>
            <w:shd w:val="clear" w:color="000000" w:fill="FFFFFF"/>
            <w:vAlign w:val="center"/>
            <w:hideMark/>
          </w:tcPr>
          <w:p w14:paraId="0012B4D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68AFDF3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3E121AC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579AA38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431610</w:t>
            </w:r>
          </w:p>
        </w:tc>
        <w:tc>
          <w:tcPr>
            <w:tcW w:w="4547" w:type="dxa"/>
            <w:tcBorders>
              <w:top w:val="nil"/>
              <w:left w:val="nil"/>
              <w:bottom w:val="nil"/>
              <w:right w:val="nil"/>
            </w:tcBorders>
            <w:shd w:val="clear" w:color="000000" w:fill="FFFFFF"/>
            <w:vAlign w:val="center"/>
            <w:hideMark/>
          </w:tcPr>
          <w:p w14:paraId="627F69D2"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Universidad Politécnica del Centro</w:t>
            </w:r>
          </w:p>
        </w:tc>
        <w:tc>
          <w:tcPr>
            <w:tcW w:w="1788" w:type="dxa"/>
            <w:tcBorders>
              <w:top w:val="nil"/>
              <w:left w:val="nil"/>
              <w:bottom w:val="nil"/>
              <w:right w:val="nil"/>
            </w:tcBorders>
            <w:shd w:val="clear" w:color="auto" w:fill="auto"/>
            <w:vAlign w:val="center"/>
            <w:hideMark/>
          </w:tcPr>
          <w:p w14:paraId="4D0B94F3"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$6,364,515</w:t>
            </w:r>
          </w:p>
        </w:tc>
      </w:tr>
      <w:tr w:rsidR="00F9012D" w:rsidRPr="00F9012D" w14:paraId="58AACBB6" w14:textId="77777777" w:rsidTr="00F9012D">
        <w:trPr>
          <w:trHeight w:val="449"/>
        </w:trPr>
        <w:tc>
          <w:tcPr>
            <w:tcW w:w="496" w:type="dxa"/>
            <w:tcBorders>
              <w:top w:val="nil"/>
              <w:left w:val="nil"/>
              <w:bottom w:val="nil"/>
              <w:right w:val="nil"/>
            </w:tcBorders>
            <w:shd w:val="clear" w:color="000000" w:fill="FFFFFF"/>
            <w:vAlign w:val="center"/>
            <w:hideMark/>
          </w:tcPr>
          <w:p w14:paraId="42E0134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95007F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7E4DAC7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04DF7F5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431611</w:t>
            </w:r>
          </w:p>
        </w:tc>
        <w:tc>
          <w:tcPr>
            <w:tcW w:w="4547" w:type="dxa"/>
            <w:tcBorders>
              <w:top w:val="nil"/>
              <w:left w:val="nil"/>
              <w:bottom w:val="nil"/>
              <w:right w:val="nil"/>
            </w:tcBorders>
            <w:shd w:val="clear" w:color="000000" w:fill="FFFFFF"/>
            <w:vAlign w:val="center"/>
            <w:hideMark/>
          </w:tcPr>
          <w:p w14:paraId="0D2437F2"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Universidad Politécnica del Golfo de México</w:t>
            </w:r>
          </w:p>
        </w:tc>
        <w:tc>
          <w:tcPr>
            <w:tcW w:w="1788" w:type="dxa"/>
            <w:tcBorders>
              <w:top w:val="nil"/>
              <w:left w:val="nil"/>
              <w:bottom w:val="nil"/>
              <w:right w:val="nil"/>
            </w:tcBorders>
            <w:shd w:val="clear" w:color="auto" w:fill="auto"/>
            <w:vAlign w:val="center"/>
            <w:hideMark/>
          </w:tcPr>
          <w:p w14:paraId="4182F982"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$8,139,479</w:t>
            </w:r>
          </w:p>
        </w:tc>
      </w:tr>
      <w:tr w:rsidR="00F9012D" w:rsidRPr="00F9012D" w14:paraId="0926DC1D" w14:textId="77777777" w:rsidTr="00F9012D">
        <w:trPr>
          <w:trHeight w:val="449"/>
        </w:trPr>
        <w:tc>
          <w:tcPr>
            <w:tcW w:w="496" w:type="dxa"/>
            <w:tcBorders>
              <w:top w:val="nil"/>
              <w:left w:val="nil"/>
              <w:bottom w:val="nil"/>
              <w:right w:val="nil"/>
            </w:tcBorders>
            <w:shd w:val="clear" w:color="000000" w:fill="FFFFFF"/>
            <w:vAlign w:val="center"/>
            <w:hideMark/>
          </w:tcPr>
          <w:p w14:paraId="2B55FD0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lastRenderedPageBreak/>
              <w:t> </w:t>
            </w:r>
          </w:p>
        </w:tc>
        <w:tc>
          <w:tcPr>
            <w:tcW w:w="359" w:type="dxa"/>
            <w:tcBorders>
              <w:top w:val="nil"/>
              <w:left w:val="nil"/>
              <w:bottom w:val="nil"/>
              <w:right w:val="nil"/>
            </w:tcBorders>
            <w:shd w:val="clear" w:color="000000" w:fill="FFFFFF"/>
            <w:vAlign w:val="center"/>
            <w:hideMark/>
          </w:tcPr>
          <w:p w14:paraId="1CD7DAD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1FF25A6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2F829FB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431612</w:t>
            </w:r>
          </w:p>
        </w:tc>
        <w:tc>
          <w:tcPr>
            <w:tcW w:w="4547" w:type="dxa"/>
            <w:tcBorders>
              <w:top w:val="nil"/>
              <w:left w:val="nil"/>
              <w:bottom w:val="nil"/>
              <w:right w:val="nil"/>
            </w:tcBorders>
            <w:shd w:val="clear" w:color="000000" w:fill="FFFFFF"/>
            <w:vAlign w:val="center"/>
            <w:hideMark/>
          </w:tcPr>
          <w:p w14:paraId="413542AF"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Universidad Politécnica Mesoamericana</w:t>
            </w:r>
          </w:p>
        </w:tc>
        <w:tc>
          <w:tcPr>
            <w:tcW w:w="1788" w:type="dxa"/>
            <w:tcBorders>
              <w:top w:val="nil"/>
              <w:left w:val="nil"/>
              <w:bottom w:val="nil"/>
              <w:right w:val="nil"/>
            </w:tcBorders>
            <w:shd w:val="clear" w:color="auto" w:fill="auto"/>
            <w:vAlign w:val="center"/>
            <w:hideMark/>
          </w:tcPr>
          <w:p w14:paraId="334C174E"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$2,239,207</w:t>
            </w:r>
          </w:p>
        </w:tc>
      </w:tr>
      <w:tr w:rsidR="00F9012D" w:rsidRPr="00F9012D" w14:paraId="6F3D719A" w14:textId="77777777" w:rsidTr="00F9012D">
        <w:trPr>
          <w:trHeight w:val="449"/>
        </w:trPr>
        <w:tc>
          <w:tcPr>
            <w:tcW w:w="496" w:type="dxa"/>
            <w:tcBorders>
              <w:top w:val="nil"/>
              <w:left w:val="nil"/>
              <w:bottom w:val="nil"/>
              <w:right w:val="nil"/>
            </w:tcBorders>
            <w:shd w:val="clear" w:color="000000" w:fill="FFFFFF"/>
            <w:vAlign w:val="center"/>
            <w:hideMark/>
          </w:tcPr>
          <w:p w14:paraId="32D6F0A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7ADBA96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57FFF4F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1164B7D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431613</w:t>
            </w:r>
          </w:p>
        </w:tc>
        <w:tc>
          <w:tcPr>
            <w:tcW w:w="4547" w:type="dxa"/>
            <w:tcBorders>
              <w:top w:val="nil"/>
              <w:left w:val="nil"/>
              <w:bottom w:val="nil"/>
              <w:right w:val="nil"/>
            </w:tcBorders>
            <w:shd w:val="clear" w:color="000000" w:fill="FFFFFF"/>
            <w:vAlign w:val="center"/>
            <w:hideMark/>
          </w:tcPr>
          <w:p w14:paraId="5FEE6BDB"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Universidad Popular de la Chontalpa</w:t>
            </w:r>
          </w:p>
        </w:tc>
        <w:tc>
          <w:tcPr>
            <w:tcW w:w="1788" w:type="dxa"/>
            <w:tcBorders>
              <w:top w:val="nil"/>
              <w:left w:val="nil"/>
              <w:bottom w:val="nil"/>
              <w:right w:val="nil"/>
            </w:tcBorders>
            <w:shd w:val="clear" w:color="auto" w:fill="auto"/>
            <w:vAlign w:val="center"/>
            <w:hideMark/>
          </w:tcPr>
          <w:p w14:paraId="58AC90D7"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$23,391,844</w:t>
            </w:r>
          </w:p>
        </w:tc>
      </w:tr>
      <w:tr w:rsidR="00F9012D" w:rsidRPr="00F9012D" w14:paraId="36655418" w14:textId="77777777" w:rsidTr="00F9012D">
        <w:trPr>
          <w:trHeight w:val="449"/>
        </w:trPr>
        <w:tc>
          <w:tcPr>
            <w:tcW w:w="496" w:type="dxa"/>
            <w:tcBorders>
              <w:top w:val="nil"/>
              <w:left w:val="nil"/>
              <w:bottom w:val="nil"/>
              <w:right w:val="nil"/>
            </w:tcBorders>
            <w:shd w:val="clear" w:color="000000" w:fill="FFFFFF"/>
            <w:vAlign w:val="center"/>
            <w:hideMark/>
          </w:tcPr>
          <w:p w14:paraId="233C178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5360911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3AAB8F9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62AFE14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431614</w:t>
            </w:r>
          </w:p>
        </w:tc>
        <w:tc>
          <w:tcPr>
            <w:tcW w:w="4547" w:type="dxa"/>
            <w:tcBorders>
              <w:top w:val="nil"/>
              <w:left w:val="nil"/>
              <w:bottom w:val="nil"/>
              <w:right w:val="nil"/>
            </w:tcBorders>
            <w:shd w:val="clear" w:color="000000" w:fill="FFFFFF"/>
            <w:vAlign w:val="center"/>
            <w:hideMark/>
          </w:tcPr>
          <w:p w14:paraId="106249B2"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Universidad Tecnológica de Tabasco</w:t>
            </w:r>
          </w:p>
        </w:tc>
        <w:tc>
          <w:tcPr>
            <w:tcW w:w="1788" w:type="dxa"/>
            <w:tcBorders>
              <w:top w:val="nil"/>
              <w:left w:val="nil"/>
              <w:bottom w:val="nil"/>
              <w:right w:val="nil"/>
            </w:tcBorders>
            <w:shd w:val="clear" w:color="auto" w:fill="auto"/>
            <w:vAlign w:val="center"/>
            <w:hideMark/>
          </w:tcPr>
          <w:p w14:paraId="25B1F088"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$3,350,237</w:t>
            </w:r>
          </w:p>
        </w:tc>
      </w:tr>
      <w:tr w:rsidR="00F9012D" w:rsidRPr="00F9012D" w14:paraId="38EEB156" w14:textId="77777777" w:rsidTr="00F9012D">
        <w:trPr>
          <w:trHeight w:val="449"/>
        </w:trPr>
        <w:tc>
          <w:tcPr>
            <w:tcW w:w="496" w:type="dxa"/>
            <w:tcBorders>
              <w:top w:val="nil"/>
              <w:left w:val="nil"/>
              <w:bottom w:val="nil"/>
              <w:right w:val="nil"/>
            </w:tcBorders>
            <w:shd w:val="clear" w:color="000000" w:fill="FFFFFF"/>
            <w:vAlign w:val="center"/>
            <w:hideMark/>
          </w:tcPr>
          <w:p w14:paraId="6857E98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0FA6742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7FC1BD2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4683411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431615</w:t>
            </w:r>
          </w:p>
        </w:tc>
        <w:tc>
          <w:tcPr>
            <w:tcW w:w="4547" w:type="dxa"/>
            <w:tcBorders>
              <w:top w:val="nil"/>
              <w:left w:val="nil"/>
              <w:bottom w:val="nil"/>
              <w:right w:val="nil"/>
            </w:tcBorders>
            <w:shd w:val="clear" w:color="000000" w:fill="FFFFFF"/>
            <w:vAlign w:val="center"/>
            <w:hideMark/>
          </w:tcPr>
          <w:p w14:paraId="3465C03D"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Universidad Tecnológica del Usumacinta</w:t>
            </w:r>
          </w:p>
        </w:tc>
        <w:tc>
          <w:tcPr>
            <w:tcW w:w="1788" w:type="dxa"/>
            <w:tcBorders>
              <w:top w:val="nil"/>
              <w:left w:val="nil"/>
              <w:bottom w:val="nil"/>
              <w:right w:val="nil"/>
            </w:tcBorders>
            <w:shd w:val="clear" w:color="auto" w:fill="auto"/>
            <w:vAlign w:val="center"/>
            <w:hideMark/>
          </w:tcPr>
          <w:p w14:paraId="3E8CC1AC"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$1,945,435</w:t>
            </w:r>
          </w:p>
        </w:tc>
      </w:tr>
      <w:tr w:rsidR="00F9012D" w:rsidRPr="00F9012D" w14:paraId="3CA63E85" w14:textId="77777777" w:rsidTr="00F9012D">
        <w:trPr>
          <w:trHeight w:val="449"/>
        </w:trPr>
        <w:tc>
          <w:tcPr>
            <w:tcW w:w="496" w:type="dxa"/>
            <w:tcBorders>
              <w:top w:val="nil"/>
              <w:left w:val="nil"/>
              <w:bottom w:val="nil"/>
              <w:right w:val="nil"/>
            </w:tcBorders>
            <w:shd w:val="clear" w:color="000000" w:fill="FFFFFF"/>
            <w:vAlign w:val="center"/>
            <w:hideMark/>
          </w:tcPr>
          <w:p w14:paraId="3815FF8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3EF84B8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5676A5C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20C2A96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431616</w:t>
            </w:r>
          </w:p>
        </w:tc>
        <w:tc>
          <w:tcPr>
            <w:tcW w:w="4547" w:type="dxa"/>
            <w:tcBorders>
              <w:top w:val="nil"/>
              <w:left w:val="nil"/>
              <w:bottom w:val="nil"/>
              <w:right w:val="nil"/>
            </w:tcBorders>
            <w:shd w:val="clear" w:color="000000" w:fill="FFFFFF"/>
            <w:vAlign w:val="center"/>
            <w:hideMark/>
          </w:tcPr>
          <w:p w14:paraId="66EA5DD0"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Museo Interactivo Papagayo</w:t>
            </w:r>
          </w:p>
        </w:tc>
        <w:tc>
          <w:tcPr>
            <w:tcW w:w="1788" w:type="dxa"/>
            <w:tcBorders>
              <w:top w:val="nil"/>
              <w:left w:val="nil"/>
              <w:bottom w:val="nil"/>
              <w:right w:val="nil"/>
            </w:tcBorders>
            <w:shd w:val="clear" w:color="auto" w:fill="auto"/>
            <w:vAlign w:val="center"/>
            <w:hideMark/>
          </w:tcPr>
          <w:p w14:paraId="481DDCA3"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$3,332,482</w:t>
            </w:r>
          </w:p>
        </w:tc>
      </w:tr>
      <w:tr w:rsidR="00F9012D" w:rsidRPr="00F9012D" w14:paraId="41FE58FE" w14:textId="77777777" w:rsidTr="00F9012D">
        <w:trPr>
          <w:trHeight w:val="449"/>
        </w:trPr>
        <w:tc>
          <w:tcPr>
            <w:tcW w:w="496" w:type="dxa"/>
            <w:tcBorders>
              <w:top w:val="nil"/>
              <w:left w:val="nil"/>
              <w:bottom w:val="nil"/>
              <w:right w:val="nil"/>
            </w:tcBorders>
            <w:shd w:val="clear" w:color="000000" w:fill="FFFFFF"/>
            <w:vAlign w:val="center"/>
            <w:hideMark/>
          </w:tcPr>
          <w:p w14:paraId="50B93DF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6D8B422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127519E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316F56A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431617</w:t>
            </w:r>
          </w:p>
        </w:tc>
        <w:tc>
          <w:tcPr>
            <w:tcW w:w="4547" w:type="dxa"/>
            <w:tcBorders>
              <w:top w:val="nil"/>
              <w:left w:val="nil"/>
              <w:bottom w:val="nil"/>
              <w:right w:val="nil"/>
            </w:tcBorders>
            <w:shd w:val="clear" w:color="000000" w:fill="FFFFFF"/>
            <w:vAlign w:val="center"/>
            <w:hideMark/>
          </w:tcPr>
          <w:p w14:paraId="175C5D86"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Central de Abasto de Villahermosa</w:t>
            </w:r>
          </w:p>
        </w:tc>
        <w:tc>
          <w:tcPr>
            <w:tcW w:w="1788" w:type="dxa"/>
            <w:tcBorders>
              <w:top w:val="nil"/>
              <w:left w:val="nil"/>
              <w:bottom w:val="nil"/>
              <w:right w:val="nil"/>
            </w:tcBorders>
            <w:shd w:val="clear" w:color="auto" w:fill="auto"/>
            <w:vAlign w:val="center"/>
            <w:hideMark/>
          </w:tcPr>
          <w:p w14:paraId="4D7CA623"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$10,745,697</w:t>
            </w:r>
          </w:p>
        </w:tc>
      </w:tr>
      <w:tr w:rsidR="00F9012D" w:rsidRPr="00F9012D" w14:paraId="385F25F9" w14:textId="77777777" w:rsidTr="00F9012D">
        <w:trPr>
          <w:trHeight w:val="449"/>
        </w:trPr>
        <w:tc>
          <w:tcPr>
            <w:tcW w:w="496" w:type="dxa"/>
            <w:tcBorders>
              <w:top w:val="nil"/>
              <w:left w:val="nil"/>
              <w:bottom w:val="nil"/>
              <w:right w:val="nil"/>
            </w:tcBorders>
            <w:shd w:val="clear" w:color="000000" w:fill="FFFFFF"/>
            <w:vAlign w:val="center"/>
            <w:hideMark/>
          </w:tcPr>
          <w:p w14:paraId="55A8DEAA"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4A730A2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3A5977A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1550E4D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431618</w:t>
            </w:r>
          </w:p>
        </w:tc>
        <w:tc>
          <w:tcPr>
            <w:tcW w:w="4547" w:type="dxa"/>
            <w:tcBorders>
              <w:top w:val="nil"/>
              <w:left w:val="nil"/>
              <w:bottom w:val="nil"/>
              <w:right w:val="nil"/>
            </w:tcBorders>
            <w:shd w:val="clear" w:color="000000" w:fill="FFFFFF"/>
            <w:vAlign w:val="center"/>
            <w:hideMark/>
          </w:tcPr>
          <w:p w14:paraId="5B67E066"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Instituto de Vivienda de Tabasco</w:t>
            </w:r>
          </w:p>
        </w:tc>
        <w:tc>
          <w:tcPr>
            <w:tcW w:w="1788" w:type="dxa"/>
            <w:tcBorders>
              <w:top w:val="nil"/>
              <w:left w:val="nil"/>
              <w:bottom w:val="nil"/>
              <w:right w:val="nil"/>
            </w:tcBorders>
            <w:shd w:val="clear" w:color="auto" w:fill="auto"/>
            <w:vAlign w:val="center"/>
            <w:hideMark/>
          </w:tcPr>
          <w:p w14:paraId="3B189028"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$55,091,350</w:t>
            </w:r>
          </w:p>
        </w:tc>
      </w:tr>
      <w:tr w:rsidR="00F9012D" w:rsidRPr="00F9012D" w14:paraId="5BBE30BC" w14:textId="77777777" w:rsidTr="00F9012D">
        <w:trPr>
          <w:trHeight w:val="449"/>
        </w:trPr>
        <w:tc>
          <w:tcPr>
            <w:tcW w:w="496" w:type="dxa"/>
            <w:tcBorders>
              <w:top w:val="nil"/>
              <w:left w:val="nil"/>
              <w:bottom w:val="nil"/>
              <w:right w:val="nil"/>
            </w:tcBorders>
            <w:shd w:val="clear" w:color="000000" w:fill="FFFFFF"/>
            <w:vAlign w:val="center"/>
            <w:hideMark/>
          </w:tcPr>
          <w:p w14:paraId="35409A5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0A6D25F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185636F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3E87917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431619</w:t>
            </w:r>
          </w:p>
        </w:tc>
        <w:tc>
          <w:tcPr>
            <w:tcW w:w="4547" w:type="dxa"/>
            <w:tcBorders>
              <w:top w:val="nil"/>
              <w:left w:val="nil"/>
              <w:bottom w:val="nil"/>
              <w:right w:val="nil"/>
            </w:tcBorders>
            <w:shd w:val="clear" w:color="000000" w:fill="FFFFFF"/>
            <w:vAlign w:val="center"/>
            <w:hideMark/>
          </w:tcPr>
          <w:p w14:paraId="71E3BBF2"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Comisión Estatal de Agua y Saneamiento</w:t>
            </w:r>
          </w:p>
        </w:tc>
        <w:tc>
          <w:tcPr>
            <w:tcW w:w="1788" w:type="dxa"/>
            <w:tcBorders>
              <w:top w:val="nil"/>
              <w:left w:val="nil"/>
              <w:bottom w:val="nil"/>
              <w:right w:val="nil"/>
            </w:tcBorders>
            <w:shd w:val="clear" w:color="auto" w:fill="auto"/>
            <w:vAlign w:val="center"/>
            <w:hideMark/>
          </w:tcPr>
          <w:p w14:paraId="48AE2495"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$31,607,497</w:t>
            </w:r>
          </w:p>
        </w:tc>
      </w:tr>
      <w:tr w:rsidR="00F9012D" w:rsidRPr="00F9012D" w14:paraId="5AD1C26F" w14:textId="77777777" w:rsidTr="00F9012D">
        <w:trPr>
          <w:trHeight w:val="449"/>
        </w:trPr>
        <w:tc>
          <w:tcPr>
            <w:tcW w:w="496" w:type="dxa"/>
            <w:tcBorders>
              <w:top w:val="nil"/>
              <w:left w:val="nil"/>
              <w:bottom w:val="nil"/>
              <w:right w:val="nil"/>
            </w:tcBorders>
            <w:shd w:val="clear" w:color="000000" w:fill="FFFFFF"/>
            <w:vAlign w:val="center"/>
            <w:hideMark/>
          </w:tcPr>
          <w:p w14:paraId="2A60768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51AF4DB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4D4636C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19B1734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431620</w:t>
            </w:r>
          </w:p>
        </w:tc>
        <w:tc>
          <w:tcPr>
            <w:tcW w:w="4547" w:type="dxa"/>
            <w:tcBorders>
              <w:top w:val="nil"/>
              <w:left w:val="nil"/>
              <w:bottom w:val="nil"/>
              <w:right w:val="nil"/>
            </w:tcBorders>
            <w:shd w:val="clear" w:color="000000" w:fill="FFFFFF"/>
            <w:vAlign w:val="center"/>
            <w:hideMark/>
          </w:tcPr>
          <w:p w14:paraId="47A10B1E"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Instituto para el Fomento de las Artesanías de Tabasco</w:t>
            </w:r>
          </w:p>
        </w:tc>
        <w:tc>
          <w:tcPr>
            <w:tcW w:w="1788" w:type="dxa"/>
            <w:tcBorders>
              <w:top w:val="nil"/>
              <w:left w:val="nil"/>
              <w:bottom w:val="nil"/>
              <w:right w:val="nil"/>
            </w:tcBorders>
            <w:shd w:val="clear" w:color="auto" w:fill="auto"/>
            <w:vAlign w:val="center"/>
            <w:hideMark/>
          </w:tcPr>
          <w:p w14:paraId="083455F1"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$6,376,000</w:t>
            </w:r>
          </w:p>
        </w:tc>
      </w:tr>
      <w:tr w:rsidR="00F9012D" w:rsidRPr="00F9012D" w14:paraId="5BFCDF23" w14:textId="77777777" w:rsidTr="00F9012D">
        <w:trPr>
          <w:trHeight w:val="449"/>
        </w:trPr>
        <w:tc>
          <w:tcPr>
            <w:tcW w:w="496" w:type="dxa"/>
            <w:tcBorders>
              <w:top w:val="nil"/>
              <w:left w:val="nil"/>
              <w:bottom w:val="nil"/>
              <w:right w:val="nil"/>
            </w:tcBorders>
            <w:shd w:val="clear" w:color="000000" w:fill="FFFFFF"/>
            <w:vAlign w:val="center"/>
            <w:hideMark/>
          </w:tcPr>
          <w:p w14:paraId="3C1D0BE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415E156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5168CA2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3C1FB53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431621</w:t>
            </w:r>
          </w:p>
        </w:tc>
        <w:tc>
          <w:tcPr>
            <w:tcW w:w="4547" w:type="dxa"/>
            <w:tcBorders>
              <w:top w:val="nil"/>
              <w:left w:val="nil"/>
              <w:bottom w:val="nil"/>
              <w:right w:val="nil"/>
            </w:tcBorders>
            <w:shd w:val="clear" w:color="000000" w:fill="FFFFFF"/>
            <w:vAlign w:val="center"/>
            <w:hideMark/>
          </w:tcPr>
          <w:p w14:paraId="277825FF"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Instituto Estatal de Cultura</w:t>
            </w:r>
          </w:p>
        </w:tc>
        <w:tc>
          <w:tcPr>
            <w:tcW w:w="1788" w:type="dxa"/>
            <w:tcBorders>
              <w:top w:val="nil"/>
              <w:left w:val="nil"/>
              <w:bottom w:val="nil"/>
              <w:right w:val="nil"/>
            </w:tcBorders>
            <w:shd w:val="clear" w:color="auto" w:fill="auto"/>
            <w:vAlign w:val="center"/>
            <w:hideMark/>
          </w:tcPr>
          <w:p w14:paraId="47567CC1"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$17,061,364</w:t>
            </w:r>
          </w:p>
        </w:tc>
      </w:tr>
      <w:tr w:rsidR="00F9012D" w:rsidRPr="00F9012D" w14:paraId="133E94E4" w14:textId="77777777" w:rsidTr="00F9012D">
        <w:trPr>
          <w:trHeight w:val="449"/>
        </w:trPr>
        <w:tc>
          <w:tcPr>
            <w:tcW w:w="496" w:type="dxa"/>
            <w:tcBorders>
              <w:top w:val="nil"/>
              <w:left w:val="nil"/>
              <w:bottom w:val="nil"/>
              <w:right w:val="nil"/>
            </w:tcBorders>
            <w:shd w:val="clear" w:color="000000" w:fill="FFFFFF"/>
            <w:vAlign w:val="center"/>
            <w:hideMark/>
          </w:tcPr>
          <w:p w14:paraId="0F09388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6FCB563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66B7190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1948F3D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431622</w:t>
            </w:r>
          </w:p>
        </w:tc>
        <w:tc>
          <w:tcPr>
            <w:tcW w:w="4547" w:type="dxa"/>
            <w:tcBorders>
              <w:top w:val="nil"/>
              <w:left w:val="nil"/>
              <w:bottom w:val="nil"/>
              <w:right w:val="nil"/>
            </w:tcBorders>
            <w:shd w:val="clear" w:color="000000" w:fill="FFFFFF"/>
            <w:vAlign w:val="center"/>
            <w:hideMark/>
          </w:tcPr>
          <w:p w14:paraId="1EBF836E"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Instituto de Formación para el Trabajo del Estado de Tabasco</w:t>
            </w:r>
          </w:p>
        </w:tc>
        <w:tc>
          <w:tcPr>
            <w:tcW w:w="1788" w:type="dxa"/>
            <w:tcBorders>
              <w:top w:val="nil"/>
              <w:left w:val="nil"/>
              <w:bottom w:val="nil"/>
              <w:right w:val="nil"/>
            </w:tcBorders>
            <w:shd w:val="clear" w:color="auto" w:fill="auto"/>
            <w:vAlign w:val="center"/>
            <w:hideMark/>
          </w:tcPr>
          <w:p w14:paraId="3421E442"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$3,307,500</w:t>
            </w:r>
          </w:p>
        </w:tc>
      </w:tr>
      <w:tr w:rsidR="00F9012D" w:rsidRPr="00F9012D" w14:paraId="24145466" w14:textId="77777777" w:rsidTr="00F9012D">
        <w:trPr>
          <w:trHeight w:val="449"/>
        </w:trPr>
        <w:tc>
          <w:tcPr>
            <w:tcW w:w="496" w:type="dxa"/>
            <w:tcBorders>
              <w:top w:val="nil"/>
              <w:left w:val="nil"/>
              <w:bottom w:val="nil"/>
              <w:right w:val="nil"/>
            </w:tcBorders>
            <w:shd w:val="clear" w:color="000000" w:fill="FFFFFF"/>
            <w:vAlign w:val="center"/>
            <w:hideMark/>
          </w:tcPr>
          <w:p w14:paraId="62E2AB4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CD24C7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1ACD350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4D76EF7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431623</w:t>
            </w:r>
          </w:p>
        </w:tc>
        <w:tc>
          <w:tcPr>
            <w:tcW w:w="4547" w:type="dxa"/>
            <w:tcBorders>
              <w:top w:val="nil"/>
              <w:left w:val="nil"/>
              <w:bottom w:val="nil"/>
              <w:right w:val="nil"/>
            </w:tcBorders>
            <w:shd w:val="clear" w:color="000000" w:fill="FFFFFF"/>
            <w:vAlign w:val="center"/>
            <w:hideMark/>
          </w:tcPr>
          <w:p w14:paraId="66CD26A8"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Organismo Público Descentralizado de Servicios de Salud (OPD)</w:t>
            </w:r>
          </w:p>
        </w:tc>
        <w:tc>
          <w:tcPr>
            <w:tcW w:w="1788" w:type="dxa"/>
            <w:tcBorders>
              <w:top w:val="nil"/>
              <w:left w:val="nil"/>
              <w:bottom w:val="nil"/>
              <w:right w:val="nil"/>
            </w:tcBorders>
            <w:shd w:val="clear" w:color="auto" w:fill="auto"/>
            <w:vAlign w:val="center"/>
            <w:hideMark/>
          </w:tcPr>
          <w:p w14:paraId="6750DBFD"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$15,120,710</w:t>
            </w:r>
          </w:p>
        </w:tc>
      </w:tr>
      <w:tr w:rsidR="00F9012D" w:rsidRPr="00F9012D" w14:paraId="287D1377" w14:textId="77777777" w:rsidTr="00F9012D">
        <w:trPr>
          <w:trHeight w:val="452"/>
        </w:trPr>
        <w:tc>
          <w:tcPr>
            <w:tcW w:w="496" w:type="dxa"/>
            <w:tcBorders>
              <w:top w:val="nil"/>
              <w:left w:val="nil"/>
              <w:bottom w:val="nil"/>
              <w:right w:val="nil"/>
            </w:tcBorders>
            <w:shd w:val="clear" w:color="auto" w:fill="auto"/>
            <w:vAlign w:val="center"/>
            <w:hideMark/>
          </w:tcPr>
          <w:p w14:paraId="3AF69E94" w14:textId="77777777" w:rsidR="00F9012D" w:rsidRPr="00F9012D" w:rsidRDefault="00F9012D" w:rsidP="00F9012D">
            <w:pPr>
              <w:jc w:val="left"/>
              <w:rPr>
                <w:rFonts w:eastAsia="Times New Roman"/>
                <w:b/>
                <w:bCs/>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222E5F38" w14:textId="77777777" w:rsidR="00F9012D" w:rsidRPr="00F9012D" w:rsidRDefault="00F9012D" w:rsidP="00F9012D">
            <w:pPr>
              <w:jc w:val="left"/>
              <w:rPr>
                <w:rFonts w:eastAsia="Times New Roman"/>
                <w:b/>
                <w:bCs/>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6807BDCF"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000000" w:fill="FFFFFF"/>
            <w:vAlign w:val="center"/>
            <w:hideMark/>
          </w:tcPr>
          <w:p w14:paraId="0C099F9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431624</w:t>
            </w:r>
          </w:p>
        </w:tc>
        <w:tc>
          <w:tcPr>
            <w:tcW w:w="4547" w:type="dxa"/>
            <w:tcBorders>
              <w:top w:val="nil"/>
              <w:left w:val="nil"/>
              <w:bottom w:val="nil"/>
              <w:right w:val="nil"/>
            </w:tcBorders>
            <w:shd w:val="clear" w:color="auto" w:fill="auto"/>
            <w:vAlign w:val="center"/>
            <w:hideMark/>
          </w:tcPr>
          <w:p w14:paraId="683B50B2"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Instituto de Seguridad Social del Estado de Tabasco</w:t>
            </w:r>
          </w:p>
        </w:tc>
        <w:tc>
          <w:tcPr>
            <w:tcW w:w="1788" w:type="dxa"/>
            <w:tcBorders>
              <w:top w:val="nil"/>
              <w:left w:val="nil"/>
              <w:bottom w:val="nil"/>
              <w:right w:val="nil"/>
            </w:tcBorders>
            <w:shd w:val="clear" w:color="auto" w:fill="auto"/>
            <w:vAlign w:val="center"/>
            <w:hideMark/>
          </w:tcPr>
          <w:p w14:paraId="4693A065"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$13,677,152</w:t>
            </w:r>
          </w:p>
        </w:tc>
      </w:tr>
      <w:tr w:rsidR="00F9012D" w:rsidRPr="00F9012D" w14:paraId="599BA0D0" w14:textId="77777777" w:rsidTr="00F9012D">
        <w:trPr>
          <w:trHeight w:val="449"/>
        </w:trPr>
        <w:tc>
          <w:tcPr>
            <w:tcW w:w="496" w:type="dxa"/>
            <w:tcBorders>
              <w:top w:val="nil"/>
              <w:left w:val="nil"/>
              <w:bottom w:val="nil"/>
              <w:right w:val="nil"/>
            </w:tcBorders>
            <w:shd w:val="clear" w:color="000000" w:fill="FFFFFF"/>
            <w:vAlign w:val="center"/>
            <w:hideMark/>
          </w:tcPr>
          <w:p w14:paraId="61608EBA"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50504EE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33EF21B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77ED861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431625</w:t>
            </w:r>
          </w:p>
        </w:tc>
        <w:tc>
          <w:tcPr>
            <w:tcW w:w="4547" w:type="dxa"/>
            <w:tcBorders>
              <w:top w:val="nil"/>
              <w:left w:val="nil"/>
              <w:bottom w:val="nil"/>
              <w:right w:val="nil"/>
            </w:tcBorders>
            <w:shd w:val="clear" w:color="000000" w:fill="FFFFFF"/>
            <w:vAlign w:val="center"/>
            <w:hideMark/>
          </w:tcPr>
          <w:p w14:paraId="6E3D9F3B"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Instituto Tabasqueño de la Infraestructura Física Educativa (ITIFE)</w:t>
            </w:r>
          </w:p>
        </w:tc>
        <w:tc>
          <w:tcPr>
            <w:tcW w:w="1788" w:type="dxa"/>
            <w:tcBorders>
              <w:top w:val="nil"/>
              <w:left w:val="nil"/>
              <w:bottom w:val="nil"/>
              <w:right w:val="nil"/>
            </w:tcBorders>
            <w:shd w:val="clear" w:color="auto" w:fill="auto"/>
            <w:vAlign w:val="center"/>
            <w:hideMark/>
          </w:tcPr>
          <w:p w14:paraId="4D127EE9"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$622,400</w:t>
            </w:r>
          </w:p>
        </w:tc>
      </w:tr>
      <w:tr w:rsidR="00F9012D" w:rsidRPr="00F9012D" w14:paraId="2DAE18BD" w14:textId="77777777" w:rsidTr="00F9012D">
        <w:trPr>
          <w:trHeight w:val="449"/>
        </w:trPr>
        <w:tc>
          <w:tcPr>
            <w:tcW w:w="496" w:type="dxa"/>
            <w:tcBorders>
              <w:top w:val="nil"/>
              <w:left w:val="nil"/>
              <w:bottom w:val="nil"/>
              <w:right w:val="nil"/>
            </w:tcBorders>
            <w:shd w:val="clear" w:color="000000" w:fill="FFFFFF"/>
            <w:vAlign w:val="center"/>
            <w:hideMark/>
          </w:tcPr>
          <w:p w14:paraId="4275222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2AD17A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65712C7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41C2F5E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431626</w:t>
            </w:r>
          </w:p>
        </w:tc>
        <w:tc>
          <w:tcPr>
            <w:tcW w:w="4547" w:type="dxa"/>
            <w:tcBorders>
              <w:top w:val="nil"/>
              <w:left w:val="nil"/>
              <w:bottom w:val="nil"/>
              <w:right w:val="nil"/>
            </w:tcBorders>
            <w:shd w:val="clear" w:color="000000" w:fill="FFFFFF"/>
            <w:vAlign w:val="center"/>
            <w:hideMark/>
          </w:tcPr>
          <w:p w14:paraId="6F601BEB"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Instituto de Protección Civil</w:t>
            </w:r>
          </w:p>
        </w:tc>
        <w:tc>
          <w:tcPr>
            <w:tcW w:w="1788" w:type="dxa"/>
            <w:tcBorders>
              <w:top w:val="nil"/>
              <w:left w:val="nil"/>
              <w:bottom w:val="nil"/>
              <w:right w:val="nil"/>
            </w:tcBorders>
            <w:shd w:val="clear" w:color="auto" w:fill="auto"/>
            <w:vAlign w:val="center"/>
            <w:hideMark/>
          </w:tcPr>
          <w:p w14:paraId="551BFC62"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$3,010,885</w:t>
            </w:r>
          </w:p>
        </w:tc>
      </w:tr>
      <w:tr w:rsidR="00F9012D" w:rsidRPr="00F9012D" w14:paraId="0A07874C" w14:textId="77777777" w:rsidTr="00F9012D">
        <w:trPr>
          <w:trHeight w:val="449"/>
        </w:trPr>
        <w:tc>
          <w:tcPr>
            <w:tcW w:w="496" w:type="dxa"/>
            <w:tcBorders>
              <w:top w:val="nil"/>
              <w:left w:val="nil"/>
              <w:bottom w:val="nil"/>
              <w:right w:val="nil"/>
            </w:tcBorders>
            <w:shd w:val="clear" w:color="auto" w:fill="auto"/>
            <w:vAlign w:val="center"/>
            <w:hideMark/>
          </w:tcPr>
          <w:p w14:paraId="0AF7DC09"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61C102C9"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4494B7BB"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000000" w:fill="FFFFFF"/>
            <w:vAlign w:val="center"/>
            <w:hideMark/>
          </w:tcPr>
          <w:p w14:paraId="18594B3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431627</w:t>
            </w:r>
          </w:p>
        </w:tc>
        <w:tc>
          <w:tcPr>
            <w:tcW w:w="4547" w:type="dxa"/>
            <w:tcBorders>
              <w:top w:val="nil"/>
              <w:left w:val="nil"/>
              <w:bottom w:val="nil"/>
              <w:right w:val="nil"/>
            </w:tcBorders>
            <w:shd w:val="clear" w:color="auto" w:fill="auto"/>
            <w:vAlign w:val="center"/>
            <w:hideMark/>
          </w:tcPr>
          <w:p w14:paraId="34A64A81"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Universidad Juárez Autónoma de Tabasco</w:t>
            </w:r>
          </w:p>
        </w:tc>
        <w:tc>
          <w:tcPr>
            <w:tcW w:w="1788" w:type="dxa"/>
            <w:tcBorders>
              <w:top w:val="nil"/>
              <w:left w:val="nil"/>
              <w:bottom w:val="nil"/>
              <w:right w:val="nil"/>
            </w:tcBorders>
            <w:shd w:val="clear" w:color="auto" w:fill="auto"/>
            <w:vAlign w:val="center"/>
            <w:hideMark/>
          </w:tcPr>
          <w:p w14:paraId="6A84F713"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404B26C5" w14:textId="77777777" w:rsidTr="00F9012D">
        <w:trPr>
          <w:trHeight w:val="449"/>
        </w:trPr>
        <w:tc>
          <w:tcPr>
            <w:tcW w:w="496" w:type="dxa"/>
            <w:tcBorders>
              <w:top w:val="nil"/>
              <w:left w:val="nil"/>
              <w:bottom w:val="nil"/>
              <w:right w:val="nil"/>
            </w:tcBorders>
            <w:shd w:val="clear" w:color="auto" w:fill="auto"/>
            <w:vAlign w:val="center"/>
            <w:hideMark/>
          </w:tcPr>
          <w:p w14:paraId="5DDE1798"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2C3C09C5"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164FA575"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000000" w:fill="FFFFFF"/>
            <w:vAlign w:val="center"/>
            <w:hideMark/>
          </w:tcPr>
          <w:p w14:paraId="088B39A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431628</w:t>
            </w:r>
          </w:p>
        </w:tc>
        <w:tc>
          <w:tcPr>
            <w:tcW w:w="4547" w:type="dxa"/>
            <w:tcBorders>
              <w:top w:val="nil"/>
              <w:left w:val="nil"/>
              <w:bottom w:val="nil"/>
              <w:right w:val="nil"/>
            </w:tcBorders>
            <w:shd w:val="clear" w:color="auto" w:fill="auto"/>
            <w:vAlign w:val="center"/>
            <w:hideMark/>
          </w:tcPr>
          <w:p w14:paraId="602F34FF"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Otros</w:t>
            </w:r>
          </w:p>
        </w:tc>
        <w:tc>
          <w:tcPr>
            <w:tcW w:w="1788" w:type="dxa"/>
            <w:tcBorders>
              <w:top w:val="nil"/>
              <w:left w:val="nil"/>
              <w:bottom w:val="nil"/>
              <w:right w:val="nil"/>
            </w:tcBorders>
            <w:shd w:val="clear" w:color="auto" w:fill="auto"/>
            <w:vAlign w:val="center"/>
            <w:hideMark/>
          </w:tcPr>
          <w:p w14:paraId="0E111479"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7C58C0D2" w14:textId="77777777" w:rsidTr="00F9012D">
        <w:trPr>
          <w:trHeight w:val="449"/>
        </w:trPr>
        <w:tc>
          <w:tcPr>
            <w:tcW w:w="496" w:type="dxa"/>
            <w:tcBorders>
              <w:top w:val="nil"/>
              <w:left w:val="nil"/>
              <w:bottom w:val="nil"/>
              <w:right w:val="nil"/>
            </w:tcBorders>
            <w:shd w:val="clear" w:color="000000" w:fill="FFFFFF"/>
            <w:vAlign w:val="center"/>
            <w:hideMark/>
          </w:tcPr>
          <w:p w14:paraId="1E1B31FA"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14591891"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44</w:t>
            </w:r>
          </w:p>
        </w:tc>
        <w:tc>
          <w:tcPr>
            <w:tcW w:w="622" w:type="dxa"/>
            <w:tcBorders>
              <w:top w:val="nil"/>
              <w:left w:val="nil"/>
              <w:bottom w:val="nil"/>
              <w:right w:val="nil"/>
            </w:tcBorders>
            <w:shd w:val="clear" w:color="000000" w:fill="FFFFFF"/>
            <w:vAlign w:val="center"/>
            <w:hideMark/>
          </w:tcPr>
          <w:p w14:paraId="391036DC"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3E157B00"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591C8A1D"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OTROS DERECHOS</w:t>
            </w:r>
          </w:p>
        </w:tc>
        <w:tc>
          <w:tcPr>
            <w:tcW w:w="1788" w:type="dxa"/>
            <w:tcBorders>
              <w:top w:val="nil"/>
              <w:left w:val="nil"/>
              <w:bottom w:val="nil"/>
              <w:right w:val="nil"/>
            </w:tcBorders>
            <w:shd w:val="clear" w:color="auto" w:fill="auto"/>
            <w:vAlign w:val="center"/>
            <w:hideMark/>
          </w:tcPr>
          <w:p w14:paraId="36EB4F94"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$5,552,163</w:t>
            </w:r>
          </w:p>
        </w:tc>
      </w:tr>
      <w:tr w:rsidR="00F9012D" w:rsidRPr="00F9012D" w14:paraId="37B5CC38" w14:textId="77777777" w:rsidTr="00F9012D">
        <w:trPr>
          <w:trHeight w:val="449"/>
        </w:trPr>
        <w:tc>
          <w:tcPr>
            <w:tcW w:w="496" w:type="dxa"/>
            <w:tcBorders>
              <w:top w:val="nil"/>
              <w:left w:val="nil"/>
              <w:bottom w:val="nil"/>
              <w:right w:val="nil"/>
            </w:tcBorders>
            <w:shd w:val="clear" w:color="000000" w:fill="FFFFFF"/>
            <w:vAlign w:val="center"/>
            <w:hideMark/>
          </w:tcPr>
          <w:p w14:paraId="73EA333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7ABCD49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3933D96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4401</w:t>
            </w:r>
          </w:p>
        </w:tc>
        <w:tc>
          <w:tcPr>
            <w:tcW w:w="755" w:type="dxa"/>
            <w:tcBorders>
              <w:top w:val="nil"/>
              <w:left w:val="nil"/>
              <w:bottom w:val="nil"/>
              <w:right w:val="nil"/>
            </w:tcBorders>
            <w:shd w:val="clear" w:color="000000" w:fill="FFFFFF"/>
            <w:vAlign w:val="center"/>
            <w:hideMark/>
          </w:tcPr>
          <w:p w14:paraId="152821B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3FA1D5B3"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POR LA VIGILANCIA E INSPECCIÓN DE OBRAS PÚBLICAS ESTATALES</w:t>
            </w:r>
          </w:p>
        </w:tc>
        <w:tc>
          <w:tcPr>
            <w:tcW w:w="1788" w:type="dxa"/>
            <w:tcBorders>
              <w:top w:val="nil"/>
              <w:left w:val="nil"/>
              <w:bottom w:val="nil"/>
              <w:right w:val="nil"/>
            </w:tcBorders>
            <w:shd w:val="clear" w:color="auto" w:fill="auto"/>
            <w:vAlign w:val="center"/>
            <w:hideMark/>
          </w:tcPr>
          <w:p w14:paraId="3E900FAA"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$5,552,163</w:t>
            </w:r>
          </w:p>
        </w:tc>
      </w:tr>
      <w:tr w:rsidR="00F9012D" w:rsidRPr="00F9012D" w14:paraId="4F3A5830" w14:textId="77777777" w:rsidTr="00F9012D">
        <w:trPr>
          <w:trHeight w:val="449"/>
        </w:trPr>
        <w:tc>
          <w:tcPr>
            <w:tcW w:w="496" w:type="dxa"/>
            <w:tcBorders>
              <w:top w:val="nil"/>
              <w:left w:val="nil"/>
              <w:bottom w:val="nil"/>
              <w:right w:val="nil"/>
            </w:tcBorders>
            <w:shd w:val="clear" w:color="000000" w:fill="FFFFFF"/>
            <w:vAlign w:val="center"/>
            <w:hideMark/>
          </w:tcPr>
          <w:p w14:paraId="5468438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3EF475C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435823C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4402</w:t>
            </w:r>
          </w:p>
        </w:tc>
        <w:tc>
          <w:tcPr>
            <w:tcW w:w="755" w:type="dxa"/>
            <w:tcBorders>
              <w:top w:val="nil"/>
              <w:left w:val="nil"/>
              <w:bottom w:val="nil"/>
              <w:right w:val="nil"/>
            </w:tcBorders>
            <w:shd w:val="clear" w:color="000000" w:fill="FFFFFF"/>
            <w:vAlign w:val="center"/>
            <w:hideMark/>
          </w:tcPr>
          <w:p w14:paraId="2762194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7970C6A1"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OTROS</w:t>
            </w:r>
          </w:p>
        </w:tc>
        <w:tc>
          <w:tcPr>
            <w:tcW w:w="1788" w:type="dxa"/>
            <w:tcBorders>
              <w:top w:val="nil"/>
              <w:left w:val="nil"/>
              <w:bottom w:val="nil"/>
              <w:right w:val="nil"/>
            </w:tcBorders>
            <w:shd w:val="clear" w:color="auto" w:fill="auto"/>
            <w:vAlign w:val="center"/>
            <w:hideMark/>
          </w:tcPr>
          <w:p w14:paraId="768108C5"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5A900FBC" w14:textId="77777777" w:rsidTr="00F9012D">
        <w:trPr>
          <w:trHeight w:val="449"/>
        </w:trPr>
        <w:tc>
          <w:tcPr>
            <w:tcW w:w="496" w:type="dxa"/>
            <w:tcBorders>
              <w:top w:val="nil"/>
              <w:left w:val="nil"/>
              <w:bottom w:val="nil"/>
              <w:right w:val="nil"/>
            </w:tcBorders>
            <w:shd w:val="clear" w:color="000000" w:fill="FFFFFF"/>
            <w:vAlign w:val="center"/>
            <w:hideMark/>
          </w:tcPr>
          <w:p w14:paraId="0C561590"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5D85ECE8"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45</w:t>
            </w:r>
          </w:p>
        </w:tc>
        <w:tc>
          <w:tcPr>
            <w:tcW w:w="622" w:type="dxa"/>
            <w:tcBorders>
              <w:top w:val="nil"/>
              <w:left w:val="nil"/>
              <w:bottom w:val="nil"/>
              <w:right w:val="nil"/>
            </w:tcBorders>
            <w:shd w:val="clear" w:color="000000" w:fill="FFFFFF"/>
            <w:vAlign w:val="center"/>
            <w:hideMark/>
          </w:tcPr>
          <w:p w14:paraId="75DE77F0"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72AC3576"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538BD2B2"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ACCESORIOS DE DERECHOS</w:t>
            </w:r>
          </w:p>
        </w:tc>
        <w:tc>
          <w:tcPr>
            <w:tcW w:w="1788" w:type="dxa"/>
            <w:tcBorders>
              <w:top w:val="nil"/>
              <w:left w:val="nil"/>
              <w:bottom w:val="nil"/>
              <w:right w:val="nil"/>
            </w:tcBorders>
            <w:shd w:val="clear" w:color="auto" w:fill="auto"/>
            <w:vAlign w:val="center"/>
            <w:hideMark/>
          </w:tcPr>
          <w:p w14:paraId="361EE6FC"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$10,054,248</w:t>
            </w:r>
          </w:p>
        </w:tc>
      </w:tr>
      <w:tr w:rsidR="00F9012D" w:rsidRPr="00F9012D" w14:paraId="200F08E7" w14:textId="77777777" w:rsidTr="00F9012D">
        <w:trPr>
          <w:trHeight w:val="449"/>
        </w:trPr>
        <w:tc>
          <w:tcPr>
            <w:tcW w:w="496" w:type="dxa"/>
            <w:tcBorders>
              <w:top w:val="nil"/>
              <w:left w:val="nil"/>
              <w:bottom w:val="nil"/>
              <w:right w:val="nil"/>
            </w:tcBorders>
            <w:shd w:val="clear" w:color="000000" w:fill="FFFFFF"/>
            <w:vAlign w:val="center"/>
            <w:hideMark/>
          </w:tcPr>
          <w:p w14:paraId="63B8965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3B6D12F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627CD1B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4501</w:t>
            </w:r>
          </w:p>
        </w:tc>
        <w:tc>
          <w:tcPr>
            <w:tcW w:w="755" w:type="dxa"/>
            <w:tcBorders>
              <w:top w:val="nil"/>
              <w:left w:val="nil"/>
              <w:bottom w:val="nil"/>
              <w:right w:val="nil"/>
            </w:tcBorders>
            <w:shd w:val="clear" w:color="000000" w:fill="FFFFFF"/>
            <w:vAlign w:val="center"/>
            <w:hideMark/>
          </w:tcPr>
          <w:p w14:paraId="6986205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5994632E"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RECARGOS</w:t>
            </w:r>
          </w:p>
        </w:tc>
        <w:tc>
          <w:tcPr>
            <w:tcW w:w="1788" w:type="dxa"/>
            <w:tcBorders>
              <w:top w:val="nil"/>
              <w:left w:val="nil"/>
              <w:bottom w:val="nil"/>
              <w:right w:val="nil"/>
            </w:tcBorders>
            <w:shd w:val="clear" w:color="auto" w:fill="auto"/>
            <w:vAlign w:val="center"/>
            <w:hideMark/>
          </w:tcPr>
          <w:p w14:paraId="2CADBBEC"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$7,131,323</w:t>
            </w:r>
          </w:p>
        </w:tc>
      </w:tr>
      <w:tr w:rsidR="00F9012D" w:rsidRPr="00F9012D" w14:paraId="66F70E48" w14:textId="77777777" w:rsidTr="00F9012D">
        <w:trPr>
          <w:trHeight w:val="449"/>
        </w:trPr>
        <w:tc>
          <w:tcPr>
            <w:tcW w:w="496" w:type="dxa"/>
            <w:tcBorders>
              <w:top w:val="nil"/>
              <w:left w:val="nil"/>
              <w:bottom w:val="nil"/>
              <w:right w:val="nil"/>
            </w:tcBorders>
            <w:shd w:val="clear" w:color="000000" w:fill="FFFFFF"/>
            <w:vAlign w:val="center"/>
            <w:hideMark/>
          </w:tcPr>
          <w:p w14:paraId="7BD55A4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42F5909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61B8C44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4502</w:t>
            </w:r>
          </w:p>
        </w:tc>
        <w:tc>
          <w:tcPr>
            <w:tcW w:w="755" w:type="dxa"/>
            <w:tcBorders>
              <w:top w:val="nil"/>
              <w:left w:val="nil"/>
              <w:bottom w:val="nil"/>
              <w:right w:val="nil"/>
            </w:tcBorders>
            <w:shd w:val="clear" w:color="000000" w:fill="FFFFFF"/>
            <w:vAlign w:val="center"/>
            <w:hideMark/>
          </w:tcPr>
          <w:p w14:paraId="084DAB7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26B78A09"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MULTAS</w:t>
            </w:r>
          </w:p>
        </w:tc>
        <w:tc>
          <w:tcPr>
            <w:tcW w:w="1788" w:type="dxa"/>
            <w:tcBorders>
              <w:top w:val="nil"/>
              <w:left w:val="nil"/>
              <w:bottom w:val="nil"/>
              <w:right w:val="nil"/>
            </w:tcBorders>
            <w:shd w:val="clear" w:color="auto" w:fill="auto"/>
            <w:vAlign w:val="center"/>
            <w:hideMark/>
          </w:tcPr>
          <w:p w14:paraId="6A374FA3"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$2,120,127</w:t>
            </w:r>
          </w:p>
        </w:tc>
      </w:tr>
      <w:tr w:rsidR="00F9012D" w:rsidRPr="00F9012D" w14:paraId="72E563DD" w14:textId="77777777" w:rsidTr="00F9012D">
        <w:trPr>
          <w:trHeight w:val="449"/>
        </w:trPr>
        <w:tc>
          <w:tcPr>
            <w:tcW w:w="496" w:type="dxa"/>
            <w:tcBorders>
              <w:top w:val="nil"/>
              <w:left w:val="nil"/>
              <w:bottom w:val="nil"/>
              <w:right w:val="nil"/>
            </w:tcBorders>
            <w:shd w:val="clear" w:color="000000" w:fill="FFFFFF"/>
            <w:vAlign w:val="center"/>
            <w:hideMark/>
          </w:tcPr>
          <w:p w14:paraId="2EEBD9D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2910E65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0861A4A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4503</w:t>
            </w:r>
          </w:p>
        </w:tc>
        <w:tc>
          <w:tcPr>
            <w:tcW w:w="755" w:type="dxa"/>
            <w:tcBorders>
              <w:top w:val="nil"/>
              <w:left w:val="nil"/>
              <w:bottom w:val="nil"/>
              <w:right w:val="nil"/>
            </w:tcBorders>
            <w:shd w:val="clear" w:color="000000" w:fill="FFFFFF"/>
            <w:vAlign w:val="center"/>
            <w:hideMark/>
          </w:tcPr>
          <w:p w14:paraId="24F53BC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6F024CB4"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HONORARIOS</w:t>
            </w:r>
          </w:p>
        </w:tc>
        <w:tc>
          <w:tcPr>
            <w:tcW w:w="1788" w:type="dxa"/>
            <w:tcBorders>
              <w:top w:val="nil"/>
              <w:left w:val="nil"/>
              <w:bottom w:val="nil"/>
              <w:right w:val="nil"/>
            </w:tcBorders>
            <w:shd w:val="clear" w:color="auto" w:fill="auto"/>
            <w:vAlign w:val="center"/>
            <w:hideMark/>
          </w:tcPr>
          <w:p w14:paraId="46457D51"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355AEF85" w14:textId="77777777" w:rsidTr="00F9012D">
        <w:trPr>
          <w:trHeight w:val="449"/>
        </w:trPr>
        <w:tc>
          <w:tcPr>
            <w:tcW w:w="496" w:type="dxa"/>
            <w:tcBorders>
              <w:top w:val="nil"/>
              <w:left w:val="nil"/>
              <w:bottom w:val="nil"/>
              <w:right w:val="nil"/>
            </w:tcBorders>
            <w:shd w:val="clear" w:color="000000" w:fill="FFFFFF"/>
            <w:vAlign w:val="center"/>
            <w:hideMark/>
          </w:tcPr>
          <w:p w14:paraId="6535148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4060CFC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5D0F547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4504</w:t>
            </w:r>
          </w:p>
        </w:tc>
        <w:tc>
          <w:tcPr>
            <w:tcW w:w="755" w:type="dxa"/>
            <w:tcBorders>
              <w:top w:val="nil"/>
              <w:left w:val="nil"/>
              <w:bottom w:val="nil"/>
              <w:right w:val="nil"/>
            </w:tcBorders>
            <w:shd w:val="clear" w:color="000000" w:fill="FFFFFF"/>
            <w:vAlign w:val="center"/>
            <w:hideMark/>
          </w:tcPr>
          <w:p w14:paraId="30273C6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6C4534F3"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GASTOS DE EJECUCIÓN</w:t>
            </w:r>
          </w:p>
        </w:tc>
        <w:tc>
          <w:tcPr>
            <w:tcW w:w="1788" w:type="dxa"/>
            <w:tcBorders>
              <w:top w:val="nil"/>
              <w:left w:val="nil"/>
              <w:bottom w:val="nil"/>
              <w:right w:val="nil"/>
            </w:tcBorders>
            <w:shd w:val="clear" w:color="auto" w:fill="auto"/>
            <w:vAlign w:val="center"/>
            <w:hideMark/>
          </w:tcPr>
          <w:p w14:paraId="360D3FF2"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$802,798</w:t>
            </w:r>
          </w:p>
        </w:tc>
      </w:tr>
      <w:tr w:rsidR="00F9012D" w:rsidRPr="00F9012D" w14:paraId="2FAE474B" w14:textId="77777777" w:rsidTr="00F9012D">
        <w:trPr>
          <w:trHeight w:val="789"/>
        </w:trPr>
        <w:tc>
          <w:tcPr>
            <w:tcW w:w="496" w:type="dxa"/>
            <w:tcBorders>
              <w:top w:val="nil"/>
              <w:left w:val="nil"/>
              <w:bottom w:val="nil"/>
              <w:right w:val="nil"/>
            </w:tcBorders>
            <w:shd w:val="clear" w:color="000000" w:fill="FFFFFF"/>
            <w:vAlign w:val="center"/>
            <w:hideMark/>
          </w:tcPr>
          <w:p w14:paraId="7CA39B87"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auto" w:fill="auto"/>
            <w:vAlign w:val="center"/>
            <w:hideMark/>
          </w:tcPr>
          <w:p w14:paraId="2B927E8F"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49</w:t>
            </w:r>
          </w:p>
        </w:tc>
        <w:tc>
          <w:tcPr>
            <w:tcW w:w="622" w:type="dxa"/>
            <w:tcBorders>
              <w:top w:val="nil"/>
              <w:left w:val="nil"/>
              <w:bottom w:val="nil"/>
              <w:right w:val="nil"/>
            </w:tcBorders>
            <w:shd w:val="clear" w:color="auto" w:fill="auto"/>
            <w:vAlign w:val="center"/>
            <w:hideMark/>
          </w:tcPr>
          <w:p w14:paraId="2E0DF8CF"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690EF444"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7DBDB116"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DERECHOS NO COMPRENDIDOS EN LA LEY DE INGRESOS VIGENTE, CAUSADOS EN EJERCICIOS FISCALES ANTERIORES PENDIENTES DE LIQUIDACIÓN O PAGO</w:t>
            </w:r>
          </w:p>
        </w:tc>
        <w:tc>
          <w:tcPr>
            <w:tcW w:w="1788" w:type="dxa"/>
            <w:tcBorders>
              <w:top w:val="nil"/>
              <w:left w:val="nil"/>
              <w:bottom w:val="nil"/>
              <w:right w:val="nil"/>
            </w:tcBorders>
            <w:shd w:val="clear" w:color="auto" w:fill="auto"/>
            <w:vAlign w:val="center"/>
            <w:hideMark/>
          </w:tcPr>
          <w:p w14:paraId="713F97C5"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4CDDFEDD" w14:textId="77777777" w:rsidTr="00F9012D">
        <w:trPr>
          <w:trHeight w:val="449"/>
        </w:trPr>
        <w:tc>
          <w:tcPr>
            <w:tcW w:w="496" w:type="dxa"/>
            <w:tcBorders>
              <w:top w:val="nil"/>
              <w:left w:val="nil"/>
              <w:bottom w:val="nil"/>
              <w:right w:val="nil"/>
            </w:tcBorders>
            <w:shd w:val="clear" w:color="000000" w:fill="FFC000"/>
            <w:vAlign w:val="center"/>
            <w:hideMark/>
          </w:tcPr>
          <w:p w14:paraId="4BF1E349"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5</w:t>
            </w:r>
          </w:p>
        </w:tc>
        <w:tc>
          <w:tcPr>
            <w:tcW w:w="359" w:type="dxa"/>
            <w:tcBorders>
              <w:top w:val="nil"/>
              <w:left w:val="nil"/>
              <w:bottom w:val="nil"/>
              <w:right w:val="nil"/>
            </w:tcBorders>
            <w:shd w:val="clear" w:color="000000" w:fill="FFC000"/>
            <w:vAlign w:val="center"/>
            <w:hideMark/>
          </w:tcPr>
          <w:p w14:paraId="19A93599"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C000"/>
            <w:vAlign w:val="center"/>
            <w:hideMark/>
          </w:tcPr>
          <w:p w14:paraId="0B79EC67"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C000"/>
            <w:vAlign w:val="center"/>
            <w:hideMark/>
          </w:tcPr>
          <w:p w14:paraId="5F6ED946"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C000"/>
            <w:vAlign w:val="center"/>
            <w:hideMark/>
          </w:tcPr>
          <w:p w14:paraId="3A923290"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PRODUCTOS</w:t>
            </w:r>
          </w:p>
        </w:tc>
        <w:tc>
          <w:tcPr>
            <w:tcW w:w="1788" w:type="dxa"/>
            <w:tcBorders>
              <w:top w:val="nil"/>
              <w:left w:val="nil"/>
              <w:bottom w:val="nil"/>
              <w:right w:val="nil"/>
            </w:tcBorders>
            <w:shd w:val="clear" w:color="000000" w:fill="FFC000"/>
            <w:vAlign w:val="center"/>
            <w:hideMark/>
          </w:tcPr>
          <w:p w14:paraId="15AA99E1"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$90,571,249</w:t>
            </w:r>
          </w:p>
        </w:tc>
      </w:tr>
      <w:tr w:rsidR="00F9012D" w:rsidRPr="00F9012D" w14:paraId="543DD9AC" w14:textId="77777777" w:rsidTr="00F9012D">
        <w:trPr>
          <w:trHeight w:val="449"/>
        </w:trPr>
        <w:tc>
          <w:tcPr>
            <w:tcW w:w="496" w:type="dxa"/>
            <w:tcBorders>
              <w:top w:val="nil"/>
              <w:left w:val="nil"/>
              <w:bottom w:val="nil"/>
              <w:right w:val="nil"/>
            </w:tcBorders>
            <w:shd w:val="clear" w:color="000000" w:fill="FFFFFF"/>
            <w:vAlign w:val="center"/>
            <w:hideMark/>
          </w:tcPr>
          <w:p w14:paraId="7B8751FA"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auto" w:fill="auto"/>
            <w:vAlign w:val="center"/>
            <w:hideMark/>
          </w:tcPr>
          <w:p w14:paraId="1160E107"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51</w:t>
            </w:r>
          </w:p>
        </w:tc>
        <w:tc>
          <w:tcPr>
            <w:tcW w:w="622" w:type="dxa"/>
            <w:tcBorders>
              <w:top w:val="nil"/>
              <w:left w:val="nil"/>
              <w:bottom w:val="nil"/>
              <w:right w:val="nil"/>
            </w:tcBorders>
            <w:shd w:val="clear" w:color="auto" w:fill="auto"/>
            <w:vAlign w:val="center"/>
            <w:hideMark/>
          </w:tcPr>
          <w:p w14:paraId="4CA59119"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06BC57D5"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02824180"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PRODUCTOS</w:t>
            </w:r>
          </w:p>
        </w:tc>
        <w:tc>
          <w:tcPr>
            <w:tcW w:w="1788" w:type="dxa"/>
            <w:tcBorders>
              <w:top w:val="nil"/>
              <w:left w:val="nil"/>
              <w:bottom w:val="nil"/>
              <w:right w:val="nil"/>
            </w:tcBorders>
            <w:shd w:val="clear" w:color="auto" w:fill="auto"/>
            <w:vAlign w:val="center"/>
            <w:hideMark/>
          </w:tcPr>
          <w:p w14:paraId="5A178B0A"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$90,571,249</w:t>
            </w:r>
          </w:p>
        </w:tc>
      </w:tr>
      <w:tr w:rsidR="00F9012D" w:rsidRPr="00F9012D" w14:paraId="412D8485" w14:textId="77777777" w:rsidTr="00F9012D">
        <w:trPr>
          <w:trHeight w:val="449"/>
        </w:trPr>
        <w:tc>
          <w:tcPr>
            <w:tcW w:w="496" w:type="dxa"/>
            <w:tcBorders>
              <w:top w:val="nil"/>
              <w:left w:val="nil"/>
              <w:bottom w:val="nil"/>
              <w:right w:val="nil"/>
            </w:tcBorders>
            <w:shd w:val="clear" w:color="000000" w:fill="FFFFFF"/>
            <w:vAlign w:val="center"/>
            <w:hideMark/>
          </w:tcPr>
          <w:p w14:paraId="63D48090"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lastRenderedPageBreak/>
              <w:t> </w:t>
            </w:r>
          </w:p>
        </w:tc>
        <w:tc>
          <w:tcPr>
            <w:tcW w:w="359" w:type="dxa"/>
            <w:tcBorders>
              <w:top w:val="nil"/>
              <w:left w:val="nil"/>
              <w:bottom w:val="nil"/>
              <w:right w:val="nil"/>
            </w:tcBorders>
            <w:shd w:val="clear" w:color="000000" w:fill="FFFFFF"/>
            <w:vAlign w:val="center"/>
            <w:hideMark/>
          </w:tcPr>
          <w:p w14:paraId="6A54EF6C"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5771FDA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5101</w:t>
            </w:r>
          </w:p>
        </w:tc>
        <w:tc>
          <w:tcPr>
            <w:tcW w:w="755" w:type="dxa"/>
            <w:tcBorders>
              <w:top w:val="nil"/>
              <w:left w:val="nil"/>
              <w:bottom w:val="nil"/>
              <w:right w:val="nil"/>
            </w:tcBorders>
            <w:shd w:val="clear" w:color="000000" w:fill="FFFFFF"/>
            <w:vAlign w:val="center"/>
            <w:hideMark/>
          </w:tcPr>
          <w:p w14:paraId="4B1C5CA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auto" w:fill="auto"/>
            <w:vAlign w:val="center"/>
            <w:hideMark/>
          </w:tcPr>
          <w:p w14:paraId="1A1AADD0"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PRODUCTOS FINANCIEROS</w:t>
            </w:r>
          </w:p>
        </w:tc>
        <w:tc>
          <w:tcPr>
            <w:tcW w:w="1788" w:type="dxa"/>
            <w:tcBorders>
              <w:top w:val="nil"/>
              <w:left w:val="nil"/>
              <w:bottom w:val="nil"/>
              <w:right w:val="nil"/>
            </w:tcBorders>
            <w:shd w:val="clear" w:color="auto" w:fill="auto"/>
            <w:vAlign w:val="center"/>
            <w:hideMark/>
          </w:tcPr>
          <w:p w14:paraId="0C8ABAD0"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$90,571,249</w:t>
            </w:r>
          </w:p>
        </w:tc>
      </w:tr>
      <w:tr w:rsidR="00F9012D" w:rsidRPr="00F9012D" w14:paraId="13782950" w14:textId="77777777" w:rsidTr="00F9012D">
        <w:trPr>
          <w:trHeight w:val="729"/>
        </w:trPr>
        <w:tc>
          <w:tcPr>
            <w:tcW w:w="496" w:type="dxa"/>
            <w:tcBorders>
              <w:top w:val="nil"/>
              <w:left w:val="nil"/>
              <w:bottom w:val="nil"/>
              <w:right w:val="nil"/>
            </w:tcBorders>
            <w:shd w:val="clear" w:color="000000" w:fill="FFFFFF"/>
            <w:vAlign w:val="center"/>
            <w:hideMark/>
          </w:tcPr>
          <w:p w14:paraId="0A41BCAF"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16F03B4D"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59</w:t>
            </w:r>
          </w:p>
        </w:tc>
        <w:tc>
          <w:tcPr>
            <w:tcW w:w="622" w:type="dxa"/>
            <w:tcBorders>
              <w:top w:val="nil"/>
              <w:left w:val="nil"/>
              <w:bottom w:val="nil"/>
              <w:right w:val="nil"/>
            </w:tcBorders>
            <w:shd w:val="clear" w:color="000000" w:fill="FFFFFF"/>
            <w:vAlign w:val="center"/>
            <w:hideMark/>
          </w:tcPr>
          <w:p w14:paraId="191FB584"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FFFF"/>
            <w:vAlign w:val="center"/>
            <w:hideMark/>
          </w:tcPr>
          <w:p w14:paraId="708359CC"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7A18E6EF"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PRODUCTOS NO COMPRENDIDOS EN LA LEY DE INGRESOS VIGENTE, CAUSADOS EN EJERCICIOS FISCALES ANTERIORES PENDIENTES DE LIQUIDACIÓN O PAGO</w:t>
            </w:r>
          </w:p>
        </w:tc>
        <w:tc>
          <w:tcPr>
            <w:tcW w:w="1788" w:type="dxa"/>
            <w:tcBorders>
              <w:top w:val="nil"/>
              <w:left w:val="nil"/>
              <w:bottom w:val="nil"/>
              <w:right w:val="nil"/>
            </w:tcBorders>
            <w:shd w:val="clear" w:color="000000" w:fill="FFFFFF"/>
            <w:vAlign w:val="center"/>
            <w:hideMark/>
          </w:tcPr>
          <w:p w14:paraId="28605A62"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69D37548" w14:textId="77777777" w:rsidTr="00F9012D">
        <w:trPr>
          <w:trHeight w:val="449"/>
        </w:trPr>
        <w:tc>
          <w:tcPr>
            <w:tcW w:w="496" w:type="dxa"/>
            <w:tcBorders>
              <w:top w:val="nil"/>
              <w:left w:val="nil"/>
              <w:bottom w:val="nil"/>
              <w:right w:val="nil"/>
            </w:tcBorders>
            <w:shd w:val="clear" w:color="000000" w:fill="FFC000"/>
            <w:vAlign w:val="center"/>
            <w:hideMark/>
          </w:tcPr>
          <w:p w14:paraId="03D58F06"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6</w:t>
            </w:r>
          </w:p>
        </w:tc>
        <w:tc>
          <w:tcPr>
            <w:tcW w:w="359" w:type="dxa"/>
            <w:tcBorders>
              <w:top w:val="nil"/>
              <w:left w:val="nil"/>
              <w:bottom w:val="nil"/>
              <w:right w:val="nil"/>
            </w:tcBorders>
            <w:shd w:val="clear" w:color="000000" w:fill="FFC000"/>
            <w:vAlign w:val="center"/>
            <w:hideMark/>
          </w:tcPr>
          <w:p w14:paraId="32DC8C0F"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C000"/>
            <w:vAlign w:val="center"/>
            <w:hideMark/>
          </w:tcPr>
          <w:p w14:paraId="51F5DBBD"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C000"/>
            <w:vAlign w:val="center"/>
            <w:hideMark/>
          </w:tcPr>
          <w:p w14:paraId="5FFBB5A7"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C000"/>
            <w:vAlign w:val="center"/>
            <w:hideMark/>
          </w:tcPr>
          <w:p w14:paraId="5674B942"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APROVECHAMIENTOS</w:t>
            </w:r>
          </w:p>
        </w:tc>
        <w:tc>
          <w:tcPr>
            <w:tcW w:w="1788" w:type="dxa"/>
            <w:tcBorders>
              <w:top w:val="nil"/>
              <w:left w:val="nil"/>
              <w:bottom w:val="nil"/>
              <w:right w:val="nil"/>
            </w:tcBorders>
            <w:shd w:val="clear" w:color="000000" w:fill="FFC000"/>
            <w:vAlign w:val="center"/>
            <w:hideMark/>
          </w:tcPr>
          <w:p w14:paraId="56F400E7"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$67,592,844</w:t>
            </w:r>
          </w:p>
        </w:tc>
      </w:tr>
      <w:tr w:rsidR="00F9012D" w:rsidRPr="00F9012D" w14:paraId="01CB4DF4" w14:textId="77777777" w:rsidTr="00F9012D">
        <w:trPr>
          <w:trHeight w:val="449"/>
        </w:trPr>
        <w:tc>
          <w:tcPr>
            <w:tcW w:w="496" w:type="dxa"/>
            <w:tcBorders>
              <w:top w:val="nil"/>
              <w:left w:val="nil"/>
              <w:bottom w:val="nil"/>
              <w:right w:val="nil"/>
            </w:tcBorders>
            <w:shd w:val="clear" w:color="000000" w:fill="FFFFFF"/>
            <w:vAlign w:val="center"/>
            <w:hideMark/>
          </w:tcPr>
          <w:p w14:paraId="7047436A"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auto" w:fill="auto"/>
            <w:vAlign w:val="center"/>
            <w:hideMark/>
          </w:tcPr>
          <w:p w14:paraId="78F227CD"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61</w:t>
            </w:r>
          </w:p>
        </w:tc>
        <w:tc>
          <w:tcPr>
            <w:tcW w:w="622" w:type="dxa"/>
            <w:tcBorders>
              <w:top w:val="nil"/>
              <w:left w:val="nil"/>
              <w:bottom w:val="nil"/>
              <w:right w:val="nil"/>
            </w:tcBorders>
            <w:shd w:val="clear" w:color="auto" w:fill="auto"/>
            <w:vAlign w:val="center"/>
            <w:hideMark/>
          </w:tcPr>
          <w:p w14:paraId="7CEDCBB2"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49AC5EFA"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74C48BA3"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APROVECHAMIENTOS</w:t>
            </w:r>
          </w:p>
        </w:tc>
        <w:tc>
          <w:tcPr>
            <w:tcW w:w="1788" w:type="dxa"/>
            <w:tcBorders>
              <w:top w:val="nil"/>
              <w:left w:val="nil"/>
              <w:bottom w:val="nil"/>
              <w:right w:val="nil"/>
            </w:tcBorders>
            <w:shd w:val="clear" w:color="auto" w:fill="auto"/>
            <w:vAlign w:val="center"/>
            <w:hideMark/>
          </w:tcPr>
          <w:p w14:paraId="332DDEDB"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$65,771,001</w:t>
            </w:r>
          </w:p>
        </w:tc>
      </w:tr>
      <w:tr w:rsidR="00F9012D" w:rsidRPr="00F9012D" w14:paraId="3CCD8898" w14:textId="77777777" w:rsidTr="00F9012D">
        <w:trPr>
          <w:trHeight w:val="449"/>
        </w:trPr>
        <w:tc>
          <w:tcPr>
            <w:tcW w:w="496" w:type="dxa"/>
            <w:tcBorders>
              <w:top w:val="nil"/>
              <w:left w:val="nil"/>
              <w:bottom w:val="nil"/>
              <w:right w:val="nil"/>
            </w:tcBorders>
            <w:shd w:val="clear" w:color="000000" w:fill="FFFFFF"/>
            <w:vAlign w:val="center"/>
            <w:hideMark/>
          </w:tcPr>
          <w:p w14:paraId="6F7A4DAC"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4202BCFE"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7E19304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6101</w:t>
            </w:r>
          </w:p>
        </w:tc>
        <w:tc>
          <w:tcPr>
            <w:tcW w:w="755" w:type="dxa"/>
            <w:tcBorders>
              <w:top w:val="nil"/>
              <w:left w:val="nil"/>
              <w:bottom w:val="nil"/>
              <w:right w:val="nil"/>
            </w:tcBorders>
            <w:shd w:val="clear" w:color="000000" w:fill="FFFFFF"/>
            <w:vAlign w:val="center"/>
            <w:hideMark/>
          </w:tcPr>
          <w:p w14:paraId="275D924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4BC22F2C"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MULTAS</w:t>
            </w:r>
          </w:p>
        </w:tc>
        <w:tc>
          <w:tcPr>
            <w:tcW w:w="1788" w:type="dxa"/>
            <w:tcBorders>
              <w:top w:val="nil"/>
              <w:left w:val="nil"/>
              <w:bottom w:val="nil"/>
              <w:right w:val="nil"/>
            </w:tcBorders>
            <w:shd w:val="clear" w:color="000000" w:fill="FFFFFF"/>
            <w:vAlign w:val="center"/>
            <w:hideMark/>
          </w:tcPr>
          <w:p w14:paraId="73988259"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$29,144,238</w:t>
            </w:r>
          </w:p>
        </w:tc>
      </w:tr>
      <w:tr w:rsidR="00F9012D" w:rsidRPr="00F9012D" w14:paraId="628155D2" w14:textId="77777777" w:rsidTr="00F9012D">
        <w:trPr>
          <w:trHeight w:val="449"/>
        </w:trPr>
        <w:tc>
          <w:tcPr>
            <w:tcW w:w="496" w:type="dxa"/>
            <w:tcBorders>
              <w:top w:val="nil"/>
              <w:left w:val="nil"/>
              <w:bottom w:val="nil"/>
              <w:right w:val="nil"/>
            </w:tcBorders>
            <w:shd w:val="clear" w:color="000000" w:fill="FFFFFF"/>
            <w:vAlign w:val="center"/>
            <w:hideMark/>
          </w:tcPr>
          <w:p w14:paraId="33FDF73A"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310234E7"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3CB44AA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6102</w:t>
            </w:r>
          </w:p>
        </w:tc>
        <w:tc>
          <w:tcPr>
            <w:tcW w:w="755" w:type="dxa"/>
            <w:tcBorders>
              <w:top w:val="nil"/>
              <w:left w:val="nil"/>
              <w:bottom w:val="nil"/>
              <w:right w:val="nil"/>
            </w:tcBorders>
            <w:shd w:val="clear" w:color="000000" w:fill="FFFFFF"/>
            <w:vAlign w:val="center"/>
            <w:hideMark/>
          </w:tcPr>
          <w:p w14:paraId="6BA190A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30368320"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INDEMNIZACIONES</w:t>
            </w:r>
          </w:p>
        </w:tc>
        <w:tc>
          <w:tcPr>
            <w:tcW w:w="1788" w:type="dxa"/>
            <w:tcBorders>
              <w:top w:val="nil"/>
              <w:left w:val="nil"/>
              <w:bottom w:val="nil"/>
              <w:right w:val="nil"/>
            </w:tcBorders>
            <w:shd w:val="clear" w:color="auto" w:fill="auto"/>
            <w:vAlign w:val="center"/>
            <w:hideMark/>
          </w:tcPr>
          <w:p w14:paraId="3651283C"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$3,666,763</w:t>
            </w:r>
          </w:p>
        </w:tc>
      </w:tr>
      <w:tr w:rsidR="00F9012D" w:rsidRPr="00F9012D" w14:paraId="5E8AD5D9" w14:textId="77777777" w:rsidTr="00F9012D">
        <w:trPr>
          <w:trHeight w:val="449"/>
        </w:trPr>
        <w:tc>
          <w:tcPr>
            <w:tcW w:w="496" w:type="dxa"/>
            <w:tcBorders>
              <w:top w:val="nil"/>
              <w:left w:val="nil"/>
              <w:bottom w:val="nil"/>
              <w:right w:val="nil"/>
            </w:tcBorders>
            <w:shd w:val="clear" w:color="000000" w:fill="FFFFFF"/>
            <w:vAlign w:val="center"/>
            <w:hideMark/>
          </w:tcPr>
          <w:p w14:paraId="16C632D5"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4C98CB2D"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1CB7673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6103</w:t>
            </w:r>
          </w:p>
        </w:tc>
        <w:tc>
          <w:tcPr>
            <w:tcW w:w="755" w:type="dxa"/>
            <w:tcBorders>
              <w:top w:val="nil"/>
              <w:left w:val="nil"/>
              <w:bottom w:val="nil"/>
              <w:right w:val="nil"/>
            </w:tcBorders>
            <w:shd w:val="clear" w:color="000000" w:fill="FFFFFF"/>
            <w:vAlign w:val="center"/>
            <w:hideMark/>
          </w:tcPr>
          <w:p w14:paraId="42FFC26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68D2F629"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REINTEGROS</w:t>
            </w:r>
          </w:p>
        </w:tc>
        <w:tc>
          <w:tcPr>
            <w:tcW w:w="1788" w:type="dxa"/>
            <w:tcBorders>
              <w:top w:val="nil"/>
              <w:left w:val="nil"/>
              <w:bottom w:val="nil"/>
              <w:right w:val="nil"/>
            </w:tcBorders>
            <w:shd w:val="clear" w:color="auto" w:fill="auto"/>
            <w:vAlign w:val="center"/>
            <w:hideMark/>
          </w:tcPr>
          <w:p w14:paraId="003A7AEF"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7949A538" w14:textId="77777777" w:rsidTr="00F9012D">
        <w:trPr>
          <w:trHeight w:val="449"/>
        </w:trPr>
        <w:tc>
          <w:tcPr>
            <w:tcW w:w="496" w:type="dxa"/>
            <w:tcBorders>
              <w:top w:val="nil"/>
              <w:left w:val="nil"/>
              <w:bottom w:val="nil"/>
              <w:right w:val="nil"/>
            </w:tcBorders>
            <w:shd w:val="clear" w:color="000000" w:fill="FFFFFF"/>
            <w:vAlign w:val="center"/>
            <w:hideMark/>
          </w:tcPr>
          <w:p w14:paraId="0F3ADA6D"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5FDA3B5F"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5224990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6104</w:t>
            </w:r>
          </w:p>
        </w:tc>
        <w:tc>
          <w:tcPr>
            <w:tcW w:w="755" w:type="dxa"/>
            <w:tcBorders>
              <w:top w:val="nil"/>
              <w:left w:val="nil"/>
              <w:bottom w:val="nil"/>
              <w:right w:val="nil"/>
            </w:tcBorders>
            <w:shd w:val="clear" w:color="000000" w:fill="FFFFFF"/>
            <w:vAlign w:val="center"/>
            <w:hideMark/>
          </w:tcPr>
          <w:p w14:paraId="61109D5A"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55717BC8"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APROVECHAMIENTOS PROVENIENTES DE OBRAS PÚBLICAS</w:t>
            </w:r>
          </w:p>
        </w:tc>
        <w:tc>
          <w:tcPr>
            <w:tcW w:w="1788" w:type="dxa"/>
            <w:tcBorders>
              <w:top w:val="nil"/>
              <w:left w:val="nil"/>
              <w:bottom w:val="nil"/>
              <w:right w:val="nil"/>
            </w:tcBorders>
            <w:shd w:val="clear" w:color="000000" w:fill="FFFFFF"/>
            <w:vAlign w:val="center"/>
            <w:hideMark/>
          </w:tcPr>
          <w:p w14:paraId="7DA68BAF"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10ECB4B6" w14:textId="77777777" w:rsidTr="00F9012D">
        <w:trPr>
          <w:trHeight w:val="449"/>
        </w:trPr>
        <w:tc>
          <w:tcPr>
            <w:tcW w:w="496" w:type="dxa"/>
            <w:tcBorders>
              <w:top w:val="nil"/>
              <w:left w:val="nil"/>
              <w:bottom w:val="nil"/>
              <w:right w:val="nil"/>
            </w:tcBorders>
            <w:shd w:val="clear" w:color="000000" w:fill="FFFFFF"/>
            <w:vAlign w:val="center"/>
            <w:hideMark/>
          </w:tcPr>
          <w:p w14:paraId="19543DB9"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4FD096BB"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10336A7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6105</w:t>
            </w:r>
          </w:p>
        </w:tc>
        <w:tc>
          <w:tcPr>
            <w:tcW w:w="755" w:type="dxa"/>
            <w:tcBorders>
              <w:top w:val="nil"/>
              <w:left w:val="nil"/>
              <w:bottom w:val="nil"/>
              <w:right w:val="nil"/>
            </w:tcBorders>
            <w:shd w:val="clear" w:color="000000" w:fill="FFFFFF"/>
            <w:vAlign w:val="center"/>
            <w:hideMark/>
          </w:tcPr>
          <w:p w14:paraId="1F8710B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1B9A42DC"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APROVECHAMIENTOS POR PARTICIPACIONES DERIVADAS DE LA APLICACIÓN DE LEYES</w:t>
            </w:r>
          </w:p>
        </w:tc>
        <w:tc>
          <w:tcPr>
            <w:tcW w:w="1788" w:type="dxa"/>
            <w:tcBorders>
              <w:top w:val="nil"/>
              <w:left w:val="nil"/>
              <w:bottom w:val="nil"/>
              <w:right w:val="nil"/>
            </w:tcBorders>
            <w:shd w:val="clear" w:color="000000" w:fill="FFFFFF"/>
            <w:vAlign w:val="center"/>
            <w:hideMark/>
          </w:tcPr>
          <w:p w14:paraId="0803B2BD"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56F1A196" w14:textId="77777777" w:rsidTr="00F9012D">
        <w:trPr>
          <w:trHeight w:val="449"/>
        </w:trPr>
        <w:tc>
          <w:tcPr>
            <w:tcW w:w="496" w:type="dxa"/>
            <w:tcBorders>
              <w:top w:val="nil"/>
              <w:left w:val="nil"/>
              <w:bottom w:val="nil"/>
              <w:right w:val="nil"/>
            </w:tcBorders>
            <w:shd w:val="clear" w:color="000000" w:fill="FFFFFF"/>
            <w:vAlign w:val="center"/>
            <w:hideMark/>
          </w:tcPr>
          <w:p w14:paraId="63DD587F"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3D98EAAF"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2E7020A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6106</w:t>
            </w:r>
          </w:p>
        </w:tc>
        <w:tc>
          <w:tcPr>
            <w:tcW w:w="755" w:type="dxa"/>
            <w:tcBorders>
              <w:top w:val="nil"/>
              <w:left w:val="nil"/>
              <w:bottom w:val="nil"/>
              <w:right w:val="nil"/>
            </w:tcBorders>
            <w:shd w:val="clear" w:color="000000" w:fill="FFFFFF"/>
            <w:vAlign w:val="center"/>
            <w:hideMark/>
          </w:tcPr>
          <w:p w14:paraId="1EA181C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34FCAAB3"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APROVECHAMIENTOS POR APORTACIONES Y COOPERACIONES</w:t>
            </w:r>
          </w:p>
        </w:tc>
        <w:tc>
          <w:tcPr>
            <w:tcW w:w="1788" w:type="dxa"/>
            <w:tcBorders>
              <w:top w:val="nil"/>
              <w:left w:val="nil"/>
              <w:bottom w:val="nil"/>
              <w:right w:val="nil"/>
            </w:tcBorders>
            <w:shd w:val="clear" w:color="000000" w:fill="FFFFFF"/>
            <w:vAlign w:val="center"/>
            <w:hideMark/>
          </w:tcPr>
          <w:p w14:paraId="5C2D7516"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0F754F57" w14:textId="77777777" w:rsidTr="00F9012D">
        <w:trPr>
          <w:trHeight w:val="449"/>
        </w:trPr>
        <w:tc>
          <w:tcPr>
            <w:tcW w:w="496" w:type="dxa"/>
            <w:tcBorders>
              <w:top w:val="nil"/>
              <w:left w:val="nil"/>
              <w:bottom w:val="nil"/>
              <w:right w:val="nil"/>
            </w:tcBorders>
            <w:shd w:val="clear" w:color="000000" w:fill="FFFFFF"/>
            <w:vAlign w:val="center"/>
            <w:hideMark/>
          </w:tcPr>
          <w:p w14:paraId="0ED0D41B"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FFFF"/>
            <w:vAlign w:val="center"/>
            <w:hideMark/>
          </w:tcPr>
          <w:p w14:paraId="7C65D6C3"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FFFF"/>
            <w:vAlign w:val="center"/>
            <w:hideMark/>
          </w:tcPr>
          <w:p w14:paraId="69ECF79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6107</w:t>
            </w:r>
          </w:p>
        </w:tc>
        <w:tc>
          <w:tcPr>
            <w:tcW w:w="755" w:type="dxa"/>
            <w:tcBorders>
              <w:top w:val="nil"/>
              <w:left w:val="nil"/>
              <w:bottom w:val="nil"/>
              <w:right w:val="nil"/>
            </w:tcBorders>
            <w:shd w:val="clear" w:color="000000" w:fill="FFFFFF"/>
            <w:vAlign w:val="center"/>
            <w:hideMark/>
          </w:tcPr>
          <w:p w14:paraId="42E251C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7F6788BE"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OTROS APROVECHAMIENTOS</w:t>
            </w:r>
          </w:p>
        </w:tc>
        <w:tc>
          <w:tcPr>
            <w:tcW w:w="1788" w:type="dxa"/>
            <w:tcBorders>
              <w:top w:val="nil"/>
              <w:left w:val="nil"/>
              <w:bottom w:val="nil"/>
              <w:right w:val="nil"/>
            </w:tcBorders>
            <w:shd w:val="clear" w:color="000000" w:fill="FFFFFF"/>
            <w:vAlign w:val="center"/>
            <w:hideMark/>
          </w:tcPr>
          <w:p w14:paraId="41F5D83C"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$32,960,000</w:t>
            </w:r>
          </w:p>
        </w:tc>
      </w:tr>
      <w:tr w:rsidR="00F9012D" w:rsidRPr="00F9012D" w14:paraId="12644F16" w14:textId="77777777" w:rsidTr="00F9012D">
        <w:trPr>
          <w:trHeight w:val="449"/>
        </w:trPr>
        <w:tc>
          <w:tcPr>
            <w:tcW w:w="496" w:type="dxa"/>
            <w:tcBorders>
              <w:top w:val="nil"/>
              <w:left w:val="nil"/>
              <w:bottom w:val="nil"/>
              <w:right w:val="nil"/>
            </w:tcBorders>
            <w:shd w:val="clear" w:color="000000" w:fill="FFFFFF"/>
            <w:vAlign w:val="center"/>
            <w:hideMark/>
          </w:tcPr>
          <w:p w14:paraId="22717268"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auto" w:fill="auto"/>
            <w:vAlign w:val="center"/>
            <w:hideMark/>
          </w:tcPr>
          <w:p w14:paraId="753EC34A"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62</w:t>
            </w:r>
          </w:p>
        </w:tc>
        <w:tc>
          <w:tcPr>
            <w:tcW w:w="622" w:type="dxa"/>
            <w:tcBorders>
              <w:top w:val="nil"/>
              <w:left w:val="nil"/>
              <w:bottom w:val="nil"/>
              <w:right w:val="nil"/>
            </w:tcBorders>
            <w:shd w:val="clear" w:color="auto" w:fill="auto"/>
            <w:vAlign w:val="center"/>
            <w:hideMark/>
          </w:tcPr>
          <w:p w14:paraId="03D6E0FA"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65818A4B"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35A35748"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APROVECHAMIENTOS PATRIMONIALES</w:t>
            </w:r>
          </w:p>
        </w:tc>
        <w:tc>
          <w:tcPr>
            <w:tcW w:w="1788" w:type="dxa"/>
            <w:tcBorders>
              <w:top w:val="nil"/>
              <w:left w:val="nil"/>
              <w:bottom w:val="nil"/>
              <w:right w:val="nil"/>
            </w:tcBorders>
            <w:shd w:val="clear" w:color="auto" w:fill="auto"/>
            <w:vAlign w:val="center"/>
            <w:hideMark/>
          </w:tcPr>
          <w:p w14:paraId="56583E8B"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$408,764</w:t>
            </w:r>
          </w:p>
        </w:tc>
      </w:tr>
      <w:tr w:rsidR="00F9012D" w:rsidRPr="00F9012D" w14:paraId="662E07E1" w14:textId="77777777" w:rsidTr="00F9012D">
        <w:trPr>
          <w:trHeight w:val="467"/>
        </w:trPr>
        <w:tc>
          <w:tcPr>
            <w:tcW w:w="496" w:type="dxa"/>
            <w:tcBorders>
              <w:top w:val="nil"/>
              <w:left w:val="nil"/>
              <w:bottom w:val="nil"/>
              <w:right w:val="nil"/>
            </w:tcBorders>
            <w:shd w:val="clear" w:color="000000" w:fill="FFFFFF"/>
            <w:vAlign w:val="center"/>
            <w:hideMark/>
          </w:tcPr>
          <w:p w14:paraId="2D3ACABF"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auto" w:fill="auto"/>
            <w:vAlign w:val="center"/>
            <w:hideMark/>
          </w:tcPr>
          <w:p w14:paraId="4380CD5D" w14:textId="77777777" w:rsidR="00F9012D" w:rsidRPr="00F9012D" w:rsidRDefault="00F9012D" w:rsidP="00F9012D">
            <w:pPr>
              <w:jc w:val="left"/>
              <w:rPr>
                <w:rFonts w:eastAsia="Times New Roman"/>
                <w:b/>
                <w:bCs/>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3F5349A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621</w:t>
            </w:r>
          </w:p>
        </w:tc>
        <w:tc>
          <w:tcPr>
            <w:tcW w:w="755" w:type="dxa"/>
            <w:tcBorders>
              <w:top w:val="nil"/>
              <w:left w:val="nil"/>
              <w:bottom w:val="nil"/>
              <w:right w:val="nil"/>
            </w:tcBorders>
            <w:shd w:val="clear" w:color="auto" w:fill="auto"/>
            <w:vAlign w:val="center"/>
            <w:hideMark/>
          </w:tcPr>
          <w:p w14:paraId="793DF9A3"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599EDE38"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PRODUCTOS DERIVADOS DEL USO Y APROVECHAMIENTO DE BIENES NO SUJETOS A REGIMEN DE DOMINIO PÚBLICO</w:t>
            </w:r>
          </w:p>
        </w:tc>
        <w:tc>
          <w:tcPr>
            <w:tcW w:w="1788" w:type="dxa"/>
            <w:tcBorders>
              <w:top w:val="nil"/>
              <w:left w:val="nil"/>
              <w:bottom w:val="nil"/>
              <w:right w:val="nil"/>
            </w:tcBorders>
            <w:shd w:val="clear" w:color="auto" w:fill="auto"/>
            <w:vAlign w:val="center"/>
            <w:hideMark/>
          </w:tcPr>
          <w:p w14:paraId="3EBFFBDC"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$408,764</w:t>
            </w:r>
          </w:p>
        </w:tc>
      </w:tr>
      <w:tr w:rsidR="00F9012D" w:rsidRPr="00F9012D" w14:paraId="65439618" w14:textId="77777777" w:rsidTr="00F9012D">
        <w:trPr>
          <w:trHeight w:val="452"/>
        </w:trPr>
        <w:tc>
          <w:tcPr>
            <w:tcW w:w="496" w:type="dxa"/>
            <w:tcBorders>
              <w:top w:val="nil"/>
              <w:left w:val="nil"/>
              <w:bottom w:val="nil"/>
              <w:right w:val="nil"/>
            </w:tcBorders>
            <w:shd w:val="clear" w:color="000000" w:fill="FFFFFF"/>
            <w:vAlign w:val="center"/>
            <w:hideMark/>
          </w:tcPr>
          <w:p w14:paraId="0EF11E3B"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auto" w:fill="auto"/>
            <w:vAlign w:val="center"/>
            <w:hideMark/>
          </w:tcPr>
          <w:p w14:paraId="53216897"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63</w:t>
            </w:r>
          </w:p>
        </w:tc>
        <w:tc>
          <w:tcPr>
            <w:tcW w:w="622" w:type="dxa"/>
            <w:tcBorders>
              <w:top w:val="nil"/>
              <w:left w:val="nil"/>
              <w:bottom w:val="nil"/>
              <w:right w:val="nil"/>
            </w:tcBorders>
            <w:shd w:val="clear" w:color="auto" w:fill="auto"/>
            <w:vAlign w:val="center"/>
            <w:hideMark/>
          </w:tcPr>
          <w:p w14:paraId="43B65AAC"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45C14EF4"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23FEB1A5"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ACCESORIOS DE APROVECHAMIENTOS</w:t>
            </w:r>
          </w:p>
        </w:tc>
        <w:tc>
          <w:tcPr>
            <w:tcW w:w="1788" w:type="dxa"/>
            <w:tcBorders>
              <w:top w:val="nil"/>
              <w:left w:val="nil"/>
              <w:bottom w:val="nil"/>
              <w:right w:val="nil"/>
            </w:tcBorders>
            <w:shd w:val="clear" w:color="auto" w:fill="auto"/>
            <w:vAlign w:val="center"/>
            <w:hideMark/>
          </w:tcPr>
          <w:p w14:paraId="7CF1D9F5"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$1,413,079</w:t>
            </w:r>
          </w:p>
        </w:tc>
      </w:tr>
      <w:tr w:rsidR="00F9012D" w:rsidRPr="00F9012D" w14:paraId="4768FE39" w14:textId="77777777" w:rsidTr="00F9012D">
        <w:trPr>
          <w:trHeight w:val="758"/>
        </w:trPr>
        <w:tc>
          <w:tcPr>
            <w:tcW w:w="496" w:type="dxa"/>
            <w:tcBorders>
              <w:top w:val="nil"/>
              <w:left w:val="nil"/>
              <w:bottom w:val="nil"/>
              <w:right w:val="nil"/>
            </w:tcBorders>
            <w:shd w:val="clear" w:color="000000" w:fill="FFFFFF"/>
            <w:vAlign w:val="center"/>
            <w:hideMark/>
          </w:tcPr>
          <w:p w14:paraId="6CE20DED"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auto" w:fill="auto"/>
            <w:vAlign w:val="center"/>
            <w:hideMark/>
          </w:tcPr>
          <w:p w14:paraId="373D3CED"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69</w:t>
            </w:r>
          </w:p>
        </w:tc>
        <w:tc>
          <w:tcPr>
            <w:tcW w:w="622" w:type="dxa"/>
            <w:tcBorders>
              <w:top w:val="nil"/>
              <w:left w:val="nil"/>
              <w:bottom w:val="nil"/>
              <w:right w:val="nil"/>
            </w:tcBorders>
            <w:shd w:val="clear" w:color="auto" w:fill="auto"/>
            <w:vAlign w:val="center"/>
            <w:hideMark/>
          </w:tcPr>
          <w:p w14:paraId="4357254B"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013E75E2"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543D0517"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APROVECHAMIENTOS NO COMPRENDIDOS EN LA LEY DE INGRESOS VIGENTE, CAUSADOS EN EJERCICIOS FISCALES ANTERIORES PENDIENTES DE LIQUIDACIÓN O PAGO</w:t>
            </w:r>
          </w:p>
        </w:tc>
        <w:tc>
          <w:tcPr>
            <w:tcW w:w="1788" w:type="dxa"/>
            <w:tcBorders>
              <w:top w:val="nil"/>
              <w:left w:val="nil"/>
              <w:bottom w:val="nil"/>
              <w:right w:val="nil"/>
            </w:tcBorders>
            <w:shd w:val="clear" w:color="auto" w:fill="auto"/>
            <w:vAlign w:val="center"/>
            <w:hideMark/>
          </w:tcPr>
          <w:p w14:paraId="43F920B8"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6826DA9A" w14:textId="77777777" w:rsidTr="00F9012D">
        <w:trPr>
          <w:trHeight w:val="452"/>
        </w:trPr>
        <w:tc>
          <w:tcPr>
            <w:tcW w:w="496" w:type="dxa"/>
            <w:tcBorders>
              <w:top w:val="nil"/>
              <w:left w:val="nil"/>
              <w:bottom w:val="nil"/>
              <w:right w:val="nil"/>
            </w:tcBorders>
            <w:shd w:val="clear" w:color="000000" w:fill="FFC000"/>
            <w:vAlign w:val="center"/>
            <w:hideMark/>
          </w:tcPr>
          <w:p w14:paraId="21EDA035"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7</w:t>
            </w:r>
          </w:p>
        </w:tc>
        <w:tc>
          <w:tcPr>
            <w:tcW w:w="359" w:type="dxa"/>
            <w:tcBorders>
              <w:top w:val="nil"/>
              <w:left w:val="nil"/>
              <w:bottom w:val="nil"/>
              <w:right w:val="nil"/>
            </w:tcBorders>
            <w:shd w:val="clear" w:color="000000" w:fill="FFC000"/>
            <w:vAlign w:val="center"/>
            <w:hideMark/>
          </w:tcPr>
          <w:p w14:paraId="3427E061"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C000"/>
            <w:vAlign w:val="center"/>
            <w:hideMark/>
          </w:tcPr>
          <w:p w14:paraId="78D7BBE2"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C000"/>
            <w:vAlign w:val="center"/>
            <w:hideMark/>
          </w:tcPr>
          <w:p w14:paraId="074FB45B"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C000"/>
            <w:vAlign w:val="center"/>
            <w:hideMark/>
          </w:tcPr>
          <w:p w14:paraId="17C6C613"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INGRESOS POR VENTA DE BIENES Y SERVICIOS</w:t>
            </w:r>
          </w:p>
        </w:tc>
        <w:tc>
          <w:tcPr>
            <w:tcW w:w="1788" w:type="dxa"/>
            <w:tcBorders>
              <w:top w:val="nil"/>
              <w:left w:val="nil"/>
              <w:bottom w:val="nil"/>
              <w:right w:val="nil"/>
            </w:tcBorders>
            <w:shd w:val="clear" w:color="000000" w:fill="FFC000"/>
            <w:vAlign w:val="center"/>
            <w:hideMark/>
          </w:tcPr>
          <w:p w14:paraId="3FA99787"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350B2CAD" w14:textId="77777777" w:rsidTr="00F9012D">
        <w:trPr>
          <w:trHeight w:val="467"/>
        </w:trPr>
        <w:tc>
          <w:tcPr>
            <w:tcW w:w="496" w:type="dxa"/>
            <w:tcBorders>
              <w:top w:val="nil"/>
              <w:left w:val="nil"/>
              <w:bottom w:val="nil"/>
              <w:right w:val="nil"/>
            </w:tcBorders>
            <w:shd w:val="clear" w:color="auto" w:fill="auto"/>
            <w:vAlign w:val="center"/>
            <w:hideMark/>
          </w:tcPr>
          <w:p w14:paraId="359D2781" w14:textId="77777777" w:rsidR="00F9012D" w:rsidRPr="00F9012D" w:rsidRDefault="00F9012D" w:rsidP="00F9012D">
            <w:pPr>
              <w:jc w:val="left"/>
              <w:rPr>
                <w:rFonts w:eastAsia="Times New Roman"/>
                <w:b/>
                <w:bCs/>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6901465E"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71</w:t>
            </w:r>
          </w:p>
        </w:tc>
        <w:tc>
          <w:tcPr>
            <w:tcW w:w="622" w:type="dxa"/>
            <w:tcBorders>
              <w:top w:val="nil"/>
              <w:left w:val="nil"/>
              <w:bottom w:val="nil"/>
              <w:right w:val="nil"/>
            </w:tcBorders>
            <w:shd w:val="clear" w:color="auto" w:fill="auto"/>
            <w:vAlign w:val="center"/>
            <w:hideMark/>
          </w:tcPr>
          <w:p w14:paraId="70F5816D"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1573276A"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7DBBC7E0"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INGRESOS POR VENTA DE BIENES Y PRESTACIÓN DE SERVICIOS DE INSTITUCIONES PÚBLICAS DE SEGURIDAD SOCIAL</w:t>
            </w:r>
          </w:p>
        </w:tc>
        <w:tc>
          <w:tcPr>
            <w:tcW w:w="1788" w:type="dxa"/>
            <w:tcBorders>
              <w:top w:val="nil"/>
              <w:left w:val="nil"/>
              <w:bottom w:val="nil"/>
              <w:right w:val="nil"/>
            </w:tcBorders>
            <w:shd w:val="clear" w:color="auto" w:fill="auto"/>
            <w:vAlign w:val="center"/>
            <w:hideMark/>
          </w:tcPr>
          <w:p w14:paraId="27EFC953"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1432AB8A" w14:textId="77777777" w:rsidTr="00F9012D">
        <w:trPr>
          <w:trHeight w:val="467"/>
        </w:trPr>
        <w:tc>
          <w:tcPr>
            <w:tcW w:w="496" w:type="dxa"/>
            <w:tcBorders>
              <w:top w:val="nil"/>
              <w:left w:val="nil"/>
              <w:bottom w:val="nil"/>
              <w:right w:val="nil"/>
            </w:tcBorders>
            <w:shd w:val="clear" w:color="000000" w:fill="FFFFFF"/>
            <w:vAlign w:val="center"/>
            <w:hideMark/>
          </w:tcPr>
          <w:p w14:paraId="08BDB32E"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auto" w:fill="auto"/>
            <w:vAlign w:val="center"/>
            <w:hideMark/>
          </w:tcPr>
          <w:p w14:paraId="708FA661"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72</w:t>
            </w:r>
          </w:p>
        </w:tc>
        <w:tc>
          <w:tcPr>
            <w:tcW w:w="622" w:type="dxa"/>
            <w:tcBorders>
              <w:top w:val="nil"/>
              <w:left w:val="nil"/>
              <w:bottom w:val="nil"/>
              <w:right w:val="nil"/>
            </w:tcBorders>
            <w:shd w:val="clear" w:color="auto" w:fill="auto"/>
            <w:vAlign w:val="center"/>
            <w:hideMark/>
          </w:tcPr>
          <w:p w14:paraId="51EEB9B1"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4E56AF10"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6E86EB00"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INGRESOS POR VENTA DE BIENES Y PRESTACIÓN DE SERVICIOS DE EMPRESAS PRODUCTIVAS DEL ESTADO</w:t>
            </w:r>
          </w:p>
        </w:tc>
        <w:tc>
          <w:tcPr>
            <w:tcW w:w="1788" w:type="dxa"/>
            <w:tcBorders>
              <w:top w:val="nil"/>
              <w:left w:val="nil"/>
              <w:bottom w:val="nil"/>
              <w:right w:val="nil"/>
            </w:tcBorders>
            <w:shd w:val="clear" w:color="auto" w:fill="auto"/>
            <w:vAlign w:val="center"/>
            <w:hideMark/>
          </w:tcPr>
          <w:p w14:paraId="48F2584F"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442E7305" w14:textId="77777777" w:rsidTr="00F9012D">
        <w:trPr>
          <w:trHeight w:val="701"/>
        </w:trPr>
        <w:tc>
          <w:tcPr>
            <w:tcW w:w="496" w:type="dxa"/>
            <w:tcBorders>
              <w:top w:val="nil"/>
              <w:left w:val="nil"/>
              <w:bottom w:val="nil"/>
              <w:right w:val="nil"/>
            </w:tcBorders>
            <w:shd w:val="clear" w:color="000000" w:fill="FFFFFF"/>
            <w:vAlign w:val="center"/>
            <w:hideMark/>
          </w:tcPr>
          <w:p w14:paraId="76EB82A1"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auto" w:fill="auto"/>
            <w:vAlign w:val="center"/>
            <w:hideMark/>
          </w:tcPr>
          <w:p w14:paraId="43FF4EDA"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73</w:t>
            </w:r>
          </w:p>
        </w:tc>
        <w:tc>
          <w:tcPr>
            <w:tcW w:w="622" w:type="dxa"/>
            <w:tcBorders>
              <w:top w:val="nil"/>
              <w:left w:val="nil"/>
              <w:bottom w:val="nil"/>
              <w:right w:val="nil"/>
            </w:tcBorders>
            <w:shd w:val="clear" w:color="auto" w:fill="auto"/>
            <w:vAlign w:val="center"/>
            <w:hideMark/>
          </w:tcPr>
          <w:p w14:paraId="3480DE7B"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4EE3F3FE"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1A1432EA"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INGRESOS POR VENTA DE BIENES Y PRESTACIÓN DE SERVICIOS DE ENTIDADES PARAESTATALES Y FIDEICOMISOS NO EMPRESARIALES Y NO FINANCIEROS</w:t>
            </w:r>
          </w:p>
        </w:tc>
        <w:tc>
          <w:tcPr>
            <w:tcW w:w="1788" w:type="dxa"/>
            <w:tcBorders>
              <w:top w:val="nil"/>
              <w:left w:val="nil"/>
              <w:bottom w:val="nil"/>
              <w:right w:val="nil"/>
            </w:tcBorders>
            <w:shd w:val="clear" w:color="auto" w:fill="auto"/>
            <w:vAlign w:val="center"/>
            <w:hideMark/>
          </w:tcPr>
          <w:p w14:paraId="13F1F41B"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2ABDB353" w14:textId="77777777" w:rsidTr="00F9012D">
        <w:trPr>
          <w:trHeight w:val="701"/>
        </w:trPr>
        <w:tc>
          <w:tcPr>
            <w:tcW w:w="496" w:type="dxa"/>
            <w:tcBorders>
              <w:top w:val="nil"/>
              <w:left w:val="nil"/>
              <w:bottom w:val="nil"/>
              <w:right w:val="nil"/>
            </w:tcBorders>
            <w:shd w:val="clear" w:color="000000" w:fill="FFFFFF"/>
            <w:vAlign w:val="center"/>
            <w:hideMark/>
          </w:tcPr>
          <w:p w14:paraId="44FF5E08"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auto" w:fill="auto"/>
            <w:vAlign w:val="center"/>
            <w:hideMark/>
          </w:tcPr>
          <w:p w14:paraId="13C7433C"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74</w:t>
            </w:r>
          </w:p>
        </w:tc>
        <w:tc>
          <w:tcPr>
            <w:tcW w:w="622" w:type="dxa"/>
            <w:tcBorders>
              <w:top w:val="nil"/>
              <w:left w:val="nil"/>
              <w:bottom w:val="nil"/>
              <w:right w:val="nil"/>
            </w:tcBorders>
            <w:shd w:val="clear" w:color="auto" w:fill="auto"/>
            <w:vAlign w:val="center"/>
            <w:hideMark/>
          </w:tcPr>
          <w:p w14:paraId="5E6AFE9B"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49B667C9"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75B85DF0"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INGRESOS POR VENTA DE BIENES Y PRESTACIÓN DE SERVICIOS DE ENTIDADES PARAESTATALES EMPRESARIALES NO FINANCIERAS CON PARTICIPACIÓN ESTATAL MAYORITARIA</w:t>
            </w:r>
          </w:p>
        </w:tc>
        <w:tc>
          <w:tcPr>
            <w:tcW w:w="1788" w:type="dxa"/>
            <w:tcBorders>
              <w:top w:val="nil"/>
              <w:left w:val="nil"/>
              <w:bottom w:val="nil"/>
              <w:right w:val="nil"/>
            </w:tcBorders>
            <w:shd w:val="clear" w:color="auto" w:fill="auto"/>
            <w:vAlign w:val="center"/>
            <w:hideMark/>
          </w:tcPr>
          <w:p w14:paraId="3CF8AAD0"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0A214A78" w14:textId="77777777" w:rsidTr="00F9012D">
        <w:trPr>
          <w:trHeight w:val="701"/>
        </w:trPr>
        <w:tc>
          <w:tcPr>
            <w:tcW w:w="496" w:type="dxa"/>
            <w:tcBorders>
              <w:top w:val="nil"/>
              <w:left w:val="nil"/>
              <w:bottom w:val="nil"/>
              <w:right w:val="nil"/>
            </w:tcBorders>
            <w:shd w:val="clear" w:color="000000" w:fill="FFFFFF"/>
            <w:vAlign w:val="center"/>
            <w:hideMark/>
          </w:tcPr>
          <w:p w14:paraId="4A952EC0"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auto" w:fill="auto"/>
            <w:vAlign w:val="center"/>
            <w:hideMark/>
          </w:tcPr>
          <w:p w14:paraId="582F4D0C"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75</w:t>
            </w:r>
          </w:p>
        </w:tc>
        <w:tc>
          <w:tcPr>
            <w:tcW w:w="622" w:type="dxa"/>
            <w:tcBorders>
              <w:top w:val="nil"/>
              <w:left w:val="nil"/>
              <w:bottom w:val="nil"/>
              <w:right w:val="nil"/>
            </w:tcBorders>
            <w:shd w:val="clear" w:color="auto" w:fill="auto"/>
            <w:vAlign w:val="center"/>
            <w:hideMark/>
          </w:tcPr>
          <w:p w14:paraId="29ABA246"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387D13E6"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3171286F"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INGRESOS POR VENTA DE BIENES Y PRESTACIÓN DE SERVICIOS DE ENTIDADES PARAESTATALES EMPRESARIALES FINANCIERAS MONETARIAS CON PARTICIPACIÓN ESTATAL MAYORITARIA</w:t>
            </w:r>
          </w:p>
        </w:tc>
        <w:tc>
          <w:tcPr>
            <w:tcW w:w="1788" w:type="dxa"/>
            <w:tcBorders>
              <w:top w:val="nil"/>
              <w:left w:val="nil"/>
              <w:bottom w:val="nil"/>
              <w:right w:val="nil"/>
            </w:tcBorders>
            <w:shd w:val="clear" w:color="auto" w:fill="auto"/>
            <w:vAlign w:val="center"/>
            <w:hideMark/>
          </w:tcPr>
          <w:p w14:paraId="5D2907E8"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6B18B4BA" w14:textId="77777777" w:rsidTr="00F9012D">
        <w:trPr>
          <w:trHeight w:val="701"/>
        </w:trPr>
        <w:tc>
          <w:tcPr>
            <w:tcW w:w="496" w:type="dxa"/>
            <w:tcBorders>
              <w:top w:val="nil"/>
              <w:left w:val="nil"/>
              <w:bottom w:val="nil"/>
              <w:right w:val="nil"/>
            </w:tcBorders>
            <w:shd w:val="clear" w:color="000000" w:fill="FFFFFF"/>
            <w:vAlign w:val="center"/>
            <w:hideMark/>
          </w:tcPr>
          <w:p w14:paraId="3A328262"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auto" w:fill="auto"/>
            <w:vAlign w:val="center"/>
            <w:hideMark/>
          </w:tcPr>
          <w:p w14:paraId="3EC0CA8F"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76</w:t>
            </w:r>
          </w:p>
        </w:tc>
        <w:tc>
          <w:tcPr>
            <w:tcW w:w="622" w:type="dxa"/>
            <w:tcBorders>
              <w:top w:val="nil"/>
              <w:left w:val="nil"/>
              <w:bottom w:val="nil"/>
              <w:right w:val="nil"/>
            </w:tcBorders>
            <w:shd w:val="clear" w:color="auto" w:fill="auto"/>
            <w:vAlign w:val="center"/>
            <w:hideMark/>
          </w:tcPr>
          <w:p w14:paraId="0527AB71"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5DE8B935"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44161812"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 xml:space="preserve">INGRESOS POR VENTA DE BIENES Y PRESTACIÓN DE SERVICIOS DE ENTIDADES PARAESTATALES EMPRESARIALES </w:t>
            </w:r>
            <w:r w:rsidRPr="00F9012D">
              <w:rPr>
                <w:rFonts w:eastAsia="Times New Roman"/>
                <w:b/>
                <w:bCs/>
                <w:color w:val="000000"/>
                <w:sz w:val="18"/>
                <w:szCs w:val="18"/>
                <w:lang w:val="es-MX" w:eastAsia="es-MX"/>
              </w:rPr>
              <w:lastRenderedPageBreak/>
              <w:t>FINANCIERAS NO MONETARIAS CON PARTICIPACIÓN ESTATAL MAYORITARIA</w:t>
            </w:r>
          </w:p>
        </w:tc>
        <w:tc>
          <w:tcPr>
            <w:tcW w:w="1788" w:type="dxa"/>
            <w:tcBorders>
              <w:top w:val="nil"/>
              <w:left w:val="nil"/>
              <w:bottom w:val="nil"/>
              <w:right w:val="nil"/>
            </w:tcBorders>
            <w:shd w:val="clear" w:color="auto" w:fill="auto"/>
            <w:vAlign w:val="center"/>
            <w:hideMark/>
          </w:tcPr>
          <w:p w14:paraId="1EA64102"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lastRenderedPageBreak/>
              <w:t>$0</w:t>
            </w:r>
          </w:p>
        </w:tc>
      </w:tr>
      <w:tr w:rsidR="00F9012D" w:rsidRPr="00F9012D" w14:paraId="3AB2389A" w14:textId="77777777" w:rsidTr="00F9012D">
        <w:trPr>
          <w:trHeight w:val="701"/>
        </w:trPr>
        <w:tc>
          <w:tcPr>
            <w:tcW w:w="496" w:type="dxa"/>
            <w:tcBorders>
              <w:top w:val="nil"/>
              <w:left w:val="nil"/>
              <w:bottom w:val="nil"/>
              <w:right w:val="nil"/>
            </w:tcBorders>
            <w:shd w:val="clear" w:color="000000" w:fill="FFFFFF"/>
            <w:vAlign w:val="center"/>
            <w:hideMark/>
          </w:tcPr>
          <w:p w14:paraId="2DDA3CF5"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lastRenderedPageBreak/>
              <w:t> </w:t>
            </w:r>
          </w:p>
        </w:tc>
        <w:tc>
          <w:tcPr>
            <w:tcW w:w="359" w:type="dxa"/>
            <w:tcBorders>
              <w:top w:val="nil"/>
              <w:left w:val="nil"/>
              <w:bottom w:val="nil"/>
              <w:right w:val="nil"/>
            </w:tcBorders>
            <w:shd w:val="clear" w:color="auto" w:fill="auto"/>
            <w:vAlign w:val="center"/>
            <w:hideMark/>
          </w:tcPr>
          <w:p w14:paraId="2861405F"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77</w:t>
            </w:r>
          </w:p>
        </w:tc>
        <w:tc>
          <w:tcPr>
            <w:tcW w:w="622" w:type="dxa"/>
            <w:tcBorders>
              <w:top w:val="nil"/>
              <w:left w:val="nil"/>
              <w:bottom w:val="nil"/>
              <w:right w:val="nil"/>
            </w:tcBorders>
            <w:shd w:val="clear" w:color="auto" w:fill="auto"/>
            <w:vAlign w:val="center"/>
            <w:hideMark/>
          </w:tcPr>
          <w:p w14:paraId="35EF4D49"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3874BC04"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715DBEC4"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INGRESOS POR VENTA DE BIENES Y PRESTACIÓN DE SERVICIOS DE FIDEICOMISOS FINANCIEROS PÚBLICOS CON PARTICIPACIÓN ESTATAL MAYORITARIA</w:t>
            </w:r>
          </w:p>
        </w:tc>
        <w:tc>
          <w:tcPr>
            <w:tcW w:w="1788" w:type="dxa"/>
            <w:tcBorders>
              <w:top w:val="nil"/>
              <w:left w:val="nil"/>
              <w:bottom w:val="nil"/>
              <w:right w:val="nil"/>
            </w:tcBorders>
            <w:shd w:val="clear" w:color="auto" w:fill="auto"/>
            <w:vAlign w:val="center"/>
            <w:hideMark/>
          </w:tcPr>
          <w:p w14:paraId="346C52D3"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65FF59F7" w14:textId="77777777" w:rsidTr="00F9012D">
        <w:trPr>
          <w:trHeight w:val="701"/>
        </w:trPr>
        <w:tc>
          <w:tcPr>
            <w:tcW w:w="496" w:type="dxa"/>
            <w:tcBorders>
              <w:top w:val="nil"/>
              <w:left w:val="nil"/>
              <w:bottom w:val="nil"/>
              <w:right w:val="nil"/>
            </w:tcBorders>
            <w:shd w:val="clear" w:color="000000" w:fill="FFFFFF"/>
            <w:vAlign w:val="center"/>
            <w:hideMark/>
          </w:tcPr>
          <w:p w14:paraId="62323E84"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auto" w:fill="auto"/>
            <w:vAlign w:val="center"/>
            <w:hideMark/>
          </w:tcPr>
          <w:p w14:paraId="3C952E3D"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78</w:t>
            </w:r>
          </w:p>
        </w:tc>
        <w:tc>
          <w:tcPr>
            <w:tcW w:w="622" w:type="dxa"/>
            <w:tcBorders>
              <w:top w:val="nil"/>
              <w:left w:val="nil"/>
              <w:bottom w:val="nil"/>
              <w:right w:val="nil"/>
            </w:tcBorders>
            <w:shd w:val="clear" w:color="auto" w:fill="auto"/>
            <w:vAlign w:val="center"/>
            <w:hideMark/>
          </w:tcPr>
          <w:p w14:paraId="421B9D4C"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386E3CDC"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78218C00"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INGRESOS POR VENTA DE BIENES Y PRESTACIÓN DE SERVICIOS DE LOS PODERES LEGISLATIVO Y JUDICIAL, Y DE LOS ÓRGANOS AUTÓNOMOS</w:t>
            </w:r>
          </w:p>
        </w:tc>
        <w:tc>
          <w:tcPr>
            <w:tcW w:w="1788" w:type="dxa"/>
            <w:tcBorders>
              <w:top w:val="nil"/>
              <w:left w:val="nil"/>
              <w:bottom w:val="nil"/>
              <w:right w:val="nil"/>
            </w:tcBorders>
            <w:shd w:val="clear" w:color="auto" w:fill="auto"/>
            <w:vAlign w:val="center"/>
            <w:hideMark/>
          </w:tcPr>
          <w:p w14:paraId="3A04D22A"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57AEEF08" w14:textId="77777777" w:rsidTr="00F9012D">
        <w:trPr>
          <w:trHeight w:val="452"/>
        </w:trPr>
        <w:tc>
          <w:tcPr>
            <w:tcW w:w="496" w:type="dxa"/>
            <w:tcBorders>
              <w:top w:val="nil"/>
              <w:left w:val="nil"/>
              <w:bottom w:val="nil"/>
              <w:right w:val="nil"/>
            </w:tcBorders>
            <w:shd w:val="clear" w:color="000000" w:fill="FFFFFF"/>
            <w:vAlign w:val="center"/>
            <w:hideMark/>
          </w:tcPr>
          <w:p w14:paraId="102B483A"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auto" w:fill="auto"/>
            <w:vAlign w:val="center"/>
            <w:hideMark/>
          </w:tcPr>
          <w:p w14:paraId="677E9755"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79</w:t>
            </w:r>
          </w:p>
        </w:tc>
        <w:tc>
          <w:tcPr>
            <w:tcW w:w="622" w:type="dxa"/>
            <w:tcBorders>
              <w:top w:val="nil"/>
              <w:left w:val="nil"/>
              <w:bottom w:val="nil"/>
              <w:right w:val="nil"/>
            </w:tcBorders>
            <w:shd w:val="clear" w:color="auto" w:fill="auto"/>
            <w:vAlign w:val="center"/>
            <w:hideMark/>
          </w:tcPr>
          <w:p w14:paraId="7E8095E8"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2603D30E"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7BC4779B"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OTROS INGRESOS</w:t>
            </w:r>
          </w:p>
        </w:tc>
        <w:tc>
          <w:tcPr>
            <w:tcW w:w="1788" w:type="dxa"/>
            <w:tcBorders>
              <w:top w:val="nil"/>
              <w:left w:val="nil"/>
              <w:bottom w:val="nil"/>
              <w:right w:val="nil"/>
            </w:tcBorders>
            <w:shd w:val="clear" w:color="auto" w:fill="auto"/>
            <w:vAlign w:val="center"/>
            <w:hideMark/>
          </w:tcPr>
          <w:p w14:paraId="3B2D6600"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0BD63B08" w14:textId="77777777" w:rsidTr="00F9012D">
        <w:trPr>
          <w:trHeight w:val="449"/>
        </w:trPr>
        <w:tc>
          <w:tcPr>
            <w:tcW w:w="496" w:type="dxa"/>
            <w:tcBorders>
              <w:top w:val="nil"/>
              <w:left w:val="nil"/>
              <w:bottom w:val="nil"/>
              <w:right w:val="nil"/>
            </w:tcBorders>
            <w:shd w:val="clear" w:color="000000" w:fill="FFC000"/>
            <w:vAlign w:val="center"/>
            <w:hideMark/>
          </w:tcPr>
          <w:p w14:paraId="6D14E85C"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C000"/>
            <w:vAlign w:val="center"/>
            <w:hideMark/>
          </w:tcPr>
          <w:p w14:paraId="5623052F"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C000"/>
            <w:vAlign w:val="center"/>
            <w:hideMark/>
          </w:tcPr>
          <w:p w14:paraId="188ACE58"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C000"/>
            <w:vAlign w:val="center"/>
            <w:hideMark/>
          </w:tcPr>
          <w:p w14:paraId="201AB986"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C000"/>
            <w:vAlign w:val="center"/>
            <w:hideMark/>
          </w:tcPr>
          <w:p w14:paraId="3C4BFBF5"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TOTAL INGRESOS ESTATALES</w:t>
            </w:r>
          </w:p>
        </w:tc>
        <w:tc>
          <w:tcPr>
            <w:tcW w:w="1788" w:type="dxa"/>
            <w:tcBorders>
              <w:top w:val="nil"/>
              <w:left w:val="nil"/>
              <w:bottom w:val="nil"/>
              <w:right w:val="nil"/>
            </w:tcBorders>
            <w:shd w:val="clear" w:color="000000" w:fill="FFC000"/>
            <w:vAlign w:val="center"/>
            <w:hideMark/>
          </w:tcPr>
          <w:p w14:paraId="4A0DBB46"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$2,800,954,383</w:t>
            </w:r>
          </w:p>
        </w:tc>
      </w:tr>
      <w:tr w:rsidR="00F9012D" w:rsidRPr="00F9012D" w14:paraId="2683F51B" w14:textId="77777777" w:rsidTr="00F9012D">
        <w:trPr>
          <w:trHeight w:val="758"/>
        </w:trPr>
        <w:tc>
          <w:tcPr>
            <w:tcW w:w="496" w:type="dxa"/>
            <w:tcBorders>
              <w:top w:val="nil"/>
              <w:left w:val="nil"/>
              <w:bottom w:val="nil"/>
              <w:right w:val="nil"/>
            </w:tcBorders>
            <w:shd w:val="clear" w:color="000000" w:fill="FFC000"/>
            <w:vAlign w:val="center"/>
            <w:hideMark/>
          </w:tcPr>
          <w:p w14:paraId="34A36A23" w14:textId="77777777" w:rsidR="00F9012D" w:rsidRPr="00F9012D" w:rsidRDefault="00F9012D" w:rsidP="00F9012D">
            <w:pPr>
              <w:jc w:val="left"/>
              <w:rPr>
                <w:rFonts w:eastAsia="Times New Roman"/>
                <w:b/>
                <w:bCs/>
                <w:sz w:val="18"/>
                <w:szCs w:val="18"/>
                <w:lang w:val="es-MX" w:eastAsia="es-MX"/>
              </w:rPr>
            </w:pPr>
            <w:r w:rsidRPr="00F9012D">
              <w:rPr>
                <w:rFonts w:eastAsia="Times New Roman"/>
                <w:b/>
                <w:bCs/>
                <w:sz w:val="18"/>
                <w:szCs w:val="18"/>
                <w:lang w:val="es-MX" w:eastAsia="es-MX"/>
              </w:rPr>
              <w:t>8</w:t>
            </w:r>
          </w:p>
        </w:tc>
        <w:tc>
          <w:tcPr>
            <w:tcW w:w="359" w:type="dxa"/>
            <w:tcBorders>
              <w:top w:val="nil"/>
              <w:left w:val="nil"/>
              <w:bottom w:val="nil"/>
              <w:right w:val="nil"/>
            </w:tcBorders>
            <w:shd w:val="clear" w:color="000000" w:fill="FFC000"/>
            <w:vAlign w:val="center"/>
            <w:hideMark/>
          </w:tcPr>
          <w:p w14:paraId="7C2B9E72" w14:textId="77777777" w:rsidR="00F9012D" w:rsidRPr="00F9012D" w:rsidRDefault="00F9012D" w:rsidP="00F9012D">
            <w:pPr>
              <w:jc w:val="left"/>
              <w:rPr>
                <w:rFonts w:eastAsia="Times New Roman"/>
                <w:b/>
                <w:bCs/>
                <w:sz w:val="18"/>
                <w:szCs w:val="18"/>
                <w:lang w:val="es-MX" w:eastAsia="es-MX"/>
              </w:rPr>
            </w:pPr>
            <w:r w:rsidRPr="00F9012D">
              <w:rPr>
                <w:rFonts w:eastAsia="Times New Roman"/>
                <w:b/>
                <w:bCs/>
                <w:sz w:val="18"/>
                <w:szCs w:val="18"/>
                <w:lang w:val="es-MX" w:eastAsia="es-MX"/>
              </w:rPr>
              <w:t> </w:t>
            </w:r>
          </w:p>
        </w:tc>
        <w:tc>
          <w:tcPr>
            <w:tcW w:w="622" w:type="dxa"/>
            <w:tcBorders>
              <w:top w:val="nil"/>
              <w:left w:val="nil"/>
              <w:bottom w:val="nil"/>
              <w:right w:val="nil"/>
            </w:tcBorders>
            <w:shd w:val="clear" w:color="000000" w:fill="FFC000"/>
            <w:vAlign w:val="center"/>
            <w:hideMark/>
          </w:tcPr>
          <w:p w14:paraId="306A8489" w14:textId="77777777" w:rsidR="00F9012D" w:rsidRPr="00F9012D" w:rsidRDefault="00F9012D" w:rsidP="00F9012D">
            <w:pPr>
              <w:jc w:val="left"/>
              <w:rPr>
                <w:rFonts w:eastAsia="Times New Roman"/>
                <w:b/>
                <w:bCs/>
                <w:sz w:val="18"/>
                <w:szCs w:val="18"/>
                <w:lang w:val="es-MX" w:eastAsia="es-MX"/>
              </w:rPr>
            </w:pPr>
            <w:r w:rsidRPr="00F9012D">
              <w:rPr>
                <w:rFonts w:eastAsia="Times New Roman"/>
                <w:b/>
                <w:bCs/>
                <w:sz w:val="18"/>
                <w:szCs w:val="18"/>
                <w:lang w:val="es-MX" w:eastAsia="es-MX"/>
              </w:rPr>
              <w:t> </w:t>
            </w:r>
          </w:p>
        </w:tc>
        <w:tc>
          <w:tcPr>
            <w:tcW w:w="755" w:type="dxa"/>
            <w:tcBorders>
              <w:top w:val="nil"/>
              <w:left w:val="nil"/>
              <w:bottom w:val="nil"/>
              <w:right w:val="nil"/>
            </w:tcBorders>
            <w:shd w:val="clear" w:color="000000" w:fill="FFC000"/>
            <w:vAlign w:val="center"/>
            <w:hideMark/>
          </w:tcPr>
          <w:p w14:paraId="016B3EAF" w14:textId="77777777" w:rsidR="00F9012D" w:rsidRPr="00F9012D" w:rsidRDefault="00F9012D" w:rsidP="00F9012D">
            <w:pPr>
              <w:jc w:val="left"/>
              <w:rPr>
                <w:rFonts w:eastAsia="Times New Roman"/>
                <w:b/>
                <w:bCs/>
                <w:sz w:val="18"/>
                <w:szCs w:val="18"/>
                <w:lang w:val="es-MX" w:eastAsia="es-MX"/>
              </w:rPr>
            </w:pPr>
            <w:r w:rsidRPr="00F9012D">
              <w:rPr>
                <w:rFonts w:eastAsia="Times New Roman"/>
                <w:b/>
                <w:bCs/>
                <w:sz w:val="18"/>
                <w:szCs w:val="18"/>
                <w:lang w:val="es-MX" w:eastAsia="es-MX"/>
              </w:rPr>
              <w:t> </w:t>
            </w:r>
          </w:p>
        </w:tc>
        <w:tc>
          <w:tcPr>
            <w:tcW w:w="4547" w:type="dxa"/>
            <w:tcBorders>
              <w:top w:val="nil"/>
              <w:left w:val="nil"/>
              <w:bottom w:val="nil"/>
              <w:right w:val="nil"/>
            </w:tcBorders>
            <w:shd w:val="clear" w:color="000000" w:fill="FFC000"/>
            <w:vAlign w:val="center"/>
            <w:hideMark/>
          </w:tcPr>
          <w:p w14:paraId="0A507AEC"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PARTICIPACIONES APORTACIONES, CONVENIOS, INCENTIVOS DERIVADOS DE LA COLABORACIÓN FISCAL Y FONDOS DISTINTOS DE APORTACIONES</w:t>
            </w:r>
          </w:p>
        </w:tc>
        <w:tc>
          <w:tcPr>
            <w:tcW w:w="1788" w:type="dxa"/>
            <w:tcBorders>
              <w:top w:val="nil"/>
              <w:left w:val="nil"/>
              <w:bottom w:val="nil"/>
              <w:right w:val="nil"/>
            </w:tcBorders>
            <w:shd w:val="clear" w:color="000000" w:fill="FFC000"/>
            <w:vAlign w:val="center"/>
            <w:hideMark/>
          </w:tcPr>
          <w:p w14:paraId="4C885DD1"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$47,574,280,060</w:t>
            </w:r>
          </w:p>
        </w:tc>
      </w:tr>
      <w:tr w:rsidR="00F9012D" w:rsidRPr="00F9012D" w14:paraId="509CA7B7" w14:textId="77777777" w:rsidTr="00F9012D">
        <w:trPr>
          <w:trHeight w:val="449"/>
        </w:trPr>
        <w:tc>
          <w:tcPr>
            <w:tcW w:w="496" w:type="dxa"/>
            <w:tcBorders>
              <w:top w:val="nil"/>
              <w:left w:val="nil"/>
              <w:bottom w:val="nil"/>
              <w:right w:val="nil"/>
            </w:tcBorders>
            <w:shd w:val="clear" w:color="auto" w:fill="auto"/>
            <w:vAlign w:val="center"/>
            <w:hideMark/>
          </w:tcPr>
          <w:p w14:paraId="2F5EC455" w14:textId="77777777" w:rsidR="00F9012D" w:rsidRPr="00F9012D" w:rsidRDefault="00F9012D" w:rsidP="00F9012D">
            <w:pPr>
              <w:jc w:val="left"/>
              <w:rPr>
                <w:rFonts w:eastAsia="Times New Roman"/>
                <w:b/>
                <w:bCs/>
                <w:sz w:val="18"/>
                <w:szCs w:val="18"/>
                <w:lang w:val="es-MX" w:eastAsia="es-MX"/>
              </w:rPr>
            </w:pPr>
          </w:p>
        </w:tc>
        <w:tc>
          <w:tcPr>
            <w:tcW w:w="359" w:type="dxa"/>
            <w:tcBorders>
              <w:top w:val="nil"/>
              <w:left w:val="nil"/>
              <w:bottom w:val="nil"/>
              <w:right w:val="nil"/>
            </w:tcBorders>
            <w:shd w:val="clear" w:color="auto" w:fill="auto"/>
            <w:vAlign w:val="center"/>
            <w:hideMark/>
          </w:tcPr>
          <w:p w14:paraId="619EBB35" w14:textId="77777777" w:rsidR="00F9012D" w:rsidRPr="00F9012D" w:rsidRDefault="00F9012D" w:rsidP="00F9012D">
            <w:pPr>
              <w:jc w:val="left"/>
              <w:rPr>
                <w:rFonts w:eastAsia="Times New Roman"/>
                <w:b/>
                <w:bCs/>
                <w:sz w:val="18"/>
                <w:szCs w:val="18"/>
                <w:lang w:val="es-MX" w:eastAsia="es-MX"/>
              </w:rPr>
            </w:pPr>
            <w:r w:rsidRPr="00F9012D">
              <w:rPr>
                <w:rFonts w:eastAsia="Times New Roman"/>
                <w:b/>
                <w:bCs/>
                <w:sz w:val="18"/>
                <w:szCs w:val="18"/>
                <w:lang w:val="es-MX" w:eastAsia="es-MX"/>
              </w:rPr>
              <w:t>81</w:t>
            </w:r>
          </w:p>
        </w:tc>
        <w:tc>
          <w:tcPr>
            <w:tcW w:w="622" w:type="dxa"/>
            <w:tcBorders>
              <w:top w:val="nil"/>
              <w:left w:val="nil"/>
              <w:bottom w:val="nil"/>
              <w:right w:val="nil"/>
            </w:tcBorders>
            <w:shd w:val="clear" w:color="auto" w:fill="auto"/>
            <w:vAlign w:val="center"/>
            <w:hideMark/>
          </w:tcPr>
          <w:p w14:paraId="2180C14A" w14:textId="77777777" w:rsidR="00F9012D" w:rsidRPr="00F9012D" w:rsidRDefault="00F9012D" w:rsidP="00F9012D">
            <w:pPr>
              <w:jc w:val="left"/>
              <w:rPr>
                <w:rFonts w:eastAsia="Times New Roman"/>
                <w:b/>
                <w:bCs/>
                <w:sz w:val="18"/>
                <w:szCs w:val="18"/>
                <w:lang w:val="es-MX" w:eastAsia="es-MX"/>
              </w:rPr>
            </w:pPr>
          </w:p>
        </w:tc>
        <w:tc>
          <w:tcPr>
            <w:tcW w:w="755" w:type="dxa"/>
            <w:tcBorders>
              <w:top w:val="nil"/>
              <w:left w:val="nil"/>
              <w:bottom w:val="nil"/>
              <w:right w:val="nil"/>
            </w:tcBorders>
            <w:shd w:val="clear" w:color="auto" w:fill="auto"/>
            <w:vAlign w:val="center"/>
            <w:hideMark/>
          </w:tcPr>
          <w:p w14:paraId="6383EFF9" w14:textId="77777777" w:rsidR="00F9012D" w:rsidRPr="00F9012D" w:rsidRDefault="00F9012D" w:rsidP="00F9012D">
            <w:pPr>
              <w:jc w:val="left"/>
              <w:rPr>
                <w:rFonts w:eastAsia="Times New Roman"/>
                <w:b/>
                <w:bCs/>
                <w:sz w:val="18"/>
                <w:szCs w:val="18"/>
                <w:lang w:val="es-MX" w:eastAsia="es-MX"/>
              </w:rPr>
            </w:pPr>
          </w:p>
        </w:tc>
        <w:tc>
          <w:tcPr>
            <w:tcW w:w="4547" w:type="dxa"/>
            <w:tcBorders>
              <w:top w:val="nil"/>
              <w:left w:val="nil"/>
              <w:bottom w:val="nil"/>
              <w:right w:val="nil"/>
            </w:tcBorders>
            <w:shd w:val="clear" w:color="auto" w:fill="auto"/>
            <w:vAlign w:val="center"/>
            <w:hideMark/>
          </w:tcPr>
          <w:p w14:paraId="579A1738"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PARTICIPACIONES</w:t>
            </w:r>
          </w:p>
        </w:tc>
        <w:tc>
          <w:tcPr>
            <w:tcW w:w="1788" w:type="dxa"/>
            <w:tcBorders>
              <w:top w:val="nil"/>
              <w:left w:val="nil"/>
              <w:bottom w:val="nil"/>
              <w:right w:val="nil"/>
            </w:tcBorders>
            <w:shd w:val="clear" w:color="auto" w:fill="auto"/>
            <w:vAlign w:val="center"/>
            <w:hideMark/>
          </w:tcPr>
          <w:p w14:paraId="4D79B189" w14:textId="77777777" w:rsidR="00F9012D" w:rsidRPr="00F9012D" w:rsidRDefault="00F9012D" w:rsidP="00F9012D">
            <w:pPr>
              <w:jc w:val="right"/>
              <w:rPr>
                <w:rFonts w:eastAsia="Times New Roman"/>
                <w:b/>
                <w:bCs/>
                <w:sz w:val="18"/>
                <w:szCs w:val="18"/>
                <w:lang w:val="es-MX" w:eastAsia="es-MX"/>
              </w:rPr>
            </w:pPr>
            <w:r w:rsidRPr="00F9012D">
              <w:rPr>
                <w:rFonts w:eastAsia="Times New Roman"/>
                <w:b/>
                <w:bCs/>
                <w:sz w:val="18"/>
                <w:szCs w:val="18"/>
                <w:lang w:val="es-MX" w:eastAsia="es-MX"/>
              </w:rPr>
              <w:t>$23,697,517,901</w:t>
            </w:r>
          </w:p>
        </w:tc>
      </w:tr>
      <w:tr w:rsidR="00F9012D" w:rsidRPr="00F9012D" w14:paraId="210A7F48" w14:textId="77777777" w:rsidTr="00F9012D">
        <w:trPr>
          <w:trHeight w:val="449"/>
        </w:trPr>
        <w:tc>
          <w:tcPr>
            <w:tcW w:w="496" w:type="dxa"/>
            <w:tcBorders>
              <w:top w:val="nil"/>
              <w:left w:val="nil"/>
              <w:bottom w:val="nil"/>
              <w:right w:val="nil"/>
            </w:tcBorders>
            <w:shd w:val="clear" w:color="auto" w:fill="auto"/>
            <w:vAlign w:val="center"/>
            <w:hideMark/>
          </w:tcPr>
          <w:p w14:paraId="24DAF43E" w14:textId="77777777" w:rsidR="00F9012D" w:rsidRPr="00F9012D" w:rsidRDefault="00F9012D" w:rsidP="00F9012D">
            <w:pPr>
              <w:jc w:val="left"/>
              <w:rPr>
                <w:rFonts w:eastAsia="Times New Roman"/>
                <w:b/>
                <w:bCs/>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7ED8C36A" w14:textId="77777777" w:rsidR="00F9012D" w:rsidRPr="00F9012D" w:rsidRDefault="00F9012D" w:rsidP="00F9012D">
            <w:pPr>
              <w:jc w:val="left"/>
              <w:rPr>
                <w:rFonts w:eastAsia="Times New Roman"/>
                <w:b/>
                <w:bCs/>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5CCDB1F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8101</w:t>
            </w:r>
          </w:p>
        </w:tc>
        <w:tc>
          <w:tcPr>
            <w:tcW w:w="755" w:type="dxa"/>
            <w:tcBorders>
              <w:top w:val="nil"/>
              <w:left w:val="nil"/>
              <w:bottom w:val="nil"/>
              <w:right w:val="nil"/>
            </w:tcBorders>
            <w:shd w:val="clear" w:color="auto" w:fill="auto"/>
            <w:vAlign w:val="center"/>
            <w:hideMark/>
          </w:tcPr>
          <w:p w14:paraId="5A323A1C"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53EC2008"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GENERAL DE PARTICIPACIONES (FGP)</w:t>
            </w:r>
          </w:p>
        </w:tc>
        <w:tc>
          <w:tcPr>
            <w:tcW w:w="1788" w:type="dxa"/>
            <w:tcBorders>
              <w:top w:val="nil"/>
              <w:left w:val="nil"/>
              <w:bottom w:val="nil"/>
              <w:right w:val="nil"/>
            </w:tcBorders>
            <w:shd w:val="clear" w:color="000000" w:fill="FFFFFF"/>
            <w:noWrap/>
            <w:vAlign w:val="center"/>
            <w:hideMark/>
          </w:tcPr>
          <w:p w14:paraId="2495C746"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$17,188,626,630</w:t>
            </w:r>
          </w:p>
        </w:tc>
      </w:tr>
      <w:tr w:rsidR="00F9012D" w:rsidRPr="00F9012D" w14:paraId="19CA54FB" w14:textId="77777777" w:rsidTr="00F9012D">
        <w:trPr>
          <w:trHeight w:val="449"/>
        </w:trPr>
        <w:tc>
          <w:tcPr>
            <w:tcW w:w="496" w:type="dxa"/>
            <w:tcBorders>
              <w:top w:val="nil"/>
              <w:left w:val="nil"/>
              <w:bottom w:val="nil"/>
              <w:right w:val="nil"/>
            </w:tcBorders>
            <w:shd w:val="clear" w:color="auto" w:fill="auto"/>
            <w:vAlign w:val="center"/>
            <w:hideMark/>
          </w:tcPr>
          <w:p w14:paraId="2AC19F23" w14:textId="77777777" w:rsidR="00F9012D" w:rsidRPr="00F9012D" w:rsidRDefault="00F9012D" w:rsidP="00F9012D">
            <w:pPr>
              <w:jc w:val="left"/>
              <w:rPr>
                <w:rFonts w:eastAsia="Times New Roman"/>
                <w:b/>
                <w:bCs/>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6102BB1C" w14:textId="77777777" w:rsidR="00F9012D" w:rsidRPr="00F9012D" w:rsidRDefault="00F9012D" w:rsidP="00F9012D">
            <w:pPr>
              <w:jc w:val="left"/>
              <w:rPr>
                <w:rFonts w:eastAsia="Times New Roman"/>
                <w:b/>
                <w:bCs/>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40D1004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8102</w:t>
            </w:r>
          </w:p>
        </w:tc>
        <w:tc>
          <w:tcPr>
            <w:tcW w:w="755" w:type="dxa"/>
            <w:tcBorders>
              <w:top w:val="nil"/>
              <w:left w:val="nil"/>
              <w:bottom w:val="nil"/>
              <w:right w:val="nil"/>
            </w:tcBorders>
            <w:shd w:val="clear" w:color="auto" w:fill="auto"/>
            <w:vAlign w:val="center"/>
            <w:hideMark/>
          </w:tcPr>
          <w:p w14:paraId="2D03AAB6"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00B8CD94"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DE FOMENTO MUNICIPAL (FFM)</w:t>
            </w:r>
          </w:p>
        </w:tc>
        <w:tc>
          <w:tcPr>
            <w:tcW w:w="1788" w:type="dxa"/>
            <w:tcBorders>
              <w:top w:val="nil"/>
              <w:left w:val="nil"/>
              <w:bottom w:val="nil"/>
              <w:right w:val="nil"/>
            </w:tcBorders>
            <w:shd w:val="clear" w:color="000000" w:fill="FFFFFF"/>
            <w:noWrap/>
            <w:vAlign w:val="center"/>
            <w:hideMark/>
          </w:tcPr>
          <w:p w14:paraId="4CB368DA"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$740,749,910</w:t>
            </w:r>
          </w:p>
        </w:tc>
      </w:tr>
      <w:tr w:rsidR="00F9012D" w:rsidRPr="00F9012D" w14:paraId="7336E5DF" w14:textId="77777777" w:rsidTr="00F9012D">
        <w:trPr>
          <w:trHeight w:val="467"/>
        </w:trPr>
        <w:tc>
          <w:tcPr>
            <w:tcW w:w="496" w:type="dxa"/>
            <w:tcBorders>
              <w:top w:val="nil"/>
              <w:left w:val="nil"/>
              <w:bottom w:val="nil"/>
              <w:right w:val="nil"/>
            </w:tcBorders>
            <w:shd w:val="clear" w:color="auto" w:fill="auto"/>
            <w:vAlign w:val="center"/>
            <w:hideMark/>
          </w:tcPr>
          <w:p w14:paraId="022AE1B3" w14:textId="77777777" w:rsidR="00F9012D" w:rsidRPr="00F9012D" w:rsidRDefault="00F9012D" w:rsidP="00F9012D">
            <w:pPr>
              <w:jc w:val="left"/>
              <w:rPr>
                <w:rFonts w:eastAsia="Times New Roman"/>
                <w:b/>
                <w:bCs/>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42215290" w14:textId="77777777" w:rsidR="00F9012D" w:rsidRPr="00F9012D" w:rsidRDefault="00F9012D" w:rsidP="00F9012D">
            <w:pPr>
              <w:jc w:val="left"/>
              <w:rPr>
                <w:rFonts w:eastAsia="Times New Roman"/>
                <w:b/>
                <w:bCs/>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1369438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8103</w:t>
            </w:r>
          </w:p>
        </w:tc>
        <w:tc>
          <w:tcPr>
            <w:tcW w:w="755" w:type="dxa"/>
            <w:tcBorders>
              <w:top w:val="nil"/>
              <w:left w:val="nil"/>
              <w:bottom w:val="nil"/>
              <w:right w:val="nil"/>
            </w:tcBorders>
            <w:shd w:val="clear" w:color="auto" w:fill="auto"/>
            <w:vAlign w:val="center"/>
            <w:hideMark/>
          </w:tcPr>
          <w:p w14:paraId="4851052F"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6740C62C"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IMPUESTO ESPECIAL SOBRE PRODUCCIÓN Y SERVICIOS (TABACOS, CERVEZAS Y BEBIDAS ALCOHÓLICAS) (IEPS)</w:t>
            </w:r>
          </w:p>
        </w:tc>
        <w:tc>
          <w:tcPr>
            <w:tcW w:w="1788" w:type="dxa"/>
            <w:tcBorders>
              <w:top w:val="nil"/>
              <w:left w:val="nil"/>
              <w:bottom w:val="nil"/>
              <w:right w:val="nil"/>
            </w:tcBorders>
            <w:shd w:val="clear" w:color="000000" w:fill="FFFFFF"/>
            <w:noWrap/>
            <w:vAlign w:val="center"/>
            <w:hideMark/>
          </w:tcPr>
          <w:p w14:paraId="3AFF679E"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$239,534,976</w:t>
            </w:r>
          </w:p>
        </w:tc>
      </w:tr>
      <w:tr w:rsidR="00F9012D" w:rsidRPr="00F9012D" w14:paraId="0CFEAE02" w14:textId="77777777" w:rsidTr="00F9012D">
        <w:trPr>
          <w:trHeight w:val="449"/>
        </w:trPr>
        <w:tc>
          <w:tcPr>
            <w:tcW w:w="496" w:type="dxa"/>
            <w:tcBorders>
              <w:top w:val="nil"/>
              <w:left w:val="nil"/>
              <w:bottom w:val="nil"/>
              <w:right w:val="nil"/>
            </w:tcBorders>
            <w:shd w:val="clear" w:color="auto" w:fill="auto"/>
            <w:vAlign w:val="center"/>
            <w:hideMark/>
          </w:tcPr>
          <w:p w14:paraId="1C1D952C" w14:textId="77777777" w:rsidR="00F9012D" w:rsidRPr="00F9012D" w:rsidRDefault="00F9012D" w:rsidP="00F9012D">
            <w:pPr>
              <w:jc w:val="left"/>
              <w:rPr>
                <w:rFonts w:eastAsia="Times New Roman"/>
                <w:b/>
                <w:bCs/>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35F087E3" w14:textId="77777777" w:rsidR="00F9012D" w:rsidRPr="00F9012D" w:rsidRDefault="00F9012D" w:rsidP="00F9012D">
            <w:pPr>
              <w:jc w:val="left"/>
              <w:rPr>
                <w:rFonts w:eastAsia="Times New Roman"/>
                <w:b/>
                <w:bCs/>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6799CD3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8104</w:t>
            </w:r>
          </w:p>
        </w:tc>
        <w:tc>
          <w:tcPr>
            <w:tcW w:w="755" w:type="dxa"/>
            <w:tcBorders>
              <w:top w:val="nil"/>
              <w:left w:val="nil"/>
              <w:bottom w:val="nil"/>
              <w:right w:val="nil"/>
            </w:tcBorders>
            <w:shd w:val="clear" w:color="auto" w:fill="auto"/>
            <w:vAlign w:val="center"/>
            <w:hideMark/>
          </w:tcPr>
          <w:p w14:paraId="12623782"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5CF8341E"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DE FISCALIZACIÓN Y RECAUDACIÓN (FOFIR)</w:t>
            </w:r>
          </w:p>
        </w:tc>
        <w:tc>
          <w:tcPr>
            <w:tcW w:w="1788" w:type="dxa"/>
            <w:tcBorders>
              <w:top w:val="nil"/>
              <w:left w:val="nil"/>
              <w:bottom w:val="nil"/>
              <w:right w:val="nil"/>
            </w:tcBorders>
            <w:shd w:val="clear" w:color="000000" w:fill="FFFFFF"/>
            <w:noWrap/>
            <w:vAlign w:val="center"/>
            <w:hideMark/>
          </w:tcPr>
          <w:p w14:paraId="38F43E16"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$1,856,836,773</w:t>
            </w:r>
          </w:p>
        </w:tc>
      </w:tr>
      <w:tr w:rsidR="00F9012D" w:rsidRPr="00F9012D" w14:paraId="0A2197A7" w14:textId="77777777" w:rsidTr="00F9012D">
        <w:trPr>
          <w:trHeight w:val="449"/>
        </w:trPr>
        <w:tc>
          <w:tcPr>
            <w:tcW w:w="496" w:type="dxa"/>
            <w:tcBorders>
              <w:top w:val="nil"/>
              <w:left w:val="nil"/>
              <w:bottom w:val="nil"/>
              <w:right w:val="nil"/>
            </w:tcBorders>
            <w:shd w:val="clear" w:color="auto" w:fill="auto"/>
            <w:vAlign w:val="center"/>
            <w:hideMark/>
          </w:tcPr>
          <w:p w14:paraId="2166384D" w14:textId="77777777" w:rsidR="00F9012D" w:rsidRPr="00F9012D" w:rsidRDefault="00F9012D" w:rsidP="00F9012D">
            <w:pPr>
              <w:jc w:val="left"/>
              <w:rPr>
                <w:rFonts w:eastAsia="Times New Roman"/>
                <w:b/>
                <w:bCs/>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698AB6F0" w14:textId="77777777" w:rsidR="00F9012D" w:rsidRPr="00F9012D" w:rsidRDefault="00F9012D" w:rsidP="00F9012D">
            <w:pPr>
              <w:jc w:val="left"/>
              <w:rPr>
                <w:rFonts w:eastAsia="Times New Roman"/>
                <w:b/>
                <w:bCs/>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099914A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8105</w:t>
            </w:r>
          </w:p>
        </w:tc>
        <w:tc>
          <w:tcPr>
            <w:tcW w:w="755" w:type="dxa"/>
            <w:tcBorders>
              <w:top w:val="nil"/>
              <w:left w:val="nil"/>
              <w:bottom w:val="nil"/>
              <w:right w:val="nil"/>
            </w:tcBorders>
            <w:shd w:val="clear" w:color="auto" w:fill="auto"/>
            <w:vAlign w:val="center"/>
            <w:hideMark/>
          </w:tcPr>
          <w:p w14:paraId="50B9B04B"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7EAD097B"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DE EXTRACCIÓN DE HIDROCARBUROS (FEXHI)</w:t>
            </w:r>
          </w:p>
        </w:tc>
        <w:tc>
          <w:tcPr>
            <w:tcW w:w="1788" w:type="dxa"/>
            <w:tcBorders>
              <w:top w:val="nil"/>
              <w:left w:val="nil"/>
              <w:bottom w:val="nil"/>
              <w:right w:val="nil"/>
            </w:tcBorders>
            <w:shd w:val="clear" w:color="000000" w:fill="FFFFFF"/>
            <w:noWrap/>
            <w:vAlign w:val="center"/>
            <w:hideMark/>
          </w:tcPr>
          <w:p w14:paraId="4F51A486"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$1,400,007,484</w:t>
            </w:r>
          </w:p>
        </w:tc>
      </w:tr>
      <w:tr w:rsidR="00F9012D" w:rsidRPr="00F9012D" w14:paraId="44BB69A2" w14:textId="77777777" w:rsidTr="00F9012D">
        <w:trPr>
          <w:trHeight w:val="449"/>
        </w:trPr>
        <w:tc>
          <w:tcPr>
            <w:tcW w:w="496" w:type="dxa"/>
            <w:tcBorders>
              <w:top w:val="nil"/>
              <w:left w:val="nil"/>
              <w:bottom w:val="nil"/>
              <w:right w:val="nil"/>
            </w:tcBorders>
            <w:shd w:val="clear" w:color="auto" w:fill="auto"/>
            <w:vAlign w:val="center"/>
            <w:hideMark/>
          </w:tcPr>
          <w:p w14:paraId="45C39585" w14:textId="77777777" w:rsidR="00F9012D" w:rsidRPr="00F9012D" w:rsidRDefault="00F9012D" w:rsidP="00F9012D">
            <w:pPr>
              <w:jc w:val="left"/>
              <w:rPr>
                <w:rFonts w:eastAsia="Times New Roman"/>
                <w:b/>
                <w:bCs/>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7B4BDD77" w14:textId="77777777" w:rsidR="00F9012D" w:rsidRPr="00F9012D" w:rsidRDefault="00F9012D" w:rsidP="00F9012D">
            <w:pPr>
              <w:jc w:val="left"/>
              <w:rPr>
                <w:rFonts w:eastAsia="Times New Roman"/>
                <w:b/>
                <w:bCs/>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287C096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8106</w:t>
            </w:r>
          </w:p>
        </w:tc>
        <w:tc>
          <w:tcPr>
            <w:tcW w:w="755" w:type="dxa"/>
            <w:tcBorders>
              <w:top w:val="nil"/>
              <w:left w:val="nil"/>
              <w:bottom w:val="nil"/>
              <w:right w:val="nil"/>
            </w:tcBorders>
            <w:shd w:val="clear" w:color="auto" w:fill="auto"/>
            <w:vAlign w:val="center"/>
            <w:hideMark/>
          </w:tcPr>
          <w:p w14:paraId="39809E56"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164729C1"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DE COMPENSACIÓN (FOCOM)</w:t>
            </w:r>
          </w:p>
        </w:tc>
        <w:tc>
          <w:tcPr>
            <w:tcW w:w="1788" w:type="dxa"/>
            <w:tcBorders>
              <w:top w:val="nil"/>
              <w:left w:val="nil"/>
              <w:bottom w:val="nil"/>
              <w:right w:val="nil"/>
            </w:tcBorders>
            <w:shd w:val="clear" w:color="000000" w:fill="FFFFFF"/>
            <w:noWrap/>
            <w:vAlign w:val="center"/>
            <w:hideMark/>
          </w:tcPr>
          <w:p w14:paraId="431982CA"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41C0043E" w14:textId="77777777" w:rsidTr="00F9012D">
        <w:trPr>
          <w:trHeight w:val="449"/>
        </w:trPr>
        <w:tc>
          <w:tcPr>
            <w:tcW w:w="496" w:type="dxa"/>
            <w:tcBorders>
              <w:top w:val="nil"/>
              <w:left w:val="nil"/>
              <w:bottom w:val="nil"/>
              <w:right w:val="nil"/>
            </w:tcBorders>
            <w:shd w:val="clear" w:color="auto" w:fill="auto"/>
            <w:vAlign w:val="center"/>
            <w:hideMark/>
          </w:tcPr>
          <w:p w14:paraId="64D0350E" w14:textId="77777777" w:rsidR="00F9012D" w:rsidRPr="00F9012D" w:rsidRDefault="00F9012D" w:rsidP="00F9012D">
            <w:pPr>
              <w:jc w:val="left"/>
              <w:rPr>
                <w:rFonts w:eastAsia="Times New Roman"/>
                <w:b/>
                <w:bCs/>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229045AF" w14:textId="77777777" w:rsidR="00F9012D" w:rsidRPr="00F9012D" w:rsidRDefault="00F9012D" w:rsidP="00F9012D">
            <w:pPr>
              <w:jc w:val="left"/>
              <w:rPr>
                <w:rFonts w:eastAsia="Times New Roman"/>
                <w:b/>
                <w:bCs/>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13CE1E1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8107</w:t>
            </w:r>
          </w:p>
        </w:tc>
        <w:tc>
          <w:tcPr>
            <w:tcW w:w="755" w:type="dxa"/>
            <w:tcBorders>
              <w:top w:val="nil"/>
              <w:left w:val="nil"/>
              <w:bottom w:val="nil"/>
              <w:right w:val="nil"/>
            </w:tcBorders>
            <w:shd w:val="clear" w:color="auto" w:fill="auto"/>
            <w:vAlign w:val="center"/>
            <w:hideMark/>
          </w:tcPr>
          <w:p w14:paraId="6566530B"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218CA749" w14:textId="77777777" w:rsidR="00F9012D" w:rsidRPr="00F9012D" w:rsidRDefault="00F9012D" w:rsidP="00F9012D">
            <w:pPr>
              <w:rPr>
                <w:rFonts w:eastAsia="Times New Roman"/>
                <w:sz w:val="18"/>
                <w:szCs w:val="18"/>
                <w:lang w:val="es-MX" w:eastAsia="es-MX"/>
              </w:rPr>
            </w:pPr>
            <w:r w:rsidRPr="00F9012D">
              <w:rPr>
                <w:rFonts w:eastAsia="Times New Roman"/>
                <w:sz w:val="18"/>
                <w:szCs w:val="18"/>
                <w:lang w:val="es-MX" w:eastAsia="es-MX"/>
              </w:rPr>
              <w:t>FONDO DE IMPUESTO SOBRE LA RENTA (ISR)</w:t>
            </w:r>
          </w:p>
        </w:tc>
        <w:tc>
          <w:tcPr>
            <w:tcW w:w="1788" w:type="dxa"/>
            <w:tcBorders>
              <w:top w:val="nil"/>
              <w:left w:val="nil"/>
              <w:bottom w:val="nil"/>
              <w:right w:val="nil"/>
            </w:tcBorders>
            <w:shd w:val="clear" w:color="000000" w:fill="FFFFFF"/>
            <w:noWrap/>
            <w:vAlign w:val="center"/>
            <w:hideMark/>
          </w:tcPr>
          <w:p w14:paraId="2BFA70A4"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$2,271,762,128</w:t>
            </w:r>
          </w:p>
        </w:tc>
      </w:tr>
      <w:tr w:rsidR="00F9012D" w:rsidRPr="00F9012D" w14:paraId="62547D63" w14:textId="77777777" w:rsidTr="00F9012D">
        <w:trPr>
          <w:trHeight w:val="467"/>
        </w:trPr>
        <w:tc>
          <w:tcPr>
            <w:tcW w:w="496" w:type="dxa"/>
            <w:tcBorders>
              <w:top w:val="nil"/>
              <w:left w:val="nil"/>
              <w:bottom w:val="nil"/>
              <w:right w:val="nil"/>
            </w:tcBorders>
            <w:shd w:val="clear" w:color="auto" w:fill="auto"/>
            <w:vAlign w:val="center"/>
            <w:hideMark/>
          </w:tcPr>
          <w:p w14:paraId="7E6F8EFE" w14:textId="77777777" w:rsidR="00F9012D" w:rsidRPr="00F9012D" w:rsidRDefault="00F9012D" w:rsidP="00F9012D">
            <w:pPr>
              <w:jc w:val="left"/>
              <w:rPr>
                <w:rFonts w:eastAsia="Times New Roman"/>
                <w:b/>
                <w:bCs/>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18CDA9A0" w14:textId="77777777" w:rsidR="00F9012D" w:rsidRPr="00F9012D" w:rsidRDefault="00F9012D" w:rsidP="00F9012D">
            <w:pPr>
              <w:jc w:val="left"/>
              <w:rPr>
                <w:rFonts w:eastAsia="Times New Roman"/>
                <w:b/>
                <w:bCs/>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24F122A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8108</w:t>
            </w:r>
          </w:p>
        </w:tc>
        <w:tc>
          <w:tcPr>
            <w:tcW w:w="755" w:type="dxa"/>
            <w:tcBorders>
              <w:top w:val="nil"/>
              <w:left w:val="nil"/>
              <w:bottom w:val="nil"/>
              <w:right w:val="nil"/>
            </w:tcBorders>
            <w:shd w:val="clear" w:color="auto" w:fill="auto"/>
            <w:vAlign w:val="center"/>
            <w:hideMark/>
          </w:tcPr>
          <w:p w14:paraId="51CA93F1"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639A5E63"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DE ESTABILIZACIÓN DE LOS INGRESOS DE LAS ENTIDADES FEDERATIVAS (FEIEF)</w:t>
            </w:r>
          </w:p>
        </w:tc>
        <w:tc>
          <w:tcPr>
            <w:tcW w:w="1788" w:type="dxa"/>
            <w:tcBorders>
              <w:top w:val="nil"/>
              <w:left w:val="nil"/>
              <w:bottom w:val="nil"/>
              <w:right w:val="nil"/>
            </w:tcBorders>
            <w:shd w:val="clear" w:color="000000" w:fill="FFFFFF"/>
            <w:noWrap/>
            <w:vAlign w:val="center"/>
            <w:hideMark/>
          </w:tcPr>
          <w:p w14:paraId="3423F400"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041C3566" w14:textId="77777777" w:rsidTr="00F9012D">
        <w:trPr>
          <w:trHeight w:val="449"/>
        </w:trPr>
        <w:tc>
          <w:tcPr>
            <w:tcW w:w="496" w:type="dxa"/>
            <w:tcBorders>
              <w:top w:val="nil"/>
              <w:left w:val="nil"/>
              <w:bottom w:val="nil"/>
              <w:right w:val="nil"/>
            </w:tcBorders>
            <w:shd w:val="clear" w:color="auto" w:fill="auto"/>
            <w:noWrap/>
            <w:vAlign w:val="center"/>
            <w:hideMark/>
          </w:tcPr>
          <w:p w14:paraId="5E5B338D" w14:textId="77777777" w:rsidR="00F9012D" w:rsidRPr="00F9012D" w:rsidRDefault="00F9012D" w:rsidP="00F9012D">
            <w:pPr>
              <w:jc w:val="left"/>
              <w:rPr>
                <w:rFonts w:eastAsia="Times New Roman"/>
                <w:b/>
                <w:bCs/>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6BD59A56"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82</w:t>
            </w:r>
          </w:p>
        </w:tc>
        <w:tc>
          <w:tcPr>
            <w:tcW w:w="622" w:type="dxa"/>
            <w:tcBorders>
              <w:top w:val="nil"/>
              <w:left w:val="nil"/>
              <w:bottom w:val="nil"/>
              <w:right w:val="nil"/>
            </w:tcBorders>
            <w:shd w:val="clear" w:color="auto" w:fill="auto"/>
            <w:noWrap/>
            <w:vAlign w:val="center"/>
            <w:hideMark/>
          </w:tcPr>
          <w:p w14:paraId="7C8EC794"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0C8B8004"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5EBAC7AF"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APORTACIONES</w:t>
            </w:r>
          </w:p>
        </w:tc>
        <w:tc>
          <w:tcPr>
            <w:tcW w:w="1788" w:type="dxa"/>
            <w:tcBorders>
              <w:top w:val="nil"/>
              <w:left w:val="nil"/>
              <w:bottom w:val="nil"/>
              <w:right w:val="nil"/>
            </w:tcBorders>
            <w:shd w:val="clear" w:color="auto" w:fill="auto"/>
            <w:vAlign w:val="center"/>
            <w:hideMark/>
          </w:tcPr>
          <w:p w14:paraId="3E8B6130"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$15,415,529,221</w:t>
            </w:r>
          </w:p>
        </w:tc>
      </w:tr>
      <w:tr w:rsidR="00F9012D" w:rsidRPr="00F9012D" w14:paraId="09A1CB9D" w14:textId="77777777" w:rsidTr="00F9012D">
        <w:trPr>
          <w:trHeight w:val="540"/>
        </w:trPr>
        <w:tc>
          <w:tcPr>
            <w:tcW w:w="496" w:type="dxa"/>
            <w:tcBorders>
              <w:top w:val="nil"/>
              <w:left w:val="nil"/>
              <w:bottom w:val="nil"/>
              <w:right w:val="nil"/>
            </w:tcBorders>
            <w:shd w:val="clear" w:color="auto" w:fill="auto"/>
            <w:noWrap/>
            <w:vAlign w:val="center"/>
            <w:hideMark/>
          </w:tcPr>
          <w:p w14:paraId="49393E0E"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340E7B2D"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2A9829E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8201</w:t>
            </w:r>
          </w:p>
        </w:tc>
        <w:tc>
          <w:tcPr>
            <w:tcW w:w="755" w:type="dxa"/>
            <w:tcBorders>
              <w:top w:val="nil"/>
              <w:left w:val="nil"/>
              <w:bottom w:val="nil"/>
              <w:right w:val="nil"/>
            </w:tcBorders>
            <w:shd w:val="clear" w:color="auto" w:fill="auto"/>
            <w:noWrap/>
            <w:vAlign w:val="center"/>
            <w:hideMark/>
          </w:tcPr>
          <w:p w14:paraId="2A8BE0AD"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53372650"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PARA LA NÓMINA EDUCATIVA Y GASTO OPERATIVO (FONE)</w:t>
            </w:r>
          </w:p>
        </w:tc>
        <w:tc>
          <w:tcPr>
            <w:tcW w:w="1788" w:type="dxa"/>
            <w:tcBorders>
              <w:top w:val="nil"/>
              <w:left w:val="nil"/>
              <w:bottom w:val="nil"/>
              <w:right w:val="nil"/>
            </w:tcBorders>
            <w:shd w:val="clear" w:color="auto" w:fill="auto"/>
            <w:vAlign w:val="center"/>
            <w:hideMark/>
          </w:tcPr>
          <w:p w14:paraId="05C5A043"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$7,677,401,009</w:t>
            </w:r>
          </w:p>
        </w:tc>
      </w:tr>
      <w:tr w:rsidR="00F9012D" w:rsidRPr="00F9012D" w14:paraId="3949BA3D" w14:textId="77777777" w:rsidTr="00F9012D">
        <w:trPr>
          <w:trHeight w:val="449"/>
        </w:trPr>
        <w:tc>
          <w:tcPr>
            <w:tcW w:w="496" w:type="dxa"/>
            <w:tcBorders>
              <w:top w:val="nil"/>
              <w:left w:val="nil"/>
              <w:bottom w:val="nil"/>
              <w:right w:val="nil"/>
            </w:tcBorders>
            <w:shd w:val="clear" w:color="auto" w:fill="auto"/>
            <w:noWrap/>
            <w:vAlign w:val="center"/>
            <w:hideMark/>
          </w:tcPr>
          <w:p w14:paraId="1F0CEC07" w14:textId="77777777" w:rsidR="00F9012D" w:rsidRPr="00F9012D" w:rsidRDefault="00F9012D" w:rsidP="00F9012D">
            <w:pPr>
              <w:jc w:val="left"/>
              <w:rPr>
                <w:rFonts w:eastAsia="Times New Roman"/>
                <w:b/>
                <w:bCs/>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4DC77F8A" w14:textId="77777777" w:rsidR="00F9012D" w:rsidRPr="00F9012D" w:rsidRDefault="00F9012D" w:rsidP="00F9012D">
            <w:pPr>
              <w:jc w:val="left"/>
              <w:rPr>
                <w:rFonts w:eastAsia="Times New Roman"/>
                <w:b/>
                <w:bCs/>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7974B768"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0DAD0EAA"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820101</w:t>
            </w:r>
          </w:p>
        </w:tc>
        <w:tc>
          <w:tcPr>
            <w:tcW w:w="4547" w:type="dxa"/>
            <w:tcBorders>
              <w:top w:val="nil"/>
              <w:left w:val="nil"/>
              <w:bottom w:val="nil"/>
              <w:right w:val="nil"/>
            </w:tcBorders>
            <w:shd w:val="clear" w:color="auto" w:fill="auto"/>
            <w:vAlign w:val="center"/>
            <w:hideMark/>
          </w:tcPr>
          <w:p w14:paraId="4318493A"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RECUPERACIÓN DE SEGUROS</w:t>
            </w:r>
          </w:p>
        </w:tc>
        <w:tc>
          <w:tcPr>
            <w:tcW w:w="1788" w:type="dxa"/>
            <w:tcBorders>
              <w:top w:val="nil"/>
              <w:left w:val="nil"/>
              <w:bottom w:val="nil"/>
              <w:right w:val="nil"/>
            </w:tcBorders>
            <w:shd w:val="clear" w:color="auto" w:fill="auto"/>
            <w:vAlign w:val="center"/>
            <w:hideMark/>
          </w:tcPr>
          <w:p w14:paraId="15BE1C20"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3A26AF02" w14:textId="77777777" w:rsidTr="00F9012D">
        <w:trPr>
          <w:trHeight w:val="449"/>
        </w:trPr>
        <w:tc>
          <w:tcPr>
            <w:tcW w:w="496" w:type="dxa"/>
            <w:tcBorders>
              <w:top w:val="nil"/>
              <w:left w:val="nil"/>
              <w:bottom w:val="nil"/>
              <w:right w:val="nil"/>
            </w:tcBorders>
            <w:shd w:val="clear" w:color="auto" w:fill="auto"/>
            <w:noWrap/>
            <w:vAlign w:val="center"/>
            <w:hideMark/>
          </w:tcPr>
          <w:p w14:paraId="5C7A7BFE"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61F3A433"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5AEF2C11"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247A657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820102</w:t>
            </w:r>
          </w:p>
        </w:tc>
        <w:tc>
          <w:tcPr>
            <w:tcW w:w="4547" w:type="dxa"/>
            <w:tcBorders>
              <w:top w:val="nil"/>
              <w:left w:val="nil"/>
              <w:bottom w:val="nil"/>
              <w:right w:val="nil"/>
            </w:tcBorders>
            <w:shd w:val="clear" w:color="auto" w:fill="auto"/>
            <w:vAlign w:val="center"/>
            <w:hideMark/>
          </w:tcPr>
          <w:p w14:paraId="06933F2E"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FONE- OTROS DE GASTO CORRIENTE</w:t>
            </w:r>
          </w:p>
        </w:tc>
        <w:tc>
          <w:tcPr>
            <w:tcW w:w="1788" w:type="dxa"/>
            <w:tcBorders>
              <w:top w:val="nil"/>
              <w:left w:val="nil"/>
              <w:bottom w:val="nil"/>
              <w:right w:val="nil"/>
            </w:tcBorders>
            <w:shd w:val="clear" w:color="auto" w:fill="auto"/>
            <w:vAlign w:val="center"/>
            <w:hideMark/>
          </w:tcPr>
          <w:p w14:paraId="59EB7CFC"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$537,418,071</w:t>
            </w:r>
          </w:p>
        </w:tc>
      </w:tr>
      <w:tr w:rsidR="00F9012D" w:rsidRPr="00F9012D" w14:paraId="177948C3" w14:textId="77777777" w:rsidTr="00F9012D">
        <w:trPr>
          <w:trHeight w:val="449"/>
        </w:trPr>
        <w:tc>
          <w:tcPr>
            <w:tcW w:w="496" w:type="dxa"/>
            <w:tcBorders>
              <w:top w:val="nil"/>
              <w:left w:val="nil"/>
              <w:bottom w:val="nil"/>
              <w:right w:val="nil"/>
            </w:tcBorders>
            <w:shd w:val="clear" w:color="auto" w:fill="auto"/>
            <w:noWrap/>
            <w:vAlign w:val="center"/>
            <w:hideMark/>
          </w:tcPr>
          <w:p w14:paraId="7914A2EF"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27BBA868"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653861BD"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3F0A863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820103</w:t>
            </w:r>
          </w:p>
        </w:tc>
        <w:tc>
          <w:tcPr>
            <w:tcW w:w="4547" w:type="dxa"/>
            <w:tcBorders>
              <w:top w:val="nil"/>
              <w:left w:val="nil"/>
              <w:bottom w:val="nil"/>
              <w:right w:val="nil"/>
            </w:tcBorders>
            <w:shd w:val="clear" w:color="auto" w:fill="auto"/>
            <w:vAlign w:val="center"/>
            <w:hideMark/>
          </w:tcPr>
          <w:p w14:paraId="11CB13A5"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FONE- GASTO DE OPERACIÓN</w:t>
            </w:r>
          </w:p>
        </w:tc>
        <w:tc>
          <w:tcPr>
            <w:tcW w:w="1788" w:type="dxa"/>
            <w:tcBorders>
              <w:top w:val="nil"/>
              <w:left w:val="nil"/>
              <w:bottom w:val="nil"/>
              <w:right w:val="nil"/>
            </w:tcBorders>
            <w:shd w:val="clear" w:color="auto" w:fill="auto"/>
            <w:vAlign w:val="center"/>
            <w:hideMark/>
          </w:tcPr>
          <w:p w14:paraId="36BD4E80"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$153,548,020</w:t>
            </w:r>
          </w:p>
        </w:tc>
      </w:tr>
      <w:tr w:rsidR="00F9012D" w:rsidRPr="00F9012D" w14:paraId="63DF39C3" w14:textId="77777777" w:rsidTr="00F9012D">
        <w:trPr>
          <w:trHeight w:val="449"/>
        </w:trPr>
        <w:tc>
          <w:tcPr>
            <w:tcW w:w="496" w:type="dxa"/>
            <w:tcBorders>
              <w:top w:val="nil"/>
              <w:left w:val="nil"/>
              <w:bottom w:val="nil"/>
              <w:right w:val="nil"/>
            </w:tcBorders>
            <w:shd w:val="clear" w:color="auto" w:fill="auto"/>
            <w:noWrap/>
            <w:vAlign w:val="center"/>
            <w:hideMark/>
          </w:tcPr>
          <w:p w14:paraId="22E92686"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6577B9AB"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3D1AD0E7"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48CD0A7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820104</w:t>
            </w:r>
          </w:p>
        </w:tc>
        <w:tc>
          <w:tcPr>
            <w:tcW w:w="4547" w:type="dxa"/>
            <w:tcBorders>
              <w:top w:val="nil"/>
              <w:left w:val="nil"/>
              <w:bottom w:val="nil"/>
              <w:right w:val="nil"/>
            </w:tcBorders>
            <w:shd w:val="clear" w:color="auto" w:fill="auto"/>
            <w:vAlign w:val="center"/>
            <w:hideMark/>
          </w:tcPr>
          <w:p w14:paraId="7D16EA7D"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FONE- SERVICIOS PERSONALES</w:t>
            </w:r>
          </w:p>
        </w:tc>
        <w:tc>
          <w:tcPr>
            <w:tcW w:w="1788" w:type="dxa"/>
            <w:tcBorders>
              <w:top w:val="nil"/>
              <w:left w:val="nil"/>
              <w:bottom w:val="nil"/>
              <w:right w:val="nil"/>
            </w:tcBorders>
            <w:shd w:val="clear" w:color="auto" w:fill="auto"/>
            <w:vAlign w:val="center"/>
            <w:hideMark/>
          </w:tcPr>
          <w:p w14:paraId="732EC241"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$6,986,434,918</w:t>
            </w:r>
          </w:p>
        </w:tc>
      </w:tr>
      <w:tr w:rsidR="00F9012D" w:rsidRPr="00F9012D" w14:paraId="6CF1E0E8" w14:textId="77777777" w:rsidTr="00F9012D">
        <w:trPr>
          <w:trHeight w:val="449"/>
        </w:trPr>
        <w:tc>
          <w:tcPr>
            <w:tcW w:w="496" w:type="dxa"/>
            <w:tcBorders>
              <w:top w:val="nil"/>
              <w:left w:val="nil"/>
              <w:bottom w:val="nil"/>
              <w:right w:val="nil"/>
            </w:tcBorders>
            <w:shd w:val="clear" w:color="auto" w:fill="auto"/>
            <w:noWrap/>
            <w:vAlign w:val="center"/>
            <w:hideMark/>
          </w:tcPr>
          <w:p w14:paraId="05B7DB50"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79654DFF"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3E6E29D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8202</w:t>
            </w:r>
          </w:p>
        </w:tc>
        <w:tc>
          <w:tcPr>
            <w:tcW w:w="755" w:type="dxa"/>
            <w:tcBorders>
              <w:top w:val="nil"/>
              <w:left w:val="nil"/>
              <w:bottom w:val="nil"/>
              <w:right w:val="nil"/>
            </w:tcBorders>
            <w:shd w:val="clear" w:color="auto" w:fill="auto"/>
            <w:noWrap/>
            <w:vAlign w:val="center"/>
            <w:hideMark/>
          </w:tcPr>
          <w:p w14:paraId="23482733"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2214A04D"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PARA LOS SERVICIOS DE SALUD (FASSA)</w:t>
            </w:r>
          </w:p>
        </w:tc>
        <w:tc>
          <w:tcPr>
            <w:tcW w:w="1788" w:type="dxa"/>
            <w:tcBorders>
              <w:top w:val="nil"/>
              <w:left w:val="nil"/>
              <w:bottom w:val="nil"/>
              <w:right w:val="nil"/>
            </w:tcBorders>
            <w:shd w:val="clear" w:color="auto" w:fill="auto"/>
            <w:vAlign w:val="center"/>
            <w:hideMark/>
          </w:tcPr>
          <w:p w14:paraId="0C567C79"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$2,581,199,080</w:t>
            </w:r>
          </w:p>
        </w:tc>
      </w:tr>
      <w:tr w:rsidR="00F9012D" w:rsidRPr="00F9012D" w14:paraId="27D174F5" w14:textId="77777777" w:rsidTr="00F9012D">
        <w:trPr>
          <w:trHeight w:val="449"/>
        </w:trPr>
        <w:tc>
          <w:tcPr>
            <w:tcW w:w="496" w:type="dxa"/>
            <w:tcBorders>
              <w:top w:val="nil"/>
              <w:left w:val="nil"/>
              <w:bottom w:val="nil"/>
              <w:right w:val="nil"/>
            </w:tcBorders>
            <w:shd w:val="clear" w:color="auto" w:fill="auto"/>
            <w:noWrap/>
            <w:vAlign w:val="center"/>
            <w:hideMark/>
          </w:tcPr>
          <w:p w14:paraId="164E11E7"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4C119ADE"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5A6F093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8203</w:t>
            </w:r>
          </w:p>
        </w:tc>
        <w:tc>
          <w:tcPr>
            <w:tcW w:w="755" w:type="dxa"/>
            <w:tcBorders>
              <w:top w:val="nil"/>
              <w:left w:val="nil"/>
              <w:bottom w:val="nil"/>
              <w:right w:val="nil"/>
            </w:tcBorders>
            <w:shd w:val="clear" w:color="auto" w:fill="auto"/>
            <w:noWrap/>
            <w:vAlign w:val="center"/>
            <w:hideMark/>
          </w:tcPr>
          <w:p w14:paraId="70C189A0"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4BC9A8A0"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PARA LA INFRAESTRUCTURA SOCIAL (FAIS)</w:t>
            </w:r>
          </w:p>
        </w:tc>
        <w:tc>
          <w:tcPr>
            <w:tcW w:w="1788" w:type="dxa"/>
            <w:tcBorders>
              <w:top w:val="nil"/>
              <w:left w:val="nil"/>
              <w:bottom w:val="nil"/>
              <w:right w:val="nil"/>
            </w:tcBorders>
            <w:shd w:val="clear" w:color="auto" w:fill="auto"/>
            <w:vAlign w:val="center"/>
            <w:hideMark/>
          </w:tcPr>
          <w:p w14:paraId="1256D260"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$1,733,221,473</w:t>
            </w:r>
          </w:p>
        </w:tc>
      </w:tr>
      <w:tr w:rsidR="00F9012D" w:rsidRPr="00F9012D" w14:paraId="73AF9CA4" w14:textId="77777777" w:rsidTr="00F9012D">
        <w:trPr>
          <w:trHeight w:val="449"/>
        </w:trPr>
        <w:tc>
          <w:tcPr>
            <w:tcW w:w="496" w:type="dxa"/>
            <w:tcBorders>
              <w:top w:val="nil"/>
              <w:left w:val="nil"/>
              <w:bottom w:val="nil"/>
              <w:right w:val="nil"/>
            </w:tcBorders>
            <w:shd w:val="clear" w:color="auto" w:fill="auto"/>
            <w:noWrap/>
            <w:vAlign w:val="center"/>
            <w:hideMark/>
          </w:tcPr>
          <w:p w14:paraId="2980AACE"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48256578"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5DB2951E"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270F88A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820301</w:t>
            </w:r>
          </w:p>
        </w:tc>
        <w:tc>
          <w:tcPr>
            <w:tcW w:w="4547" w:type="dxa"/>
            <w:tcBorders>
              <w:top w:val="nil"/>
              <w:left w:val="nil"/>
              <w:bottom w:val="nil"/>
              <w:right w:val="nil"/>
            </w:tcBorders>
            <w:shd w:val="clear" w:color="auto" w:fill="auto"/>
            <w:vAlign w:val="center"/>
            <w:hideMark/>
          </w:tcPr>
          <w:p w14:paraId="19FA1F99"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ESTATAL</w:t>
            </w:r>
          </w:p>
        </w:tc>
        <w:tc>
          <w:tcPr>
            <w:tcW w:w="1788" w:type="dxa"/>
            <w:tcBorders>
              <w:top w:val="nil"/>
              <w:left w:val="nil"/>
              <w:bottom w:val="nil"/>
              <w:right w:val="nil"/>
            </w:tcBorders>
            <w:shd w:val="clear" w:color="auto" w:fill="auto"/>
            <w:vAlign w:val="center"/>
            <w:hideMark/>
          </w:tcPr>
          <w:p w14:paraId="2B9AFB83"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$207,986,577</w:t>
            </w:r>
          </w:p>
        </w:tc>
      </w:tr>
      <w:tr w:rsidR="00F9012D" w:rsidRPr="00F9012D" w14:paraId="6EACD093" w14:textId="77777777" w:rsidTr="00F9012D">
        <w:trPr>
          <w:trHeight w:val="449"/>
        </w:trPr>
        <w:tc>
          <w:tcPr>
            <w:tcW w:w="496" w:type="dxa"/>
            <w:tcBorders>
              <w:top w:val="nil"/>
              <w:left w:val="nil"/>
              <w:bottom w:val="nil"/>
              <w:right w:val="nil"/>
            </w:tcBorders>
            <w:shd w:val="clear" w:color="auto" w:fill="auto"/>
            <w:noWrap/>
            <w:vAlign w:val="center"/>
            <w:hideMark/>
          </w:tcPr>
          <w:p w14:paraId="3319276E"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670A775B"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1791DA71"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5175E89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820302</w:t>
            </w:r>
          </w:p>
        </w:tc>
        <w:tc>
          <w:tcPr>
            <w:tcW w:w="4547" w:type="dxa"/>
            <w:tcBorders>
              <w:top w:val="nil"/>
              <w:left w:val="nil"/>
              <w:bottom w:val="nil"/>
              <w:right w:val="nil"/>
            </w:tcBorders>
            <w:shd w:val="clear" w:color="auto" w:fill="auto"/>
            <w:vAlign w:val="center"/>
            <w:hideMark/>
          </w:tcPr>
          <w:p w14:paraId="33696E0E"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MUNICIPAL</w:t>
            </w:r>
          </w:p>
        </w:tc>
        <w:tc>
          <w:tcPr>
            <w:tcW w:w="1788" w:type="dxa"/>
            <w:tcBorders>
              <w:top w:val="nil"/>
              <w:left w:val="nil"/>
              <w:bottom w:val="nil"/>
              <w:right w:val="nil"/>
            </w:tcBorders>
            <w:shd w:val="clear" w:color="auto" w:fill="auto"/>
            <w:vAlign w:val="center"/>
            <w:hideMark/>
          </w:tcPr>
          <w:p w14:paraId="6EAFF091"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$1,525,234,896</w:t>
            </w:r>
          </w:p>
        </w:tc>
      </w:tr>
      <w:tr w:rsidR="00F9012D" w:rsidRPr="00F9012D" w14:paraId="28A3E321" w14:textId="77777777" w:rsidTr="00F9012D">
        <w:trPr>
          <w:trHeight w:val="817"/>
        </w:trPr>
        <w:tc>
          <w:tcPr>
            <w:tcW w:w="496" w:type="dxa"/>
            <w:tcBorders>
              <w:top w:val="nil"/>
              <w:left w:val="nil"/>
              <w:bottom w:val="nil"/>
              <w:right w:val="nil"/>
            </w:tcBorders>
            <w:shd w:val="clear" w:color="auto" w:fill="auto"/>
            <w:noWrap/>
            <w:vAlign w:val="center"/>
            <w:hideMark/>
          </w:tcPr>
          <w:p w14:paraId="76CA98CD"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5554E4FC"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34E182C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8204</w:t>
            </w:r>
          </w:p>
        </w:tc>
        <w:tc>
          <w:tcPr>
            <w:tcW w:w="755" w:type="dxa"/>
            <w:tcBorders>
              <w:top w:val="nil"/>
              <w:left w:val="nil"/>
              <w:bottom w:val="nil"/>
              <w:right w:val="nil"/>
            </w:tcBorders>
            <w:shd w:val="clear" w:color="auto" w:fill="auto"/>
            <w:noWrap/>
            <w:vAlign w:val="center"/>
            <w:hideMark/>
          </w:tcPr>
          <w:p w14:paraId="4A6296A2"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4339A13D"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PARA EL FORTALECIMIENTO DE LOS MUNICIPIOS Y DE LAS DEMARCACIONES TERRITORIALES DEL DISTRITO FEDERAL (FORTAMUN)</w:t>
            </w:r>
          </w:p>
        </w:tc>
        <w:tc>
          <w:tcPr>
            <w:tcW w:w="1788" w:type="dxa"/>
            <w:tcBorders>
              <w:top w:val="nil"/>
              <w:left w:val="nil"/>
              <w:bottom w:val="nil"/>
              <w:right w:val="nil"/>
            </w:tcBorders>
            <w:shd w:val="clear" w:color="auto" w:fill="auto"/>
            <w:vAlign w:val="center"/>
            <w:hideMark/>
          </w:tcPr>
          <w:p w14:paraId="14EB7994"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$1,598,609,063</w:t>
            </w:r>
          </w:p>
        </w:tc>
      </w:tr>
      <w:tr w:rsidR="00F9012D" w:rsidRPr="00F9012D" w14:paraId="3A061144" w14:textId="77777777" w:rsidTr="00F9012D">
        <w:trPr>
          <w:trHeight w:val="449"/>
        </w:trPr>
        <w:tc>
          <w:tcPr>
            <w:tcW w:w="496" w:type="dxa"/>
            <w:tcBorders>
              <w:top w:val="nil"/>
              <w:left w:val="nil"/>
              <w:bottom w:val="nil"/>
              <w:right w:val="nil"/>
            </w:tcBorders>
            <w:shd w:val="clear" w:color="auto" w:fill="auto"/>
            <w:noWrap/>
            <w:vAlign w:val="center"/>
            <w:hideMark/>
          </w:tcPr>
          <w:p w14:paraId="324D43F4"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5934AEBF"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5520BDB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8205</w:t>
            </w:r>
          </w:p>
        </w:tc>
        <w:tc>
          <w:tcPr>
            <w:tcW w:w="755" w:type="dxa"/>
            <w:tcBorders>
              <w:top w:val="nil"/>
              <w:left w:val="nil"/>
              <w:bottom w:val="nil"/>
              <w:right w:val="nil"/>
            </w:tcBorders>
            <w:shd w:val="clear" w:color="auto" w:fill="auto"/>
            <w:noWrap/>
            <w:vAlign w:val="center"/>
            <w:hideMark/>
          </w:tcPr>
          <w:p w14:paraId="6419DCC8"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4F37C84F"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DE ASISTENCIA MÚLTIPLE (FAM)</w:t>
            </w:r>
          </w:p>
        </w:tc>
        <w:tc>
          <w:tcPr>
            <w:tcW w:w="1788" w:type="dxa"/>
            <w:tcBorders>
              <w:top w:val="nil"/>
              <w:left w:val="nil"/>
              <w:bottom w:val="nil"/>
              <w:right w:val="nil"/>
            </w:tcBorders>
            <w:shd w:val="clear" w:color="auto" w:fill="auto"/>
            <w:vAlign w:val="center"/>
            <w:hideMark/>
          </w:tcPr>
          <w:p w14:paraId="2A0C6EDE"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$651,225,752</w:t>
            </w:r>
          </w:p>
        </w:tc>
      </w:tr>
      <w:tr w:rsidR="00F9012D" w:rsidRPr="00F9012D" w14:paraId="24A062F8" w14:textId="77777777" w:rsidTr="00F9012D">
        <w:trPr>
          <w:trHeight w:val="449"/>
        </w:trPr>
        <w:tc>
          <w:tcPr>
            <w:tcW w:w="496" w:type="dxa"/>
            <w:tcBorders>
              <w:top w:val="nil"/>
              <w:left w:val="nil"/>
              <w:bottom w:val="nil"/>
              <w:right w:val="nil"/>
            </w:tcBorders>
            <w:shd w:val="clear" w:color="auto" w:fill="auto"/>
            <w:noWrap/>
            <w:vAlign w:val="center"/>
            <w:hideMark/>
          </w:tcPr>
          <w:p w14:paraId="15D136A5"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162A22B9"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6982D152"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5AA526E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820501</w:t>
            </w:r>
          </w:p>
        </w:tc>
        <w:tc>
          <w:tcPr>
            <w:tcW w:w="4547" w:type="dxa"/>
            <w:tcBorders>
              <w:top w:val="nil"/>
              <w:left w:val="nil"/>
              <w:bottom w:val="nil"/>
              <w:right w:val="nil"/>
            </w:tcBorders>
            <w:shd w:val="clear" w:color="auto" w:fill="auto"/>
            <w:vAlign w:val="center"/>
            <w:hideMark/>
          </w:tcPr>
          <w:p w14:paraId="0CD17BC1"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ASISTENCIA SOCIAL</w:t>
            </w:r>
          </w:p>
        </w:tc>
        <w:tc>
          <w:tcPr>
            <w:tcW w:w="1788" w:type="dxa"/>
            <w:tcBorders>
              <w:top w:val="nil"/>
              <w:left w:val="nil"/>
              <w:bottom w:val="nil"/>
              <w:right w:val="nil"/>
            </w:tcBorders>
            <w:shd w:val="clear" w:color="auto" w:fill="auto"/>
            <w:noWrap/>
            <w:vAlign w:val="center"/>
            <w:hideMark/>
          </w:tcPr>
          <w:p w14:paraId="5B8551CF"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$306,076,103</w:t>
            </w:r>
          </w:p>
        </w:tc>
      </w:tr>
      <w:tr w:rsidR="00F9012D" w:rsidRPr="00F9012D" w14:paraId="2A4A32B3" w14:textId="77777777" w:rsidTr="00F9012D">
        <w:trPr>
          <w:trHeight w:val="449"/>
        </w:trPr>
        <w:tc>
          <w:tcPr>
            <w:tcW w:w="496" w:type="dxa"/>
            <w:tcBorders>
              <w:top w:val="nil"/>
              <w:left w:val="nil"/>
              <w:bottom w:val="nil"/>
              <w:right w:val="nil"/>
            </w:tcBorders>
            <w:shd w:val="clear" w:color="auto" w:fill="auto"/>
            <w:noWrap/>
            <w:vAlign w:val="center"/>
            <w:hideMark/>
          </w:tcPr>
          <w:p w14:paraId="380185BB"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2D743545"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5E2C65D7"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684BD7C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820502</w:t>
            </w:r>
          </w:p>
        </w:tc>
        <w:tc>
          <w:tcPr>
            <w:tcW w:w="4547" w:type="dxa"/>
            <w:tcBorders>
              <w:top w:val="nil"/>
              <w:left w:val="nil"/>
              <w:bottom w:val="nil"/>
              <w:right w:val="nil"/>
            </w:tcBorders>
            <w:shd w:val="clear" w:color="auto" w:fill="auto"/>
            <w:vAlign w:val="center"/>
            <w:hideMark/>
          </w:tcPr>
          <w:p w14:paraId="40A1ABA2"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INFRAESTRUCTURA EDUCATIVA BÁSICA</w:t>
            </w:r>
          </w:p>
        </w:tc>
        <w:tc>
          <w:tcPr>
            <w:tcW w:w="1788" w:type="dxa"/>
            <w:tcBorders>
              <w:top w:val="nil"/>
              <w:left w:val="nil"/>
              <w:bottom w:val="nil"/>
              <w:right w:val="nil"/>
            </w:tcBorders>
            <w:shd w:val="clear" w:color="auto" w:fill="auto"/>
            <w:vAlign w:val="center"/>
            <w:hideMark/>
          </w:tcPr>
          <w:p w14:paraId="1542447D"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$221,416,756</w:t>
            </w:r>
          </w:p>
        </w:tc>
      </w:tr>
      <w:tr w:rsidR="00F9012D" w:rsidRPr="00F9012D" w14:paraId="5D349DCD" w14:textId="77777777" w:rsidTr="00F9012D">
        <w:trPr>
          <w:trHeight w:val="449"/>
        </w:trPr>
        <w:tc>
          <w:tcPr>
            <w:tcW w:w="496" w:type="dxa"/>
            <w:tcBorders>
              <w:top w:val="nil"/>
              <w:left w:val="nil"/>
              <w:bottom w:val="nil"/>
              <w:right w:val="nil"/>
            </w:tcBorders>
            <w:shd w:val="clear" w:color="auto" w:fill="auto"/>
            <w:noWrap/>
            <w:vAlign w:val="center"/>
            <w:hideMark/>
          </w:tcPr>
          <w:p w14:paraId="7B87B4D8"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2031CF09"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31E05CD2"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0755A1E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820503</w:t>
            </w:r>
          </w:p>
        </w:tc>
        <w:tc>
          <w:tcPr>
            <w:tcW w:w="4547" w:type="dxa"/>
            <w:tcBorders>
              <w:top w:val="nil"/>
              <w:left w:val="nil"/>
              <w:bottom w:val="nil"/>
              <w:right w:val="nil"/>
            </w:tcBorders>
            <w:shd w:val="clear" w:color="auto" w:fill="auto"/>
            <w:vAlign w:val="center"/>
            <w:hideMark/>
          </w:tcPr>
          <w:p w14:paraId="7B301A6A"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 xml:space="preserve">INFRAESTRUCTURA EDUCATIVA MEDIA SUPERIOR </w:t>
            </w:r>
          </w:p>
        </w:tc>
        <w:tc>
          <w:tcPr>
            <w:tcW w:w="1788" w:type="dxa"/>
            <w:tcBorders>
              <w:top w:val="nil"/>
              <w:left w:val="nil"/>
              <w:bottom w:val="nil"/>
              <w:right w:val="nil"/>
            </w:tcBorders>
            <w:shd w:val="clear" w:color="auto" w:fill="auto"/>
            <w:vAlign w:val="center"/>
            <w:hideMark/>
          </w:tcPr>
          <w:p w14:paraId="7F724100"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$19,536,773</w:t>
            </w:r>
          </w:p>
        </w:tc>
      </w:tr>
      <w:tr w:rsidR="00F9012D" w:rsidRPr="00F9012D" w14:paraId="7D564635" w14:textId="77777777" w:rsidTr="00F9012D">
        <w:trPr>
          <w:trHeight w:val="449"/>
        </w:trPr>
        <w:tc>
          <w:tcPr>
            <w:tcW w:w="496" w:type="dxa"/>
            <w:tcBorders>
              <w:top w:val="nil"/>
              <w:left w:val="nil"/>
              <w:bottom w:val="nil"/>
              <w:right w:val="nil"/>
            </w:tcBorders>
            <w:shd w:val="clear" w:color="auto" w:fill="auto"/>
            <w:noWrap/>
            <w:vAlign w:val="center"/>
            <w:hideMark/>
          </w:tcPr>
          <w:p w14:paraId="4696A49A"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1C358DB3"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4D89D921"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3C5B9D4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820505</w:t>
            </w:r>
          </w:p>
        </w:tc>
        <w:tc>
          <w:tcPr>
            <w:tcW w:w="4547" w:type="dxa"/>
            <w:tcBorders>
              <w:top w:val="nil"/>
              <w:left w:val="nil"/>
              <w:bottom w:val="nil"/>
              <w:right w:val="nil"/>
            </w:tcBorders>
            <w:shd w:val="clear" w:color="auto" w:fill="auto"/>
            <w:vAlign w:val="center"/>
            <w:hideMark/>
          </w:tcPr>
          <w:p w14:paraId="21AE9CC5"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INFRAESTRUCTURA EDUCATIVA  SUPERIOR</w:t>
            </w:r>
          </w:p>
        </w:tc>
        <w:tc>
          <w:tcPr>
            <w:tcW w:w="1788" w:type="dxa"/>
            <w:tcBorders>
              <w:top w:val="nil"/>
              <w:left w:val="nil"/>
              <w:bottom w:val="nil"/>
              <w:right w:val="nil"/>
            </w:tcBorders>
            <w:shd w:val="clear" w:color="auto" w:fill="auto"/>
            <w:vAlign w:val="center"/>
            <w:hideMark/>
          </w:tcPr>
          <w:p w14:paraId="42C0E677"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$104,196,120</w:t>
            </w:r>
          </w:p>
        </w:tc>
      </w:tr>
      <w:tr w:rsidR="00F9012D" w:rsidRPr="00F9012D" w14:paraId="75F4FDDE" w14:textId="77777777" w:rsidTr="00F9012D">
        <w:trPr>
          <w:trHeight w:val="449"/>
        </w:trPr>
        <w:tc>
          <w:tcPr>
            <w:tcW w:w="496" w:type="dxa"/>
            <w:tcBorders>
              <w:top w:val="nil"/>
              <w:left w:val="nil"/>
              <w:bottom w:val="nil"/>
              <w:right w:val="nil"/>
            </w:tcBorders>
            <w:shd w:val="clear" w:color="auto" w:fill="auto"/>
            <w:noWrap/>
            <w:vAlign w:val="center"/>
            <w:hideMark/>
          </w:tcPr>
          <w:p w14:paraId="71D05D6E"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619D40AA"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68C6B5C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8206</w:t>
            </w:r>
          </w:p>
        </w:tc>
        <w:tc>
          <w:tcPr>
            <w:tcW w:w="755" w:type="dxa"/>
            <w:tcBorders>
              <w:top w:val="nil"/>
              <w:left w:val="nil"/>
              <w:bottom w:val="nil"/>
              <w:right w:val="nil"/>
            </w:tcBorders>
            <w:shd w:val="clear" w:color="auto" w:fill="auto"/>
            <w:noWrap/>
            <w:vAlign w:val="center"/>
            <w:hideMark/>
          </w:tcPr>
          <w:p w14:paraId="2A37EB48"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3E4A0325"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PARA LA EDUCACiÓN TECNOLÓGICA (FAETA)</w:t>
            </w:r>
          </w:p>
        </w:tc>
        <w:tc>
          <w:tcPr>
            <w:tcW w:w="1788" w:type="dxa"/>
            <w:tcBorders>
              <w:top w:val="nil"/>
              <w:left w:val="nil"/>
              <w:bottom w:val="nil"/>
              <w:right w:val="nil"/>
            </w:tcBorders>
            <w:shd w:val="clear" w:color="auto" w:fill="auto"/>
            <w:vAlign w:val="center"/>
            <w:hideMark/>
          </w:tcPr>
          <w:p w14:paraId="3867820D"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$187,102,771</w:t>
            </w:r>
          </w:p>
        </w:tc>
      </w:tr>
      <w:tr w:rsidR="00F9012D" w:rsidRPr="00F9012D" w14:paraId="78F5CC23" w14:textId="77777777" w:rsidTr="00F9012D">
        <w:trPr>
          <w:trHeight w:val="449"/>
        </w:trPr>
        <w:tc>
          <w:tcPr>
            <w:tcW w:w="496" w:type="dxa"/>
            <w:tcBorders>
              <w:top w:val="nil"/>
              <w:left w:val="nil"/>
              <w:bottom w:val="nil"/>
              <w:right w:val="nil"/>
            </w:tcBorders>
            <w:shd w:val="clear" w:color="auto" w:fill="auto"/>
            <w:noWrap/>
            <w:vAlign w:val="center"/>
            <w:hideMark/>
          </w:tcPr>
          <w:p w14:paraId="52BC22FC"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1697089F"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3B3284E4"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1C21037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820601</w:t>
            </w:r>
          </w:p>
        </w:tc>
        <w:tc>
          <w:tcPr>
            <w:tcW w:w="4547" w:type="dxa"/>
            <w:tcBorders>
              <w:top w:val="nil"/>
              <w:left w:val="nil"/>
              <w:bottom w:val="nil"/>
              <w:right w:val="nil"/>
            </w:tcBorders>
            <w:shd w:val="clear" w:color="auto" w:fill="auto"/>
            <w:vAlign w:val="center"/>
            <w:hideMark/>
          </w:tcPr>
          <w:p w14:paraId="398E772C"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EDUCACIÓN TECNOLÓGICA</w:t>
            </w:r>
          </w:p>
        </w:tc>
        <w:tc>
          <w:tcPr>
            <w:tcW w:w="1788" w:type="dxa"/>
            <w:tcBorders>
              <w:top w:val="nil"/>
              <w:left w:val="nil"/>
              <w:bottom w:val="nil"/>
              <w:right w:val="nil"/>
            </w:tcBorders>
            <w:shd w:val="clear" w:color="auto" w:fill="auto"/>
            <w:vAlign w:val="center"/>
            <w:hideMark/>
          </w:tcPr>
          <w:p w14:paraId="297E9A65"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$114,132,690</w:t>
            </w:r>
          </w:p>
        </w:tc>
      </w:tr>
      <w:tr w:rsidR="00F9012D" w:rsidRPr="00F9012D" w14:paraId="6A03EDC3" w14:textId="77777777" w:rsidTr="00F9012D">
        <w:trPr>
          <w:trHeight w:val="449"/>
        </w:trPr>
        <w:tc>
          <w:tcPr>
            <w:tcW w:w="496" w:type="dxa"/>
            <w:tcBorders>
              <w:top w:val="nil"/>
              <w:left w:val="nil"/>
              <w:bottom w:val="nil"/>
              <w:right w:val="nil"/>
            </w:tcBorders>
            <w:shd w:val="clear" w:color="auto" w:fill="auto"/>
            <w:noWrap/>
            <w:vAlign w:val="center"/>
            <w:hideMark/>
          </w:tcPr>
          <w:p w14:paraId="08A54471"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473F61EA"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659C370E"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34F9074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820602</w:t>
            </w:r>
          </w:p>
        </w:tc>
        <w:tc>
          <w:tcPr>
            <w:tcW w:w="4547" w:type="dxa"/>
            <w:tcBorders>
              <w:top w:val="nil"/>
              <w:left w:val="nil"/>
              <w:bottom w:val="nil"/>
              <w:right w:val="nil"/>
            </w:tcBorders>
            <w:shd w:val="clear" w:color="auto" w:fill="auto"/>
            <w:vAlign w:val="center"/>
            <w:hideMark/>
          </w:tcPr>
          <w:p w14:paraId="5098030F"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EDUCACIÓN DE ADULTOS</w:t>
            </w:r>
          </w:p>
        </w:tc>
        <w:tc>
          <w:tcPr>
            <w:tcW w:w="1788" w:type="dxa"/>
            <w:tcBorders>
              <w:top w:val="nil"/>
              <w:left w:val="nil"/>
              <w:bottom w:val="nil"/>
              <w:right w:val="nil"/>
            </w:tcBorders>
            <w:shd w:val="clear" w:color="auto" w:fill="auto"/>
            <w:vAlign w:val="center"/>
            <w:hideMark/>
          </w:tcPr>
          <w:p w14:paraId="72BA23FF"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$72,970,081</w:t>
            </w:r>
          </w:p>
        </w:tc>
      </w:tr>
      <w:tr w:rsidR="00F9012D" w:rsidRPr="00F9012D" w14:paraId="52185C1E" w14:textId="77777777" w:rsidTr="00F9012D">
        <w:trPr>
          <w:trHeight w:val="641"/>
        </w:trPr>
        <w:tc>
          <w:tcPr>
            <w:tcW w:w="496" w:type="dxa"/>
            <w:tcBorders>
              <w:top w:val="nil"/>
              <w:left w:val="nil"/>
              <w:bottom w:val="nil"/>
              <w:right w:val="nil"/>
            </w:tcBorders>
            <w:shd w:val="clear" w:color="auto" w:fill="auto"/>
            <w:noWrap/>
            <w:vAlign w:val="center"/>
            <w:hideMark/>
          </w:tcPr>
          <w:p w14:paraId="33C542E8"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31A49BCB"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12F9889A"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8207</w:t>
            </w:r>
          </w:p>
        </w:tc>
        <w:tc>
          <w:tcPr>
            <w:tcW w:w="755" w:type="dxa"/>
            <w:tcBorders>
              <w:top w:val="nil"/>
              <w:left w:val="nil"/>
              <w:bottom w:val="nil"/>
              <w:right w:val="nil"/>
            </w:tcBorders>
            <w:shd w:val="clear" w:color="auto" w:fill="auto"/>
            <w:noWrap/>
            <w:vAlign w:val="center"/>
            <w:hideMark/>
          </w:tcPr>
          <w:p w14:paraId="09FA24DC"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5C64C624"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 xml:space="preserve">FONDO PARA LA SEGURIDAD PÚBLICA DE LAS ENTIDADES Y DEL DF (FASP) </w:t>
            </w:r>
          </w:p>
        </w:tc>
        <w:tc>
          <w:tcPr>
            <w:tcW w:w="1788" w:type="dxa"/>
            <w:tcBorders>
              <w:top w:val="nil"/>
              <w:left w:val="nil"/>
              <w:bottom w:val="nil"/>
              <w:right w:val="nil"/>
            </w:tcBorders>
            <w:shd w:val="clear" w:color="000000" w:fill="FFFFFF"/>
            <w:vAlign w:val="center"/>
            <w:hideMark/>
          </w:tcPr>
          <w:p w14:paraId="21123217"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$170,039,101</w:t>
            </w:r>
          </w:p>
        </w:tc>
      </w:tr>
      <w:tr w:rsidR="00F9012D" w:rsidRPr="00F9012D" w14:paraId="341C3C58" w14:textId="77777777" w:rsidTr="00F9012D">
        <w:trPr>
          <w:trHeight w:val="511"/>
        </w:trPr>
        <w:tc>
          <w:tcPr>
            <w:tcW w:w="496" w:type="dxa"/>
            <w:tcBorders>
              <w:top w:val="nil"/>
              <w:left w:val="nil"/>
              <w:bottom w:val="nil"/>
              <w:right w:val="nil"/>
            </w:tcBorders>
            <w:shd w:val="clear" w:color="auto" w:fill="auto"/>
            <w:noWrap/>
            <w:vAlign w:val="center"/>
            <w:hideMark/>
          </w:tcPr>
          <w:p w14:paraId="0B92DAD8"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1BE2522F"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5477940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8208</w:t>
            </w:r>
          </w:p>
        </w:tc>
        <w:tc>
          <w:tcPr>
            <w:tcW w:w="755" w:type="dxa"/>
            <w:tcBorders>
              <w:top w:val="nil"/>
              <w:left w:val="nil"/>
              <w:bottom w:val="nil"/>
              <w:right w:val="nil"/>
            </w:tcBorders>
            <w:shd w:val="clear" w:color="auto" w:fill="auto"/>
            <w:noWrap/>
            <w:vAlign w:val="center"/>
            <w:hideMark/>
          </w:tcPr>
          <w:p w14:paraId="0A76271C"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71C725D9"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PARA EL FORTALECIMIENTO DE LAS ENTIDADES FEDERATIVAS (FAFEF)</w:t>
            </w:r>
          </w:p>
        </w:tc>
        <w:tc>
          <w:tcPr>
            <w:tcW w:w="1788" w:type="dxa"/>
            <w:tcBorders>
              <w:top w:val="nil"/>
              <w:left w:val="nil"/>
              <w:bottom w:val="nil"/>
              <w:right w:val="nil"/>
            </w:tcBorders>
            <w:shd w:val="clear" w:color="auto" w:fill="auto"/>
            <w:vAlign w:val="center"/>
            <w:hideMark/>
          </w:tcPr>
          <w:p w14:paraId="0003FD62"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$816,730,972</w:t>
            </w:r>
          </w:p>
        </w:tc>
      </w:tr>
      <w:tr w:rsidR="00F9012D" w:rsidRPr="00F9012D" w14:paraId="37E4611E" w14:textId="77777777" w:rsidTr="00F9012D">
        <w:trPr>
          <w:trHeight w:val="449"/>
        </w:trPr>
        <w:tc>
          <w:tcPr>
            <w:tcW w:w="496" w:type="dxa"/>
            <w:tcBorders>
              <w:top w:val="nil"/>
              <w:left w:val="nil"/>
              <w:bottom w:val="nil"/>
              <w:right w:val="nil"/>
            </w:tcBorders>
            <w:shd w:val="clear" w:color="auto" w:fill="auto"/>
            <w:noWrap/>
            <w:vAlign w:val="center"/>
            <w:hideMark/>
          </w:tcPr>
          <w:p w14:paraId="3A43C819" w14:textId="77777777" w:rsidR="00F9012D" w:rsidRPr="00F9012D" w:rsidRDefault="00F9012D" w:rsidP="00F9012D">
            <w:pPr>
              <w:jc w:val="left"/>
              <w:rPr>
                <w:rFonts w:eastAsia="Times New Roman"/>
                <w:b/>
                <w:bCs/>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55603D5C"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83</w:t>
            </w:r>
          </w:p>
        </w:tc>
        <w:tc>
          <w:tcPr>
            <w:tcW w:w="622" w:type="dxa"/>
            <w:tcBorders>
              <w:top w:val="nil"/>
              <w:left w:val="nil"/>
              <w:bottom w:val="nil"/>
              <w:right w:val="nil"/>
            </w:tcBorders>
            <w:shd w:val="clear" w:color="auto" w:fill="auto"/>
            <w:noWrap/>
            <w:vAlign w:val="center"/>
            <w:hideMark/>
          </w:tcPr>
          <w:p w14:paraId="681EE596"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045A8C4E"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20C53387"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 xml:space="preserve">CONVENIOS </w:t>
            </w:r>
          </w:p>
        </w:tc>
        <w:tc>
          <w:tcPr>
            <w:tcW w:w="1788" w:type="dxa"/>
            <w:tcBorders>
              <w:top w:val="nil"/>
              <w:left w:val="nil"/>
              <w:bottom w:val="nil"/>
              <w:right w:val="nil"/>
            </w:tcBorders>
            <w:shd w:val="clear" w:color="auto" w:fill="auto"/>
            <w:vAlign w:val="center"/>
            <w:hideMark/>
          </w:tcPr>
          <w:p w14:paraId="48567572"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$6,500,000,000</w:t>
            </w:r>
          </w:p>
        </w:tc>
      </w:tr>
      <w:tr w:rsidR="00F9012D" w:rsidRPr="00F9012D" w14:paraId="3D72FF45" w14:textId="77777777" w:rsidTr="00F9012D">
        <w:trPr>
          <w:trHeight w:val="449"/>
        </w:trPr>
        <w:tc>
          <w:tcPr>
            <w:tcW w:w="496" w:type="dxa"/>
            <w:tcBorders>
              <w:top w:val="nil"/>
              <w:left w:val="nil"/>
              <w:bottom w:val="nil"/>
              <w:right w:val="nil"/>
            </w:tcBorders>
            <w:shd w:val="clear" w:color="auto" w:fill="auto"/>
            <w:vAlign w:val="center"/>
            <w:hideMark/>
          </w:tcPr>
          <w:p w14:paraId="4F6E9969" w14:textId="77777777" w:rsidR="00F9012D" w:rsidRPr="00F9012D" w:rsidRDefault="00F9012D" w:rsidP="00F9012D">
            <w:pPr>
              <w:jc w:val="left"/>
              <w:rPr>
                <w:rFonts w:eastAsia="Times New Roman"/>
                <w:b/>
                <w:bCs/>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61001EFE"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84</w:t>
            </w:r>
          </w:p>
        </w:tc>
        <w:tc>
          <w:tcPr>
            <w:tcW w:w="622" w:type="dxa"/>
            <w:tcBorders>
              <w:top w:val="nil"/>
              <w:left w:val="nil"/>
              <w:bottom w:val="nil"/>
              <w:right w:val="nil"/>
            </w:tcBorders>
            <w:shd w:val="clear" w:color="auto" w:fill="auto"/>
            <w:vAlign w:val="center"/>
            <w:hideMark/>
          </w:tcPr>
          <w:p w14:paraId="5CB1EBE9"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30B42A3A"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0AC4D215"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INCENTIVOS DERIVADOS DE LA COLABORACIÓN FISCAL</w:t>
            </w:r>
          </w:p>
        </w:tc>
        <w:tc>
          <w:tcPr>
            <w:tcW w:w="1788" w:type="dxa"/>
            <w:tcBorders>
              <w:top w:val="nil"/>
              <w:left w:val="nil"/>
              <w:bottom w:val="nil"/>
              <w:right w:val="nil"/>
            </w:tcBorders>
            <w:shd w:val="clear" w:color="auto" w:fill="auto"/>
            <w:vAlign w:val="center"/>
            <w:hideMark/>
          </w:tcPr>
          <w:p w14:paraId="3BBC2F65"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$1,149,781,771</w:t>
            </w:r>
          </w:p>
        </w:tc>
      </w:tr>
      <w:tr w:rsidR="00F9012D" w:rsidRPr="00F9012D" w14:paraId="51E4B732" w14:textId="77777777" w:rsidTr="00F9012D">
        <w:trPr>
          <w:trHeight w:val="449"/>
        </w:trPr>
        <w:tc>
          <w:tcPr>
            <w:tcW w:w="496" w:type="dxa"/>
            <w:tcBorders>
              <w:top w:val="nil"/>
              <w:left w:val="nil"/>
              <w:bottom w:val="nil"/>
              <w:right w:val="nil"/>
            </w:tcBorders>
            <w:shd w:val="clear" w:color="auto" w:fill="auto"/>
            <w:vAlign w:val="center"/>
            <w:hideMark/>
          </w:tcPr>
          <w:p w14:paraId="7FB7E223"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4C6B6461"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4EF6CD41"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8401</w:t>
            </w:r>
          </w:p>
        </w:tc>
        <w:tc>
          <w:tcPr>
            <w:tcW w:w="755" w:type="dxa"/>
            <w:tcBorders>
              <w:top w:val="nil"/>
              <w:left w:val="nil"/>
              <w:bottom w:val="nil"/>
              <w:right w:val="nil"/>
            </w:tcBorders>
            <w:shd w:val="clear" w:color="auto" w:fill="auto"/>
            <w:vAlign w:val="center"/>
            <w:hideMark/>
          </w:tcPr>
          <w:p w14:paraId="6D2D25A8"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780A7F36"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INCENTIVOS REINTEGRADOS POR LA TESOFE</w:t>
            </w:r>
          </w:p>
        </w:tc>
        <w:tc>
          <w:tcPr>
            <w:tcW w:w="1788" w:type="dxa"/>
            <w:tcBorders>
              <w:top w:val="nil"/>
              <w:left w:val="nil"/>
              <w:bottom w:val="nil"/>
              <w:right w:val="nil"/>
            </w:tcBorders>
            <w:shd w:val="clear" w:color="auto" w:fill="auto"/>
            <w:vAlign w:val="center"/>
            <w:hideMark/>
          </w:tcPr>
          <w:p w14:paraId="45BF2B16"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$205,465,552</w:t>
            </w:r>
          </w:p>
        </w:tc>
      </w:tr>
      <w:tr w:rsidR="00F9012D" w:rsidRPr="00F9012D" w14:paraId="54CD1DDF" w14:textId="77777777" w:rsidTr="00F9012D">
        <w:trPr>
          <w:trHeight w:val="525"/>
        </w:trPr>
        <w:tc>
          <w:tcPr>
            <w:tcW w:w="496" w:type="dxa"/>
            <w:tcBorders>
              <w:top w:val="nil"/>
              <w:left w:val="nil"/>
              <w:bottom w:val="nil"/>
              <w:right w:val="nil"/>
            </w:tcBorders>
            <w:shd w:val="clear" w:color="auto" w:fill="auto"/>
            <w:vAlign w:val="center"/>
            <w:hideMark/>
          </w:tcPr>
          <w:p w14:paraId="4E54C896"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25A01103"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08B976D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8402</w:t>
            </w:r>
          </w:p>
        </w:tc>
        <w:tc>
          <w:tcPr>
            <w:tcW w:w="755" w:type="dxa"/>
            <w:tcBorders>
              <w:top w:val="nil"/>
              <w:left w:val="nil"/>
              <w:bottom w:val="nil"/>
              <w:right w:val="nil"/>
            </w:tcBorders>
            <w:shd w:val="clear" w:color="auto" w:fill="auto"/>
            <w:vAlign w:val="center"/>
            <w:hideMark/>
          </w:tcPr>
          <w:p w14:paraId="4E11966F"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13C5093A"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INCENTIVOS POR LA RECAUDACIÓN DE INGRESOS FEDERALES COORDINADOS</w:t>
            </w:r>
          </w:p>
        </w:tc>
        <w:tc>
          <w:tcPr>
            <w:tcW w:w="1788" w:type="dxa"/>
            <w:tcBorders>
              <w:top w:val="nil"/>
              <w:left w:val="nil"/>
              <w:bottom w:val="nil"/>
              <w:right w:val="nil"/>
            </w:tcBorders>
            <w:shd w:val="clear" w:color="auto" w:fill="auto"/>
            <w:vAlign w:val="center"/>
            <w:hideMark/>
          </w:tcPr>
          <w:p w14:paraId="08FFB4F0"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$944,316,219</w:t>
            </w:r>
          </w:p>
        </w:tc>
      </w:tr>
      <w:tr w:rsidR="00F9012D" w:rsidRPr="00F9012D" w14:paraId="6927F32C" w14:textId="77777777" w:rsidTr="00F9012D">
        <w:trPr>
          <w:trHeight w:val="540"/>
        </w:trPr>
        <w:tc>
          <w:tcPr>
            <w:tcW w:w="496" w:type="dxa"/>
            <w:tcBorders>
              <w:top w:val="nil"/>
              <w:left w:val="nil"/>
              <w:bottom w:val="nil"/>
              <w:right w:val="nil"/>
            </w:tcBorders>
            <w:shd w:val="clear" w:color="auto" w:fill="auto"/>
            <w:vAlign w:val="center"/>
            <w:hideMark/>
          </w:tcPr>
          <w:p w14:paraId="5BFFE72D"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03548A29"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5D44EE15"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386E756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840201</w:t>
            </w:r>
          </w:p>
        </w:tc>
        <w:tc>
          <w:tcPr>
            <w:tcW w:w="4547" w:type="dxa"/>
            <w:tcBorders>
              <w:top w:val="nil"/>
              <w:left w:val="nil"/>
              <w:bottom w:val="nil"/>
              <w:right w:val="nil"/>
            </w:tcBorders>
            <w:shd w:val="clear" w:color="auto" w:fill="auto"/>
            <w:vAlign w:val="center"/>
            <w:hideMark/>
          </w:tcPr>
          <w:p w14:paraId="009A8567"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IMPUESTO ESPECIAL SOBRE LA PRODUCCIÓN Y SERVICIOS POR LA ENAJENACIÓN DE GASOLINAS Y DIESEL</w:t>
            </w:r>
          </w:p>
        </w:tc>
        <w:tc>
          <w:tcPr>
            <w:tcW w:w="1788" w:type="dxa"/>
            <w:tcBorders>
              <w:top w:val="nil"/>
              <w:left w:val="nil"/>
              <w:bottom w:val="nil"/>
              <w:right w:val="nil"/>
            </w:tcBorders>
            <w:shd w:val="clear" w:color="auto" w:fill="auto"/>
            <w:vAlign w:val="center"/>
            <w:hideMark/>
          </w:tcPr>
          <w:p w14:paraId="42FC6E80"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$605,102,721</w:t>
            </w:r>
          </w:p>
        </w:tc>
      </w:tr>
      <w:tr w:rsidR="00F9012D" w:rsidRPr="00F9012D" w14:paraId="4B7C15A2" w14:textId="77777777" w:rsidTr="00F9012D">
        <w:trPr>
          <w:trHeight w:val="449"/>
        </w:trPr>
        <w:tc>
          <w:tcPr>
            <w:tcW w:w="496" w:type="dxa"/>
            <w:tcBorders>
              <w:top w:val="nil"/>
              <w:left w:val="nil"/>
              <w:bottom w:val="nil"/>
              <w:right w:val="nil"/>
            </w:tcBorders>
            <w:shd w:val="clear" w:color="auto" w:fill="auto"/>
            <w:vAlign w:val="center"/>
            <w:hideMark/>
          </w:tcPr>
          <w:p w14:paraId="3CA8E003"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35A6A4B0"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5508C65C"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4CAE89C5"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840202</w:t>
            </w:r>
          </w:p>
        </w:tc>
        <w:tc>
          <w:tcPr>
            <w:tcW w:w="4547" w:type="dxa"/>
            <w:tcBorders>
              <w:top w:val="nil"/>
              <w:left w:val="nil"/>
              <w:bottom w:val="nil"/>
              <w:right w:val="nil"/>
            </w:tcBorders>
            <w:shd w:val="clear" w:color="auto" w:fill="auto"/>
            <w:vAlign w:val="center"/>
            <w:hideMark/>
          </w:tcPr>
          <w:p w14:paraId="5EE815F1"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IMPUESTO SOBRE AUTOMÓVILES NUEVOS</w:t>
            </w:r>
          </w:p>
        </w:tc>
        <w:tc>
          <w:tcPr>
            <w:tcW w:w="1788" w:type="dxa"/>
            <w:tcBorders>
              <w:top w:val="nil"/>
              <w:left w:val="nil"/>
              <w:bottom w:val="nil"/>
              <w:right w:val="nil"/>
            </w:tcBorders>
            <w:shd w:val="clear" w:color="auto" w:fill="auto"/>
            <w:vAlign w:val="center"/>
            <w:hideMark/>
          </w:tcPr>
          <w:p w14:paraId="089EB46B"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$171,963,712</w:t>
            </w:r>
          </w:p>
        </w:tc>
      </w:tr>
      <w:tr w:rsidR="00F9012D" w:rsidRPr="00F9012D" w14:paraId="58D8B3B4" w14:textId="77777777" w:rsidTr="00F9012D">
        <w:trPr>
          <w:trHeight w:val="449"/>
        </w:trPr>
        <w:tc>
          <w:tcPr>
            <w:tcW w:w="496" w:type="dxa"/>
            <w:tcBorders>
              <w:top w:val="nil"/>
              <w:left w:val="nil"/>
              <w:bottom w:val="nil"/>
              <w:right w:val="nil"/>
            </w:tcBorders>
            <w:shd w:val="clear" w:color="auto" w:fill="auto"/>
            <w:vAlign w:val="center"/>
            <w:hideMark/>
          </w:tcPr>
          <w:p w14:paraId="7256BA7F"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043D8164"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46999858"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0D76389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840203</w:t>
            </w:r>
          </w:p>
        </w:tc>
        <w:tc>
          <w:tcPr>
            <w:tcW w:w="4547" w:type="dxa"/>
            <w:tcBorders>
              <w:top w:val="nil"/>
              <w:left w:val="nil"/>
              <w:bottom w:val="nil"/>
              <w:right w:val="nil"/>
            </w:tcBorders>
            <w:shd w:val="clear" w:color="auto" w:fill="auto"/>
            <w:vAlign w:val="center"/>
            <w:hideMark/>
          </w:tcPr>
          <w:p w14:paraId="0B65E3C8"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DE COMPENSACIÓN DEL ISAN</w:t>
            </w:r>
          </w:p>
        </w:tc>
        <w:tc>
          <w:tcPr>
            <w:tcW w:w="1788" w:type="dxa"/>
            <w:tcBorders>
              <w:top w:val="nil"/>
              <w:left w:val="nil"/>
              <w:bottom w:val="nil"/>
              <w:right w:val="nil"/>
            </w:tcBorders>
            <w:shd w:val="clear" w:color="auto" w:fill="auto"/>
            <w:vAlign w:val="center"/>
            <w:hideMark/>
          </w:tcPr>
          <w:p w14:paraId="5EE02AD9"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$42,090,546</w:t>
            </w:r>
          </w:p>
        </w:tc>
      </w:tr>
      <w:tr w:rsidR="00F9012D" w:rsidRPr="00F9012D" w14:paraId="58D801FB" w14:textId="77777777" w:rsidTr="00F9012D">
        <w:trPr>
          <w:trHeight w:val="525"/>
        </w:trPr>
        <w:tc>
          <w:tcPr>
            <w:tcW w:w="496" w:type="dxa"/>
            <w:tcBorders>
              <w:top w:val="nil"/>
              <w:left w:val="nil"/>
              <w:bottom w:val="nil"/>
              <w:right w:val="nil"/>
            </w:tcBorders>
            <w:shd w:val="clear" w:color="auto" w:fill="auto"/>
            <w:vAlign w:val="center"/>
            <w:hideMark/>
          </w:tcPr>
          <w:p w14:paraId="0C72D750"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2CBAC027"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136A5277"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70EA5ED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840204</w:t>
            </w:r>
          </w:p>
        </w:tc>
        <w:tc>
          <w:tcPr>
            <w:tcW w:w="4547" w:type="dxa"/>
            <w:tcBorders>
              <w:top w:val="nil"/>
              <w:left w:val="nil"/>
              <w:bottom w:val="nil"/>
              <w:right w:val="nil"/>
            </w:tcBorders>
            <w:shd w:val="clear" w:color="auto" w:fill="auto"/>
            <w:vAlign w:val="center"/>
            <w:hideMark/>
          </w:tcPr>
          <w:p w14:paraId="6A456679"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IMPUESTO SOBRE TENENCIA Y USO DE VEHÍCULOS FEDERAL 2010 Y EJERCICIOS ANTERIORES</w:t>
            </w:r>
          </w:p>
        </w:tc>
        <w:tc>
          <w:tcPr>
            <w:tcW w:w="1788" w:type="dxa"/>
            <w:tcBorders>
              <w:top w:val="nil"/>
              <w:left w:val="nil"/>
              <w:bottom w:val="nil"/>
              <w:right w:val="nil"/>
            </w:tcBorders>
            <w:shd w:val="clear" w:color="auto" w:fill="auto"/>
            <w:vAlign w:val="center"/>
            <w:hideMark/>
          </w:tcPr>
          <w:p w14:paraId="03792047"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$175,746</w:t>
            </w:r>
          </w:p>
        </w:tc>
      </w:tr>
      <w:tr w:rsidR="00F9012D" w:rsidRPr="00F9012D" w14:paraId="6983A945" w14:textId="77777777" w:rsidTr="00F9012D">
        <w:trPr>
          <w:trHeight w:val="525"/>
        </w:trPr>
        <w:tc>
          <w:tcPr>
            <w:tcW w:w="496" w:type="dxa"/>
            <w:tcBorders>
              <w:top w:val="nil"/>
              <w:left w:val="nil"/>
              <w:bottom w:val="nil"/>
              <w:right w:val="nil"/>
            </w:tcBorders>
            <w:shd w:val="clear" w:color="auto" w:fill="auto"/>
            <w:vAlign w:val="center"/>
            <w:hideMark/>
          </w:tcPr>
          <w:p w14:paraId="71D0F13E"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77C3C969"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2D12C4F2"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441A3EDF"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840205</w:t>
            </w:r>
          </w:p>
        </w:tc>
        <w:tc>
          <w:tcPr>
            <w:tcW w:w="4547" w:type="dxa"/>
            <w:tcBorders>
              <w:top w:val="nil"/>
              <w:left w:val="nil"/>
              <w:bottom w:val="nil"/>
              <w:right w:val="nil"/>
            </w:tcBorders>
            <w:shd w:val="clear" w:color="auto" w:fill="auto"/>
            <w:vAlign w:val="center"/>
            <w:hideMark/>
          </w:tcPr>
          <w:p w14:paraId="3DEACB60"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IMPUESTO EMPRESARIAL A TASA ÚNICA DE PERSONAS FÍSICAS DEL RÉGIMEN DE PEQUEÑOS CONTRIBUYENTES</w:t>
            </w:r>
          </w:p>
        </w:tc>
        <w:tc>
          <w:tcPr>
            <w:tcW w:w="1788" w:type="dxa"/>
            <w:tcBorders>
              <w:top w:val="nil"/>
              <w:left w:val="nil"/>
              <w:bottom w:val="nil"/>
              <w:right w:val="nil"/>
            </w:tcBorders>
            <w:shd w:val="clear" w:color="auto" w:fill="auto"/>
            <w:vAlign w:val="center"/>
            <w:hideMark/>
          </w:tcPr>
          <w:p w14:paraId="7388FDF6"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$200,646</w:t>
            </w:r>
          </w:p>
        </w:tc>
      </w:tr>
      <w:tr w:rsidR="00F9012D" w:rsidRPr="00F9012D" w14:paraId="32184852" w14:textId="77777777" w:rsidTr="00F9012D">
        <w:trPr>
          <w:trHeight w:val="525"/>
        </w:trPr>
        <w:tc>
          <w:tcPr>
            <w:tcW w:w="496" w:type="dxa"/>
            <w:tcBorders>
              <w:top w:val="nil"/>
              <w:left w:val="nil"/>
              <w:bottom w:val="nil"/>
              <w:right w:val="nil"/>
            </w:tcBorders>
            <w:shd w:val="clear" w:color="auto" w:fill="auto"/>
            <w:vAlign w:val="center"/>
            <w:hideMark/>
          </w:tcPr>
          <w:p w14:paraId="7B01B346"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0B478443"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51A9AD2B"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7565389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840206</w:t>
            </w:r>
          </w:p>
        </w:tc>
        <w:tc>
          <w:tcPr>
            <w:tcW w:w="4547" w:type="dxa"/>
            <w:tcBorders>
              <w:top w:val="nil"/>
              <w:left w:val="nil"/>
              <w:bottom w:val="nil"/>
              <w:right w:val="nil"/>
            </w:tcBorders>
            <w:shd w:val="clear" w:color="auto" w:fill="auto"/>
            <w:vAlign w:val="center"/>
            <w:hideMark/>
          </w:tcPr>
          <w:p w14:paraId="4739D1C0"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IMPUESTO SOBRE LA RENTA DE PERSONAS FÍSICAS DEL RÉGIMEN DE PEQUEÑOS CONTRIBUYENTES</w:t>
            </w:r>
          </w:p>
        </w:tc>
        <w:tc>
          <w:tcPr>
            <w:tcW w:w="1788" w:type="dxa"/>
            <w:tcBorders>
              <w:top w:val="nil"/>
              <w:left w:val="nil"/>
              <w:bottom w:val="nil"/>
              <w:right w:val="nil"/>
            </w:tcBorders>
            <w:shd w:val="clear" w:color="auto" w:fill="auto"/>
            <w:vAlign w:val="center"/>
            <w:hideMark/>
          </w:tcPr>
          <w:p w14:paraId="10309030"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$25,110</w:t>
            </w:r>
          </w:p>
        </w:tc>
      </w:tr>
      <w:tr w:rsidR="00F9012D" w:rsidRPr="00F9012D" w14:paraId="4E1F8D8E" w14:textId="77777777" w:rsidTr="00F9012D">
        <w:trPr>
          <w:trHeight w:val="525"/>
        </w:trPr>
        <w:tc>
          <w:tcPr>
            <w:tcW w:w="496" w:type="dxa"/>
            <w:tcBorders>
              <w:top w:val="nil"/>
              <w:left w:val="nil"/>
              <w:bottom w:val="nil"/>
              <w:right w:val="nil"/>
            </w:tcBorders>
            <w:shd w:val="clear" w:color="auto" w:fill="auto"/>
            <w:vAlign w:val="center"/>
            <w:hideMark/>
          </w:tcPr>
          <w:p w14:paraId="689B452F"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27B9FC49"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251038B0"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7A5B8C4E"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840207</w:t>
            </w:r>
          </w:p>
        </w:tc>
        <w:tc>
          <w:tcPr>
            <w:tcW w:w="4547" w:type="dxa"/>
            <w:tcBorders>
              <w:top w:val="nil"/>
              <w:left w:val="nil"/>
              <w:bottom w:val="nil"/>
              <w:right w:val="nil"/>
            </w:tcBorders>
            <w:shd w:val="clear" w:color="auto" w:fill="auto"/>
            <w:vAlign w:val="center"/>
            <w:hideMark/>
          </w:tcPr>
          <w:p w14:paraId="25227A68"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IMPUESTO AL VALOR AGREGADO DE PERSONAS FÍSICAS DEL RÉGIMEN DE PEQUEÑOS CONTRIBUYENTES</w:t>
            </w:r>
          </w:p>
        </w:tc>
        <w:tc>
          <w:tcPr>
            <w:tcW w:w="1788" w:type="dxa"/>
            <w:tcBorders>
              <w:top w:val="nil"/>
              <w:left w:val="nil"/>
              <w:bottom w:val="nil"/>
              <w:right w:val="nil"/>
            </w:tcBorders>
            <w:shd w:val="clear" w:color="auto" w:fill="auto"/>
            <w:vAlign w:val="center"/>
            <w:hideMark/>
          </w:tcPr>
          <w:p w14:paraId="36BEBB2D"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$258,398</w:t>
            </w:r>
          </w:p>
        </w:tc>
      </w:tr>
      <w:tr w:rsidR="00F9012D" w:rsidRPr="00F9012D" w14:paraId="31727ECF" w14:textId="77777777" w:rsidTr="00F9012D">
        <w:trPr>
          <w:trHeight w:val="525"/>
        </w:trPr>
        <w:tc>
          <w:tcPr>
            <w:tcW w:w="496" w:type="dxa"/>
            <w:tcBorders>
              <w:top w:val="nil"/>
              <w:left w:val="nil"/>
              <w:bottom w:val="nil"/>
              <w:right w:val="nil"/>
            </w:tcBorders>
            <w:shd w:val="clear" w:color="auto" w:fill="auto"/>
            <w:vAlign w:val="center"/>
            <w:hideMark/>
          </w:tcPr>
          <w:p w14:paraId="2B86631E"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5D954A44"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434F00C6"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48DD7F40"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840208</w:t>
            </w:r>
          </w:p>
        </w:tc>
        <w:tc>
          <w:tcPr>
            <w:tcW w:w="4547" w:type="dxa"/>
            <w:tcBorders>
              <w:top w:val="nil"/>
              <w:left w:val="nil"/>
              <w:bottom w:val="nil"/>
              <w:right w:val="nil"/>
            </w:tcBorders>
            <w:shd w:val="clear" w:color="auto" w:fill="auto"/>
            <w:vAlign w:val="center"/>
            <w:hideMark/>
          </w:tcPr>
          <w:p w14:paraId="7467937D"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IMPUESTO SOBRE LA RENTA DE PERSONAS FÍSICAS DEL RÉGIMEN INTERMEDIO</w:t>
            </w:r>
          </w:p>
        </w:tc>
        <w:tc>
          <w:tcPr>
            <w:tcW w:w="1788" w:type="dxa"/>
            <w:tcBorders>
              <w:top w:val="nil"/>
              <w:left w:val="nil"/>
              <w:bottom w:val="nil"/>
              <w:right w:val="nil"/>
            </w:tcBorders>
            <w:shd w:val="clear" w:color="auto" w:fill="auto"/>
            <w:vAlign w:val="center"/>
            <w:hideMark/>
          </w:tcPr>
          <w:p w14:paraId="44920910"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$31,029</w:t>
            </w:r>
          </w:p>
        </w:tc>
      </w:tr>
      <w:tr w:rsidR="00F9012D" w:rsidRPr="00F9012D" w14:paraId="614451FE" w14:textId="77777777" w:rsidTr="00F9012D">
        <w:trPr>
          <w:trHeight w:val="449"/>
        </w:trPr>
        <w:tc>
          <w:tcPr>
            <w:tcW w:w="496" w:type="dxa"/>
            <w:tcBorders>
              <w:top w:val="nil"/>
              <w:left w:val="nil"/>
              <w:bottom w:val="nil"/>
              <w:right w:val="nil"/>
            </w:tcBorders>
            <w:shd w:val="clear" w:color="auto" w:fill="auto"/>
            <w:vAlign w:val="center"/>
            <w:hideMark/>
          </w:tcPr>
          <w:p w14:paraId="1077966E"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56D2BB86"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6D70DB0B"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1D902D4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840209</w:t>
            </w:r>
          </w:p>
        </w:tc>
        <w:tc>
          <w:tcPr>
            <w:tcW w:w="4547" w:type="dxa"/>
            <w:tcBorders>
              <w:top w:val="nil"/>
              <w:left w:val="nil"/>
              <w:bottom w:val="nil"/>
              <w:right w:val="nil"/>
            </w:tcBorders>
            <w:shd w:val="clear" w:color="auto" w:fill="auto"/>
            <w:vAlign w:val="center"/>
            <w:hideMark/>
          </w:tcPr>
          <w:p w14:paraId="3F2504FC"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ZONA FEDERAL MARÍTIMO TERRESTRE</w:t>
            </w:r>
          </w:p>
        </w:tc>
        <w:tc>
          <w:tcPr>
            <w:tcW w:w="1788" w:type="dxa"/>
            <w:tcBorders>
              <w:top w:val="nil"/>
              <w:left w:val="nil"/>
              <w:bottom w:val="nil"/>
              <w:right w:val="nil"/>
            </w:tcBorders>
            <w:shd w:val="clear" w:color="auto" w:fill="auto"/>
            <w:vAlign w:val="center"/>
            <w:hideMark/>
          </w:tcPr>
          <w:p w14:paraId="0A3D0061"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$17,946</w:t>
            </w:r>
          </w:p>
        </w:tc>
      </w:tr>
      <w:tr w:rsidR="00F9012D" w:rsidRPr="00F9012D" w14:paraId="53297794" w14:textId="77777777" w:rsidTr="00F9012D">
        <w:trPr>
          <w:trHeight w:val="449"/>
        </w:trPr>
        <w:tc>
          <w:tcPr>
            <w:tcW w:w="496" w:type="dxa"/>
            <w:tcBorders>
              <w:top w:val="nil"/>
              <w:left w:val="nil"/>
              <w:bottom w:val="nil"/>
              <w:right w:val="nil"/>
            </w:tcBorders>
            <w:shd w:val="clear" w:color="auto" w:fill="auto"/>
            <w:vAlign w:val="center"/>
            <w:hideMark/>
          </w:tcPr>
          <w:p w14:paraId="150A656D"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4AE1CC81"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536F5CC2"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72466DE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840210</w:t>
            </w:r>
          </w:p>
        </w:tc>
        <w:tc>
          <w:tcPr>
            <w:tcW w:w="4547" w:type="dxa"/>
            <w:tcBorders>
              <w:top w:val="nil"/>
              <w:left w:val="nil"/>
              <w:bottom w:val="nil"/>
              <w:right w:val="nil"/>
            </w:tcBorders>
            <w:shd w:val="clear" w:color="auto" w:fill="auto"/>
            <w:vAlign w:val="center"/>
            <w:hideMark/>
          </w:tcPr>
          <w:p w14:paraId="12F2C7DB"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VIGILANCIA E INSPECCIÓN DE OBRAS</w:t>
            </w:r>
          </w:p>
        </w:tc>
        <w:tc>
          <w:tcPr>
            <w:tcW w:w="1788" w:type="dxa"/>
            <w:tcBorders>
              <w:top w:val="nil"/>
              <w:left w:val="nil"/>
              <w:bottom w:val="nil"/>
              <w:right w:val="nil"/>
            </w:tcBorders>
            <w:shd w:val="clear" w:color="auto" w:fill="auto"/>
            <w:vAlign w:val="center"/>
            <w:hideMark/>
          </w:tcPr>
          <w:p w14:paraId="06E9D1FC"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$27,000,000</w:t>
            </w:r>
          </w:p>
        </w:tc>
      </w:tr>
      <w:tr w:rsidR="00F9012D" w:rsidRPr="00F9012D" w14:paraId="722E9FD4" w14:textId="77777777" w:rsidTr="00F9012D">
        <w:trPr>
          <w:trHeight w:val="449"/>
        </w:trPr>
        <w:tc>
          <w:tcPr>
            <w:tcW w:w="496" w:type="dxa"/>
            <w:tcBorders>
              <w:top w:val="nil"/>
              <w:left w:val="nil"/>
              <w:bottom w:val="nil"/>
              <w:right w:val="nil"/>
            </w:tcBorders>
            <w:shd w:val="clear" w:color="auto" w:fill="auto"/>
            <w:vAlign w:val="center"/>
            <w:hideMark/>
          </w:tcPr>
          <w:p w14:paraId="78DD4A18"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5C70790C"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61E0A4A3"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0218F4E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840211</w:t>
            </w:r>
          </w:p>
        </w:tc>
        <w:tc>
          <w:tcPr>
            <w:tcW w:w="4547" w:type="dxa"/>
            <w:tcBorders>
              <w:top w:val="nil"/>
              <w:left w:val="nil"/>
              <w:bottom w:val="nil"/>
              <w:right w:val="nil"/>
            </w:tcBorders>
            <w:shd w:val="clear" w:color="auto" w:fill="auto"/>
            <w:vAlign w:val="center"/>
            <w:hideMark/>
          </w:tcPr>
          <w:p w14:paraId="12782D25"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MULTAS ADMINISTRATIVAS FEDERALES NO FISCALES</w:t>
            </w:r>
          </w:p>
        </w:tc>
        <w:tc>
          <w:tcPr>
            <w:tcW w:w="1788" w:type="dxa"/>
            <w:tcBorders>
              <w:top w:val="nil"/>
              <w:left w:val="nil"/>
              <w:bottom w:val="nil"/>
              <w:right w:val="nil"/>
            </w:tcBorders>
            <w:shd w:val="clear" w:color="auto" w:fill="auto"/>
            <w:vAlign w:val="center"/>
            <w:hideMark/>
          </w:tcPr>
          <w:p w14:paraId="27689526"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$1,429,261</w:t>
            </w:r>
          </w:p>
        </w:tc>
      </w:tr>
      <w:tr w:rsidR="00F9012D" w:rsidRPr="00F9012D" w14:paraId="7800111D" w14:textId="77777777" w:rsidTr="00F9012D">
        <w:trPr>
          <w:trHeight w:val="449"/>
        </w:trPr>
        <w:tc>
          <w:tcPr>
            <w:tcW w:w="496" w:type="dxa"/>
            <w:tcBorders>
              <w:top w:val="nil"/>
              <w:left w:val="nil"/>
              <w:bottom w:val="nil"/>
              <w:right w:val="nil"/>
            </w:tcBorders>
            <w:shd w:val="clear" w:color="auto" w:fill="auto"/>
            <w:vAlign w:val="center"/>
            <w:hideMark/>
          </w:tcPr>
          <w:p w14:paraId="01B67DBB"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51023032"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5BFFD005"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7FDC493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840212</w:t>
            </w:r>
          </w:p>
        </w:tc>
        <w:tc>
          <w:tcPr>
            <w:tcW w:w="4547" w:type="dxa"/>
            <w:tcBorders>
              <w:top w:val="nil"/>
              <w:left w:val="nil"/>
              <w:bottom w:val="nil"/>
              <w:right w:val="nil"/>
            </w:tcBorders>
            <w:shd w:val="clear" w:color="auto" w:fill="auto"/>
            <w:vAlign w:val="center"/>
            <w:hideMark/>
          </w:tcPr>
          <w:p w14:paraId="40F10D42"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ACTOS DE FISCALIZACIÓN</w:t>
            </w:r>
          </w:p>
        </w:tc>
        <w:tc>
          <w:tcPr>
            <w:tcW w:w="1788" w:type="dxa"/>
            <w:tcBorders>
              <w:top w:val="nil"/>
              <w:left w:val="nil"/>
              <w:bottom w:val="nil"/>
              <w:right w:val="nil"/>
            </w:tcBorders>
            <w:shd w:val="clear" w:color="auto" w:fill="auto"/>
            <w:vAlign w:val="center"/>
            <w:hideMark/>
          </w:tcPr>
          <w:p w14:paraId="7A966DD2"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$15,531,104</w:t>
            </w:r>
          </w:p>
        </w:tc>
      </w:tr>
      <w:tr w:rsidR="00F9012D" w:rsidRPr="00F9012D" w14:paraId="63B5CAEC" w14:textId="77777777" w:rsidTr="00F9012D">
        <w:trPr>
          <w:trHeight w:val="449"/>
        </w:trPr>
        <w:tc>
          <w:tcPr>
            <w:tcW w:w="496" w:type="dxa"/>
            <w:tcBorders>
              <w:top w:val="nil"/>
              <w:left w:val="nil"/>
              <w:bottom w:val="nil"/>
              <w:right w:val="nil"/>
            </w:tcBorders>
            <w:shd w:val="clear" w:color="auto" w:fill="auto"/>
            <w:vAlign w:val="center"/>
            <w:hideMark/>
          </w:tcPr>
          <w:p w14:paraId="359D8118"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766E3D6C"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7E3751EA"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2B4E7D9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840213</w:t>
            </w:r>
          </w:p>
        </w:tc>
        <w:tc>
          <w:tcPr>
            <w:tcW w:w="4547" w:type="dxa"/>
            <w:tcBorders>
              <w:top w:val="nil"/>
              <w:left w:val="nil"/>
              <w:bottom w:val="nil"/>
              <w:right w:val="nil"/>
            </w:tcBorders>
            <w:shd w:val="clear" w:color="auto" w:fill="auto"/>
            <w:vAlign w:val="center"/>
            <w:hideMark/>
          </w:tcPr>
          <w:p w14:paraId="7D35B065"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CONTROL DE OBLIGACIONES</w:t>
            </w:r>
          </w:p>
        </w:tc>
        <w:tc>
          <w:tcPr>
            <w:tcW w:w="1788" w:type="dxa"/>
            <w:tcBorders>
              <w:top w:val="nil"/>
              <w:left w:val="nil"/>
              <w:bottom w:val="nil"/>
              <w:right w:val="nil"/>
            </w:tcBorders>
            <w:shd w:val="clear" w:color="auto" w:fill="auto"/>
            <w:vAlign w:val="center"/>
            <w:hideMark/>
          </w:tcPr>
          <w:p w14:paraId="0FBD1405"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$3,500,000</w:t>
            </w:r>
          </w:p>
        </w:tc>
      </w:tr>
      <w:tr w:rsidR="00F9012D" w:rsidRPr="00F9012D" w14:paraId="15F3556A" w14:textId="77777777" w:rsidTr="00F9012D">
        <w:trPr>
          <w:trHeight w:val="556"/>
        </w:trPr>
        <w:tc>
          <w:tcPr>
            <w:tcW w:w="496" w:type="dxa"/>
            <w:tcBorders>
              <w:top w:val="nil"/>
              <w:left w:val="nil"/>
              <w:bottom w:val="nil"/>
              <w:right w:val="nil"/>
            </w:tcBorders>
            <w:shd w:val="clear" w:color="auto" w:fill="auto"/>
            <w:vAlign w:val="center"/>
            <w:hideMark/>
          </w:tcPr>
          <w:p w14:paraId="5036A809"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5BD9351D"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36D77D31"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03EA8A9C"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840214</w:t>
            </w:r>
          </w:p>
        </w:tc>
        <w:tc>
          <w:tcPr>
            <w:tcW w:w="4547" w:type="dxa"/>
            <w:tcBorders>
              <w:top w:val="nil"/>
              <w:left w:val="nil"/>
              <w:bottom w:val="nil"/>
              <w:right w:val="nil"/>
            </w:tcBorders>
            <w:shd w:val="clear" w:color="auto" w:fill="auto"/>
            <w:vAlign w:val="center"/>
            <w:hideMark/>
          </w:tcPr>
          <w:p w14:paraId="57D432ED"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IMPUESTO SOBRE LA RENTA ISR POR LA ENAJENACIÓN DE BIENES INMUEBLES</w:t>
            </w:r>
          </w:p>
        </w:tc>
        <w:tc>
          <w:tcPr>
            <w:tcW w:w="1788" w:type="dxa"/>
            <w:tcBorders>
              <w:top w:val="nil"/>
              <w:left w:val="nil"/>
              <w:bottom w:val="nil"/>
              <w:right w:val="nil"/>
            </w:tcBorders>
            <w:shd w:val="clear" w:color="auto" w:fill="auto"/>
            <w:vAlign w:val="center"/>
            <w:hideMark/>
          </w:tcPr>
          <w:p w14:paraId="02B2870B"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$76,990,000</w:t>
            </w:r>
          </w:p>
        </w:tc>
      </w:tr>
      <w:tr w:rsidR="00F9012D" w:rsidRPr="00F9012D" w14:paraId="2BD18257" w14:textId="77777777" w:rsidTr="00F9012D">
        <w:trPr>
          <w:trHeight w:val="449"/>
        </w:trPr>
        <w:tc>
          <w:tcPr>
            <w:tcW w:w="496" w:type="dxa"/>
            <w:tcBorders>
              <w:top w:val="nil"/>
              <w:left w:val="nil"/>
              <w:bottom w:val="nil"/>
              <w:right w:val="nil"/>
            </w:tcBorders>
            <w:shd w:val="clear" w:color="auto" w:fill="auto"/>
            <w:vAlign w:val="center"/>
            <w:hideMark/>
          </w:tcPr>
          <w:p w14:paraId="332081A0" w14:textId="77777777" w:rsidR="00F9012D" w:rsidRPr="00F9012D" w:rsidRDefault="00F9012D" w:rsidP="00F9012D">
            <w:pPr>
              <w:jc w:val="left"/>
              <w:rPr>
                <w:rFonts w:eastAsia="Times New Roman"/>
                <w:b/>
                <w:bCs/>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0119B7DD"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85</w:t>
            </w:r>
          </w:p>
        </w:tc>
        <w:tc>
          <w:tcPr>
            <w:tcW w:w="622" w:type="dxa"/>
            <w:tcBorders>
              <w:top w:val="nil"/>
              <w:left w:val="nil"/>
              <w:bottom w:val="nil"/>
              <w:right w:val="nil"/>
            </w:tcBorders>
            <w:shd w:val="clear" w:color="auto" w:fill="auto"/>
            <w:vAlign w:val="center"/>
            <w:hideMark/>
          </w:tcPr>
          <w:p w14:paraId="52AF3981"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vAlign w:val="center"/>
            <w:hideMark/>
          </w:tcPr>
          <w:p w14:paraId="273DE7C0"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0CF0868C"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FONDOS DISTINTOS DE APORTACIONES</w:t>
            </w:r>
          </w:p>
        </w:tc>
        <w:tc>
          <w:tcPr>
            <w:tcW w:w="1788" w:type="dxa"/>
            <w:tcBorders>
              <w:top w:val="nil"/>
              <w:left w:val="nil"/>
              <w:bottom w:val="nil"/>
              <w:right w:val="nil"/>
            </w:tcBorders>
            <w:shd w:val="clear" w:color="auto" w:fill="auto"/>
            <w:vAlign w:val="center"/>
            <w:hideMark/>
          </w:tcPr>
          <w:p w14:paraId="02665B84"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$811,451,167</w:t>
            </w:r>
          </w:p>
        </w:tc>
      </w:tr>
      <w:tr w:rsidR="00F9012D" w:rsidRPr="00F9012D" w14:paraId="18E0A2E3" w14:textId="77777777" w:rsidTr="00F9012D">
        <w:trPr>
          <w:trHeight w:val="496"/>
        </w:trPr>
        <w:tc>
          <w:tcPr>
            <w:tcW w:w="496" w:type="dxa"/>
            <w:tcBorders>
              <w:top w:val="nil"/>
              <w:left w:val="nil"/>
              <w:bottom w:val="nil"/>
              <w:right w:val="nil"/>
            </w:tcBorders>
            <w:shd w:val="clear" w:color="auto" w:fill="auto"/>
            <w:vAlign w:val="center"/>
            <w:hideMark/>
          </w:tcPr>
          <w:p w14:paraId="1F81FD9B"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vAlign w:val="center"/>
            <w:hideMark/>
          </w:tcPr>
          <w:p w14:paraId="58EADE0D"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vAlign w:val="center"/>
            <w:hideMark/>
          </w:tcPr>
          <w:p w14:paraId="45558226"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8501</w:t>
            </w:r>
          </w:p>
        </w:tc>
        <w:tc>
          <w:tcPr>
            <w:tcW w:w="755" w:type="dxa"/>
            <w:tcBorders>
              <w:top w:val="nil"/>
              <w:left w:val="nil"/>
              <w:bottom w:val="nil"/>
              <w:right w:val="nil"/>
            </w:tcBorders>
            <w:shd w:val="clear" w:color="auto" w:fill="auto"/>
            <w:vAlign w:val="center"/>
            <w:hideMark/>
          </w:tcPr>
          <w:p w14:paraId="7C6EB515"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3E25D932"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PARA ENTIDADES FEDERATIVAS Y MUNICIPIOS PRODUCTORES DE HIDROCARBUROS</w:t>
            </w:r>
          </w:p>
        </w:tc>
        <w:tc>
          <w:tcPr>
            <w:tcW w:w="1788" w:type="dxa"/>
            <w:tcBorders>
              <w:top w:val="nil"/>
              <w:left w:val="nil"/>
              <w:bottom w:val="nil"/>
              <w:right w:val="nil"/>
            </w:tcBorders>
            <w:shd w:val="clear" w:color="auto" w:fill="auto"/>
            <w:vAlign w:val="center"/>
            <w:hideMark/>
          </w:tcPr>
          <w:p w14:paraId="4D0A22AA"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$811,451,167</w:t>
            </w:r>
          </w:p>
        </w:tc>
      </w:tr>
      <w:tr w:rsidR="00F9012D" w:rsidRPr="00F9012D" w14:paraId="19B1E9D4" w14:textId="77777777" w:rsidTr="00F9012D">
        <w:trPr>
          <w:trHeight w:val="544"/>
        </w:trPr>
        <w:tc>
          <w:tcPr>
            <w:tcW w:w="496" w:type="dxa"/>
            <w:tcBorders>
              <w:top w:val="nil"/>
              <w:left w:val="nil"/>
              <w:bottom w:val="nil"/>
              <w:right w:val="nil"/>
            </w:tcBorders>
            <w:shd w:val="clear" w:color="000000" w:fill="FFC000"/>
            <w:noWrap/>
            <w:vAlign w:val="center"/>
            <w:hideMark/>
          </w:tcPr>
          <w:p w14:paraId="7CD58ABE"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9</w:t>
            </w:r>
          </w:p>
        </w:tc>
        <w:tc>
          <w:tcPr>
            <w:tcW w:w="359" w:type="dxa"/>
            <w:tcBorders>
              <w:top w:val="nil"/>
              <w:left w:val="nil"/>
              <w:bottom w:val="nil"/>
              <w:right w:val="nil"/>
            </w:tcBorders>
            <w:shd w:val="clear" w:color="000000" w:fill="FFC000"/>
            <w:noWrap/>
            <w:vAlign w:val="center"/>
            <w:hideMark/>
          </w:tcPr>
          <w:p w14:paraId="2738A8A4"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C000"/>
            <w:noWrap/>
            <w:vAlign w:val="center"/>
            <w:hideMark/>
          </w:tcPr>
          <w:p w14:paraId="43AA5A98"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C000"/>
            <w:noWrap/>
            <w:vAlign w:val="center"/>
            <w:hideMark/>
          </w:tcPr>
          <w:p w14:paraId="796249D7"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C000"/>
            <w:vAlign w:val="center"/>
            <w:hideMark/>
          </w:tcPr>
          <w:p w14:paraId="4AB7A807"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TRANSFERENCIAS, ASIGNACIONES, SUBSIDIOS Y SUBVENCIONES, Y PENSIONES Y JUBILACIONES</w:t>
            </w:r>
          </w:p>
        </w:tc>
        <w:tc>
          <w:tcPr>
            <w:tcW w:w="1788" w:type="dxa"/>
            <w:tcBorders>
              <w:top w:val="nil"/>
              <w:left w:val="nil"/>
              <w:bottom w:val="nil"/>
              <w:right w:val="nil"/>
            </w:tcBorders>
            <w:shd w:val="clear" w:color="000000" w:fill="FFC000"/>
            <w:vAlign w:val="center"/>
            <w:hideMark/>
          </w:tcPr>
          <w:p w14:paraId="02B5F62E"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$800,648,148</w:t>
            </w:r>
          </w:p>
        </w:tc>
      </w:tr>
      <w:tr w:rsidR="00F9012D" w:rsidRPr="00F9012D" w14:paraId="08506134" w14:textId="77777777" w:rsidTr="00F9012D">
        <w:trPr>
          <w:trHeight w:val="449"/>
        </w:trPr>
        <w:tc>
          <w:tcPr>
            <w:tcW w:w="496" w:type="dxa"/>
            <w:tcBorders>
              <w:top w:val="nil"/>
              <w:left w:val="nil"/>
              <w:bottom w:val="nil"/>
              <w:right w:val="nil"/>
            </w:tcBorders>
            <w:shd w:val="clear" w:color="000000" w:fill="FFFFFF"/>
            <w:noWrap/>
            <w:vAlign w:val="center"/>
            <w:hideMark/>
          </w:tcPr>
          <w:p w14:paraId="59641673"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auto" w:fill="auto"/>
            <w:noWrap/>
            <w:vAlign w:val="center"/>
            <w:hideMark/>
          </w:tcPr>
          <w:p w14:paraId="6FBE1F9A"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91</w:t>
            </w:r>
          </w:p>
        </w:tc>
        <w:tc>
          <w:tcPr>
            <w:tcW w:w="622" w:type="dxa"/>
            <w:tcBorders>
              <w:top w:val="nil"/>
              <w:left w:val="nil"/>
              <w:bottom w:val="nil"/>
              <w:right w:val="nil"/>
            </w:tcBorders>
            <w:shd w:val="clear" w:color="auto" w:fill="auto"/>
            <w:noWrap/>
            <w:vAlign w:val="center"/>
            <w:hideMark/>
          </w:tcPr>
          <w:p w14:paraId="6BCF5160"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0B71C870"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27232E35"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TRANSFERENCIAS Y ASIGNACIONES</w:t>
            </w:r>
          </w:p>
        </w:tc>
        <w:tc>
          <w:tcPr>
            <w:tcW w:w="1788" w:type="dxa"/>
            <w:tcBorders>
              <w:top w:val="nil"/>
              <w:left w:val="nil"/>
              <w:bottom w:val="nil"/>
              <w:right w:val="nil"/>
            </w:tcBorders>
            <w:shd w:val="clear" w:color="auto" w:fill="auto"/>
            <w:vAlign w:val="center"/>
            <w:hideMark/>
          </w:tcPr>
          <w:p w14:paraId="0BB05F9A"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741AF4E3" w14:textId="77777777" w:rsidTr="00F9012D">
        <w:trPr>
          <w:trHeight w:val="449"/>
        </w:trPr>
        <w:tc>
          <w:tcPr>
            <w:tcW w:w="496" w:type="dxa"/>
            <w:tcBorders>
              <w:top w:val="nil"/>
              <w:left w:val="nil"/>
              <w:bottom w:val="nil"/>
              <w:right w:val="nil"/>
            </w:tcBorders>
            <w:shd w:val="clear" w:color="000000" w:fill="FFFFFF"/>
            <w:noWrap/>
            <w:vAlign w:val="center"/>
            <w:hideMark/>
          </w:tcPr>
          <w:p w14:paraId="0EADBB98"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auto" w:fill="auto"/>
            <w:noWrap/>
            <w:vAlign w:val="center"/>
            <w:hideMark/>
          </w:tcPr>
          <w:p w14:paraId="3A02766F"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93</w:t>
            </w:r>
          </w:p>
        </w:tc>
        <w:tc>
          <w:tcPr>
            <w:tcW w:w="622" w:type="dxa"/>
            <w:tcBorders>
              <w:top w:val="nil"/>
              <w:left w:val="nil"/>
              <w:bottom w:val="nil"/>
              <w:right w:val="nil"/>
            </w:tcBorders>
            <w:shd w:val="clear" w:color="auto" w:fill="auto"/>
            <w:noWrap/>
            <w:vAlign w:val="center"/>
            <w:hideMark/>
          </w:tcPr>
          <w:p w14:paraId="0B864D5B" w14:textId="77777777" w:rsidR="00F9012D" w:rsidRPr="00F9012D" w:rsidRDefault="00F9012D" w:rsidP="00F9012D">
            <w:pPr>
              <w:jc w:val="left"/>
              <w:rPr>
                <w:rFonts w:eastAsia="Times New Roman"/>
                <w:b/>
                <w:bCs/>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3A52450C" w14:textId="77777777" w:rsidR="00F9012D" w:rsidRPr="00F9012D" w:rsidRDefault="00F9012D" w:rsidP="00F9012D">
            <w:pPr>
              <w:jc w:val="left"/>
              <w:rPr>
                <w:rFonts w:eastAsia="Times New Roman"/>
                <w:b/>
                <w:bCs/>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012F9E8D"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SUBSIDIOS Y SUBVENCIONES</w:t>
            </w:r>
          </w:p>
        </w:tc>
        <w:tc>
          <w:tcPr>
            <w:tcW w:w="1788" w:type="dxa"/>
            <w:tcBorders>
              <w:top w:val="nil"/>
              <w:left w:val="nil"/>
              <w:bottom w:val="nil"/>
              <w:right w:val="nil"/>
            </w:tcBorders>
            <w:shd w:val="clear" w:color="auto" w:fill="auto"/>
            <w:vAlign w:val="center"/>
            <w:hideMark/>
          </w:tcPr>
          <w:p w14:paraId="1AE23BC0"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$800,648,148</w:t>
            </w:r>
          </w:p>
        </w:tc>
      </w:tr>
      <w:tr w:rsidR="00F9012D" w:rsidRPr="00F9012D" w14:paraId="4AE65E6C" w14:textId="77777777" w:rsidTr="00F9012D">
        <w:trPr>
          <w:trHeight w:val="585"/>
        </w:trPr>
        <w:tc>
          <w:tcPr>
            <w:tcW w:w="496" w:type="dxa"/>
            <w:tcBorders>
              <w:top w:val="nil"/>
              <w:left w:val="nil"/>
              <w:bottom w:val="nil"/>
              <w:right w:val="nil"/>
            </w:tcBorders>
            <w:shd w:val="clear" w:color="000000" w:fill="FFFFFF"/>
            <w:noWrap/>
            <w:vAlign w:val="center"/>
            <w:hideMark/>
          </w:tcPr>
          <w:p w14:paraId="4931A063"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359" w:type="dxa"/>
            <w:tcBorders>
              <w:top w:val="nil"/>
              <w:left w:val="nil"/>
              <w:bottom w:val="nil"/>
              <w:right w:val="nil"/>
            </w:tcBorders>
            <w:shd w:val="clear" w:color="000000" w:fill="FFFFFF"/>
            <w:noWrap/>
            <w:vAlign w:val="center"/>
            <w:hideMark/>
          </w:tcPr>
          <w:p w14:paraId="0FE2D80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622" w:type="dxa"/>
            <w:tcBorders>
              <w:top w:val="nil"/>
              <w:left w:val="nil"/>
              <w:bottom w:val="nil"/>
              <w:right w:val="nil"/>
            </w:tcBorders>
            <w:shd w:val="clear" w:color="000000" w:fill="FFFFFF"/>
            <w:noWrap/>
            <w:vAlign w:val="center"/>
            <w:hideMark/>
          </w:tcPr>
          <w:p w14:paraId="0C871549"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9301</w:t>
            </w:r>
          </w:p>
        </w:tc>
        <w:tc>
          <w:tcPr>
            <w:tcW w:w="755" w:type="dxa"/>
            <w:tcBorders>
              <w:top w:val="nil"/>
              <w:left w:val="nil"/>
              <w:bottom w:val="nil"/>
              <w:right w:val="nil"/>
            </w:tcBorders>
            <w:shd w:val="clear" w:color="000000" w:fill="FFFFFF"/>
            <w:noWrap/>
            <w:vAlign w:val="center"/>
            <w:hideMark/>
          </w:tcPr>
          <w:p w14:paraId="35484B97"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 </w:t>
            </w:r>
          </w:p>
        </w:tc>
        <w:tc>
          <w:tcPr>
            <w:tcW w:w="4547" w:type="dxa"/>
            <w:tcBorders>
              <w:top w:val="nil"/>
              <w:left w:val="nil"/>
              <w:bottom w:val="nil"/>
              <w:right w:val="nil"/>
            </w:tcBorders>
            <w:shd w:val="clear" w:color="000000" w:fill="FFFFFF"/>
            <w:vAlign w:val="center"/>
            <w:hideMark/>
          </w:tcPr>
          <w:p w14:paraId="3188B0EE"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P/LA ACCESIBILIDAD EN EL TRANSPORTE PÚB P/LAS PERSONAS C/DISCAPACIDAD</w:t>
            </w:r>
          </w:p>
        </w:tc>
        <w:tc>
          <w:tcPr>
            <w:tcW w:w="1788" w:type="dxa"/>
            <w:tcBorders>
              <w:top w:val="nil"/>
              <w:left w:val="nil"/>
              <w:bottom w:val="nil"/>
              <w:right w:val="nil"/>
            </w:tcBorders>
            <w:shd w:val="clear" w:color="000000" w:fill="FFFFFF"/>
            <w:vAlign w:val="center"/>
            <w:hideMark/>
          </w:tcPr>
          <w:p w14:paraId="63F86277"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6D9ED51B" w14:textId="77777777" w:rsidTr="00F9012D">
        <w:trPr>
          <w:trHeight w:val="449"/>
        </w:trPr>
        <w:tc>
          <w:tcPr>
            <w:tcW w:w="496" w:type="dxa"/>
            <w:tcBorders>
              <w:top w:val="nil"/>
              <w:left w:val="nil"/>
              <w:bottom w:val="nil"/>
              <w:right w:val="nil"/>
            </w:tcBorders>
            <w:shd w:val="clear" w:color="auto" w:fill="auto"/>
            <w:noWrap/>
            <w:vAlign w:val="center"/>
            <w:hideMark/>
          </w:tcPr>
          <w:p w14:paraId="02C1445B"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4B6818D8"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738E02B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9302</w:t>
            </w:r>
          </w:p>
        </w:tc>
        <w:tc>
          <w:tcPr>
            <w:tcW w:w="755" w:type="dxa"/>
            <w:tcBorders>
              <w:top w:val="nil"/>
              <w:left w:val="nil"/>
              <w:bottom w:val="nil"/>
              <w:right w:val="nil"/>
            </w:tcBorders>
            <w:shd w:val="clear" w:color="auto" w:fill="auto"/>
            <w:noWrap/>
            <w:vAlign w:val="center"/>
            <w:hideMark/>
          </w:tcPr>
          <w:p w14:paraId="2A0C0F90"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2BBDC761"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METROPOLITANO</w:t>
            </w:r>
          </w:p>
        </w:tc>
        <w:tc>
          <w:tcPr>
            <w:tcW w:w="1788" w:type="dxa"/>
            <w:tcBorders>
              <w:top w:val="nil"/>
              <w:left w:val="nil"/>
              <w:bottom w:val="nil"/>
              <w:right w:val="nil"/>
            </w:tcBorders>
            <w:shd w:val="clear" w:color="auto" w:fill="auto"/>
            <w:vAlign w:val="center"/>
            <w:hideMark/>
          </w:tcPr>
          <w:p w14:paraId="2A969354"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54358B5C" w14:textId="77777777" w:rsidTr="00F9012D">
        <w:trPr>
          <w:trHeight w:val="449"/>
        </w:trPr>
        <w:tc>
          <w:tcPr>
            <w:tcW w:w="496" w:type="dxa"/>
            <w:tcBorders>
              <w:top w:val="nil"/>
              <w:left w:val="nil"/>
              <w:bottom w:val="nil"/>
              <w:right w:val="nil"/>
            </w:tcBorders>
            <w:shd w:val="clear" w:color="auto" w:fill="auto"/>
            <w:noWrap/>
            <w:vAlign w:val="center"/>
            <w:hideMark/>
          </w:tcPr>
          <w:p w14:paraId="0162539D"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342E699B"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7396224B"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9304</w:t>
            </w:r>
          </w:p>
        </w:tc>
        <w:tc>
          <w:tcPr>
            <w:tcW w:w="755" w:type="dxa"/>
            <w:tcBorders>
              <w:top w:val="nil"/>
              <w:left w:val="nil"/>
              <w:bottom w:val="nil"/>
              <w:right w:val="nil"/>
            </w:tcBorders>
            <w:shd w:val="clear" w:color="auto" w:fill="auto"/>
            <w:noWrap/>
            <w:vAlign w:val="center"/>
            <w:hideMark/>
          </w:tcPr>
          <w:p w14:paraId="61AE8B6C"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00278D2C"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PROYECTO DE DESARROLLO REGIONAL</w:t>
            </w:r>
          </w:p>
        </w:tc>
        <w:tc>
          <w:tcPr>
            <w:tcW w:w="1788" w:type="dxa"/>
            <w:tcBorders>
              <w:top w:val="nil"/>
              <w:left w:val="nil"/>
              <w:bottom w:val="nil"/>
              <w:right w:val="nil"/>
            </w:tcBorders>
            <w:shd w:val="clear" w:color="auto" w:fill="auto"/>
            <w:vAlign w:val="center"/>
            <w:hideMark/>
          </w:tcPr>
          <w:p w14:paraId="085F89C9"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67B18AD3" w14:textId="77777777" w:rsidTr="00F9012D">
        <w:trPr>
          <w:trHeight w:val="449"/>
        </w:trPr>
        <w:tc>
          <w:tcPr>
            <w:tcW w:w="496" w:type="dxa"/>
            <w:tcBorders>
              <w:top w:val="nil"/>
              <w:left w:val="nil"/>
              <w:bottom w:val="nil"/>
              <w:right w:val="nil"/>
            </w:tcBorders>
            <w:shd w:val="clear" w:color="auto" w:fill="auto"/>
            <w:noWrap/>
            <w:vAlign w:val="center"/>
            <w:hideMark/>
          </w:tcPr>
          <w:p w14:paraId="25301823"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411ACB76"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3BFC320D"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9305</w:t>
            </w:r>
          </w:p>
        </w:tc>
        <w:tc>
          <w:tcPr>
            <w:tcW w:w="755" w:type="dxa"/>
            <w:tcBorders>
              <w:top w:val="nil"/>
              <w:left w:val="nil"/>
              <w:bottom w:val="nil"/>
              <w:right w:val="nil"/>
            </w:tcBorders>
            <w:shd w:val="clear" w:color="auto" w:fill="auto"/>
            <w:noWrap/>
            <w:vAlign w:val="center"/>
            <w:hideMark/>
          </w:tcPr>
          <w:p w14:paraId="551901CD"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3B66F096"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PROGRAMAS REGIONALES</w:t>
            </w:r>
          </w:p>
        </w:tc>
        <w:tc>
          <w:tcPr>
            <w:tcW w:w="1788" w:type="dxa"/>
            <w:tcBorders>
              <w:top w:val="nil"/>
              <w:left w:val="nil"/>
              <w:bottom w:val="nil"/>
              <w:right w:val="nil"/>
            </w:tcBorders>
            <w:shd w:val="clear" w:color="auto" w:fill="auto"/>
            <w:vAlign w:val="center"/>
            <w:hideMark/>
          </w:tcPr>
          <w:p w14:paraId="77287F88"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438142D2" w14:textId="77777777" w:rsidTr="00F9012D">
        <w:trPr>
          <w:trHeight w:val="449"/>
        </w:trPr>
        <w:tc>
          <w:tcPr>
            <w:tcW w:w="496" w:type="dxa"/>
            <w:tcBorders>
              <w:top w:val="nil"/>
              <w:left w:val="nil"/>
              <w:bottom w:val="nil"/>
              <w:right w:val="nil"/>
            </w:tcBorders>
            <w:shd w:val="clear" w:color="auto" w:fill="auto"/>
            <w:noWrap/>
            <w:vAlign w:val="center"/>
            <w:hideMark/>
          </w:tcPr>
          <w:p w14:paraId="2127BB9D"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0C552C49"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3A90B37A"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9306</w:t>
            </w:r>
          </w:p>
        </w:tc>
        <w:tc>
          <w:tcPr>
            <w:tcW w:w="755" w:type="dxa"/>
            <w:tcBorders>
              <w:top w:val="nil"/>
              <w:left w:val="nil"/>
              <w:bottom w:val="nil"/>
              <w:right w:val="nil"/>
            </w:tcBorders>
            <w:shd w:val="clear" w:color="auto" w:fill="auto"/>
            <w:noWrap/>
            <w:vAlign w:val="center"/>
            <w:hideMark/>
          </w:tcPr>
          <w:p w14:paraId="5C4229AF"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7145FAA9"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APOYO FEDERAL PARA SANEAMIENTO FINANCIERO</w:t>
            </w:r>
          </w:p>
        </w:tc>
        <w:tc>
          <w:tcPr>
            <w:tcW w:w="1788" w:type="dxa"/>
            <w:tcBorders>
              <w:top w:val="nil"/>
              <w:left w:val="nil"/>
              <w:bottom w:val="nil"/>
              <w:right w:val="nil"/>
            </w:tcBorders>
            <w:shd w:val="clear" w:color="auto" w:fill="auto"/>
            <w:vAlign w:val="center"/>
            <w:hideMark/>
          </w:tcPr>
          <w:p w14:paraId="24AE084D"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529786B2" w14:textId="77777777" w:rsidTr="00F9012D">
        <w:trPr>
          <w:trHeight w:val="449"/>
        </w:trPr>
        <w:tc>
          <w:tcPr>
            <w:tcW w:w="496" w:type="dxa"/>
            <w:tcBorders>
              <w:top w:val="nil"/>
              <w:left w:val="nil"/>
              <w:bottom w:val="nil"/>
              <w:right w:val="nil"/>
            </w:tcBorders>
            <w:shd w:val="clear" w:color="auto" w:fill="auto"/>
            <w:noWrap/>
            <w:vAlign w:val="center"/>
            <w:hideMark/>
          </w:tcPr>
          <w:p w14:paraId="50ED4BC1"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3A80004F"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5B989E54"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9309</w:t>
            </w:r>
          </w:p>
        </w:tc>
        <w:tc>
          <w:tcPr>
            <w:tcW w:w="755" w:type="dxa"/>
            <w:tcBorders>
              <w:top w:val="nil"/>
              <w:left w:val="nil"/>
              <w:bottom w:val="nil"/>
              <w:right w:val="nil"/>
            </w:tcBorders>
            <w:shd w:val="clear" w:color="auto" w:fill="auto"/>
            <w:noWrap/>
            <w:vAlign w:val="center"/>
            <w:hideMark/>
          </w:tcPr>
          <w:p w14:paraId="08FEEF3C"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372C87CC"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PROVISIONES PARA ARMONIZACIÓN CONTABLE</w:t>
            </w:r>
          </w:p>
        </w:tc>
        <w:tc>
          <w:tcPr>
            <w:tcW w:w="1788" w:type="dxa"/>
            <w:tcBorders>
              <w:top w:val="nil"/>
              <w:left w:val="nil"/>
              <w:bottom w:val="nil"/>
              <w:right w:val="nil"/>
            </w:tcBorders>
            <w:shd w:val="clear" w:color="auto" w:fill="auto"/>
            <w:vAlign w:val="center"/>
            <w:hideMark/>
          </w:tcPr>
          <w:p w14:paraId="42625D06"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1C410534" w14:textId="77777777" w:rsidTr="00F9012D">
        <w:trPr>
          <w:trHeight w:val="556"/>
        </w:trPr>
        <w:tc>
          <w:tcPr>
            <w:tcW w:w="496" w:type="dxa"/>
            <w:tcBorders>
              <w:top w:val="nil"/>
              <w:left w:val="nil"/>
              <w:bottom w:val="nil"/>
              <w:right w:val="nil"/>
            </w:tcBorders>
            <w:shd w:val="clear" w:color="auto" w:fill="auto"/>
            <w:noWrap/>
            <w:vAlign w:val="center"/>
            <w:hideMark/>
          </w:tcPr>
          <w:p w14:paraId="1A173A80"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082C0031"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1B101A6A"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9310</w:t>
            </w:r>
          </w:p>
        </w:tc>
        <w:tc>
          <w:tcPr>
            <w:tcW w:w="755" w:type="dxa"/>
            <w:tcBorders>
              <w:top w:val="nil"/>
              <w:left w:val="nil"/>
              <w:bottom w:val="nil"/>
              <w:right w:val="nil"/>
            </w:tcBorders>
            <w:shd w:val="clear" w:color="auto" w:fill="auto"/>
            <w:noWrap/>
            <w:vAlign w:val="center"/>
            <w:hideMark/>
          </w:tcPr>
          <w:p w14:paraId="53D21A57"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3E496089"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PROGRAMA PARA LA FISCALIZACIÓN DEL GASTO FEDERALIZADO DEL EJERCICIO FISCAL</w:t>
            </w:r>
          </w:p>
        </w:tc>
        <w:tc>
          <w:tcPr>
            <w:tcW w:w="1788" w:type="dxa"/>
            <w:tcBorders>
              <w:top w:val="nil"/>
              <w:left w:val="nil"/>
              <w:bottom w:val="nil"/>
              <w:right w:val="nil"/>
            </w:tcBorders>
            <w:shd w:val="clear" w:color="auto" w:fill="auto"/>
            <w:vAlign w:val="center"/>
            <w:hideMark/>
          </w:tcPr>
          <w:p w14:paraId="200934F3"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0120F3C8" w14:textId="77777777" w:rsidTr="00F9012D">
        <w:trPr>
          <w:trHeight w:val="449"/>
        </w:trPr>
        <w:tc>
          <w:tcPr>
            <w:tcW w:w="496" w:type="dxa"/>
            <w:tcBorders>
              <w:top w:val="nil"/>
              <w:left w:val="nil"/>
              <w:bottom w:val="nil"/>
              <w:right w:val="nil"/>
            </w:tcBorders>
            <w:shd w:val="clear" w:color="auto" w:fill="auto"/>
            <w:noWrap/>
            <w:vAlign w:val="center"/>
            <w:hideMark/>
          </w:tcPr>
          <w:p w14:paraId="057154D7"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67D07161"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429A75B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9314</w:t>
            </w:r>
          </w:p>
        </w:tc>
        <w:tc>
          <w:tcPr>
            <w:tcW w:w="755" w:type="dxa"/>
            <w:tcBorders>
              <w:top w:val="nil"/>
              <w:left w:val="nil"/>
              <w:bottom w:val="nil"/>
              <w:right w:val="nil"/>
            </w:tcBorders>
            <w:shd w:val="clear" w:color="auto" w:fill="auto"/>
            <w:noWrap/>
            <w:vAlign w:val="center"/>
            <w:hideMark/>
          </w:tcPr>
          <w:p w14:paraId="3AA2173D"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77625660"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FONDO PARA LA PREVENCIÓN DE DESASTRES NATURALES</w:t>
            </w:r>
          </w:p>
        </w:tc>
        <w:tc>
          <w:tcPr>
            <w:tcW w:w="1788" w:type="dxa"/>
            <w:tcBorders>
              <w:top w:val="nil"/>
              <w:left w:val="nil"/>
              <w:bottom w:val="nil"/>
              <w:right w:val="nil"/>
            </w:tcBorders>
            <w:shd w:val="clear" w:color="auto" w:fill="auto"/>
            <w:vAlign w:val="center"/>
            <w:hideMark/>
          </w:tcPr>
          <w:p w14:paraId="12988B34"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4B1F396A" w14:textId="77777777" w:rsidTr="00F9012D">
        <w:trPr>
          <w:trHeight w:val="449"/>
        </w:trPr>
        <w:tc>
          <w:tcPr>
            <w:tcW w:w="496" w:type="dxa"/>
            <w:tcBorders>
              <w:top w:val="nil"/>
              <w:left w:val="nil"/>
              <w:bottom w:val="nil"/>
              <w:right w:val="nil"/>
            </w:tcBorders>
            <w:shd w:val="clear" w:color="auto" w:fill="auto"/>
            <w:noWrap/>
            <w:vAlign w:val="center"/>
            <w:hideMark/>
          </w:tcPr>
          <w:p w14:paraId="6834E15F"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4FB6EFAD"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38158FF2"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9317</w:t>
            </w:r>
          </w:p>
        </w:tc>
        <w:tc>
          <w:tcPr>
            <w:tcW w:w="755" w:type="dxa"/>
            <w:tcBorders>
              <w:top w:val="nil"/>
              <w:left w:val="nil"/>
              <w:bottom w:val="nil"/>
              <w:right w:val="nil"/>
            </w:tcBorders>
            <w:shd w:val="clear" w:color="auto" w:fill="auto"/>
            <w:noWrap/>
            <w:vAlign w:val="center"/>
            <w:hideMark/>
          </w:tcPr>
          <w:p w14:paraId="2E40176C"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6BCF6246"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OTROS</w:t>
            </w:r>
          </w:p>
        </w:tc>
        <w:tc>
          <w:tcPr>
            <w:tcW w:w="1788" w:type="dxa"/>
            <w:tcBorders>
              <w:top w:val="nil"/>
              <w:left w:val="nil"/>
              <w:bottom w:val="nil"/>
              <w:right w:val="nil"/>
            </w:tcBorders>
            <w:shd w:val="clear" w:color="000000" w:fill="FFFFFF"/>
            <w:vAlign w:val="center"/>
            <w:hideMark/>
          </w:tcPr>
          <w:p w14:paraId="0DFA01AE"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$800,648,148</w:t>
            </w:r>
          </w:p>
        </w:tc>
      </w:tr>
      <w:tr w:rsidR="00F9012D" w:rsidRPr="00F9012D" w14:paraId="2F434E8B" w14:textId="77777777" w:rsidTr="00F9012D">
        <w:trPr>
          <w:trHeight w:val="614"/>
        </w:trPr>
        <w:tc>
          <w:tcPr>
            <w:tcW w:w="496" w:type="dxa"/>
            <w:tcBorders>
              <w:top w:val="nil"/>
              <w:left w:val="nil"/>
              <w:bottom w:val="nil"/>
              <w:right w:val="nil"/>
            </w:tcBorders>
            <w:shd w:val="clear" w:color="auto" w:fill="auto"/>
            <w:noWrap/>
            <w:vAlign w:val="center"/>
            <w:hideMark/>
          </w:tcPr>
          <w:p w14:paraId="07EA831C"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4AB4765A" w14:textId="77777777" w:rsidR="00F9012D" w:rsidRPr="00F9012D" w:rsidRDefault="00F9012D" w:rsidP="00F9012D">
            <w:pPr>
              <w:jc w:val="left"/>
              <w:rPr>
                <w:rFonts w:eastAsia="Times New Roman"/>
                <w:color w:val="000000"/>
                <w:sz w:val="18"/>
                <w:szCs w:val="18"/>
                <w:lang w:val="es-MX" w:eastAsia="es-MX"/>
              </w:rPr>
            </w:pPr>
          </w:p>
        </w:tc>
        <w:tc>
          <w:tcPr>
            <w:tcW w:w="622" w:type="dxa"/>
            <w:tcBorders>
              <w:top w:val="nil"/>
              <w:left w:val="nil"/>
              <w:bottom w:val="nil"/>
              <w:right w:val="nil"/>
            </w:tcBorders>
            <w:shd w:val="clear" w:color="auto" w:fill="auto"/>
            <w:noWrap/>
            <w:vAlign w:val="center"/>
            <w:hideMark/>
          </w:tcPr>
          <w:p w14:paraId="082D48D8" w14:textId="77777777" w:rsidR="00F9012D" w:rsidRPr="00F9012D" w:rsidRDefault="00F9012D" w:rsidP="00F9012D">
            <w:pPr>
              <w:jc w:val="left"/>
              <w:rPr>
                <w:rFonts w:eastAsia="Times New Roman"/>
                <w:color w:val="000000"/>
                <w:sz w:val="18"/>
                <w:szCs w:val="18"/>
                <w:lang w:val="es-MX" w:eastAsia="es-MX"/>
              </w:rPr>
            </w:pPr>
            <w:r w:rsidRPr="00F9012D">
              <w:rPr>
                <w:rFonts w:eastAsia="Times New Roman"/>
                <w:color w:val="000000"/>
                <w:sz w:val="18"/>
                <w:szCs w:val="18"/>
                <w:lang w:val="es-MX" w:eastAsia="es-MX"/>
              </w:rPr>
              <w:t>9323</w:t>
            </w:r>
          </w:p>
        </w:tc>
        <w:tc>
          <w:tcPr>
            <w:tcW w:w="755" w:type="dxa"/>
            <w:tcBorders>
              <w:top w:val="nil"/>
              <w:left w:val="nil"/>
              <w:bottom w:val="nil"/>
              <w:right w:val="nil"/>
            </w:tcBorders>
            <w:shd w:val="clear" w:color="auto" w:fill="auto"/>
            <w:noWrap/>
            <w:vAlign w:val="center"/>
            <w:hideMark/>
          </w:tcPr>
          <w:p w14:paraId="4C503A65"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3CDD09CF" w14:textId="77777777" w:rsidR="00F9012D" w:rsidRPr="00F9012D" w:rsidRDefault="00F9012D" w:rsidP="00F9012D">
            <w:pPr>
              <w:rPr>
                <w:rFonts w:eastAsia="Times New Roman"/>
                <w:color w:val="000000"/>
                <w:sz w:val="18"/>
                <w:szCs w:val="18"/>
                <w:lang w:val="es-MX" w:eastAsia="es-MX"/>
              </w:rPr>
            </w:pPr>
            <w:r w:rsidRPr="00F9012D">
              <w:rPr>
                <w:rFonts w:eastAsia="Times New Roman"/>
                <w:color w:val="000000"/>
                <w:sz w:val="18"/>
                <w:szCs w:val="18"/>
                <w:lang w:val="es-MX" w:eastAsia="es-MX"/>
              </w:rPr>
              <w:t>FIDEICOMISO PARA LA INFRAESTRUCTURA EN LOS ESTADOS (FIES)</w:t>
            </w:r>
          </w:p>
        </w:tc>
        <w:tc>
          <w:tcPr>
            <w:tcW w:w="1788" w:type="dxa"/>
            <w:tcBorders>
              <w:top w:val="nil"/>
              <w:left w:val="nil"/>
              <w:bottom w:val="nil"/>
              <w:right w:val="nil"/>
            </w:tcBorders>
            <w:shd w:val="clear" w:color="auto" w:fill="auto"/>
            <w:vAlign w:val="center"/>
            <w:hideMark/>
          </w:tcPr>
          <w:p w14:paraId="06CE313B" w14:textId="77777777" w:rsidR="00F9012D" w:rsidRPr="00F9012D" w:rsidRDefault="00F9012D" w:rsidP="00F9012D">
            <w:pPr>
              <w:jc w:val="right"/>
              <w:rPr>
                <w:rFonts w:eastAsia="Times New Roman"/>
                <w:color w:val="000000"/>
                <w:sz w:val="18"/>
                <w:szCs w:val="18"/>
                <w:lang w:val="es-MX" w:eastAsia="es-MX"/>
              </w:rPr>
            </w:pPr>
            <w:r w:rsidRPr="00F9012D">
              <w:rPr>
                <w:rFonts w:eastAsia="Times New Roman"/>
                <w:color w:val="000000"/>
                <w:sz w:val="18"/>
                <w:szCs w:val="18"/>
                <w:lang w:val="es-MX" w:eastAsia="es-MX"/>
              </w:rPr>
              <w:t>$0</w:t>
            </w:r>
          </w:p>
        </w:tc>
      </w:tr>
      <w:tr w:rsidR="00F9012D" w:rsidRPr="00F9012D" w14:paraId="24BC2B56" w14:textId="77777777" w:rsidTr="00F9012D">
        <w:trPr>
          <w:trHeight w:val="449"/>
        </w:trPr>
        <w:tc>
          <w:tcPr>
            <w:tcW w:w="496" w:type="dxa"/>
            <w:tcBorders>
              <w:top w:val="nil"/>
              <w:left w:val="nil"/>
              <w:bottom w:val="nil"/>
              <w:right w:val="nil"/>
            </w:tcBorders>
            <w:shd w:val="clear" w:color="auto" w:fill="auto"/>
            <w:noWrap/>
            <w:vAlign w:val="center"/>
            <w:hideMark/>
          </w:tcPr>
          <w:p w14:paraId="4429077B"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7510E37B"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95</w:t>
            </w:r>
          </w:p>
        </w:tc>
        <w:tc>
          <w:tcPr>
            <w:tcW w:w="622" w:type="dxa"/>
            <w:tcBorders>
              <w:top w:val="nil"/>
              <w:left w:val="nil"/>
              <w:bottom w:val="nil"/>
              <w:right w:val="nil"/>
            </w:tcBorders>
            <w:shd w:val="clear" w:color="auto" w:fill="auto"/>
            <w:noWrap/>
            <w:vAlign w:val="center"/>
            <w:hideMark/>
          </w:tcPr>
          <w:p w14:paraId="23F3D1CF"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5BC4A9DF"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22B5A848"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PENSIONES Y JUBILACIONES</w:t>
            </w:r>
          </w:p>
        </w:tc>
        <w:tc>
          <w:tcPr>
            <w:tcW w:w="1788" w:type="dxa"/>
            <w:tcBorders>
              <w:top w:val="nil"/>
              <w:left w:val="nil"/>
              <w:bottom w:val="nil"/>
              <w:right w:val="nil"/>
            </w:tcBorders>
            <w:shd w:val="clear" w:color="000000" w:fill="FFFFFF"/>
            <w:vAlign w:val="center"/>
            <w:hideMark/>
          </w:tcPr>
          <w:p w14:paraId="2E058496"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4681EE23" w14:textId="77777777" w:rsidTr="00F9012D">
        <w:trPr>
          <w:trHeight w:val="449"/>
        </w:trPr>
        <w:tc>
          <w:tcPr>
            <w:tcW w:w="496" w:type="dxa"/>
            <w:tcBorders>
              <w:top w:val="nil"/>
              <w:left w:val="nil"/>
              <w:bottom w:val="nil"/>
              <w:right w:val="nil"/>
            </w:tcBorders>
            <w:shd w:val="clear" w:color="auto" w:fill="auto"/>
            <w:noWrap/>
            <w:vAlign w:val="center"/>
            <w:hideMark/>
          </w:tcPr>
          <w:p w14:paraId="61D74899"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1B0904EE"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96</w:t>
            </w:r>
          </w:p>
        </w:tc>
        <w:tc>
          <w:tcPr>
            <w:tcW w:w="622" w:type="dxa"/>
            <w:tcBorders>
              <w:top w:val="nil"/>
              <w:left w:val="nil"/>
              <w:bottom w:val="nil"/>
              <w:right w:val="nil"/>
            </w:tcBorders>
            <w:shd w:val="clear" w:color="auto" w:fill="auto"/>
            <w:noWrap/>
            <w:vAlign w:val="center"/>
            <w:hideMark/>
          </w:tcPr>
          <w:p w14:paraId="440ECECA"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071FFB4B"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70F832E7"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TRANSFERENCIAS A FIDEICOMISOS, MANDATOS Y ANÁLOGOS</w:t>
            </w:r>
          </w:p>
        </w:tc>
        <w:tc>
          <w:tcPr>
            <w:tcW w:w="1788" w:type="dxa"/>
            <w:tcBorders>
              <w:top w:val="nil"/>
              <w:left w:val="nil"/>
              <w:bottom w:val="nil"/>
              <w:right w:val="nil"/>
            </w:tcBorders>
            <w:shd w:val="clear" w:color="000000" w:fill="FFFFFF"/>
            <w:vAlign w:val="center"/>
            <w:hideMark/>
          </w:tcPr>
          <w:p w14:paraId="7CC5ACC5"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524BD2E4" w14:textId="77777777" w:rsidTr="00F9012D">
        <w:trPr>
          <w:trHeight w:val="556"/>
        </w:trPr>
        <w:tc>
          <w:tcPr>
            <w:tcW w:w="496" w:type="dxa"/>
            <w:tcBorders>
              <w:top w:val="nil"/>
              <w:left w:val="nil"/>
              <w:bottom w:val="nil"/>
              <w:right w:val="nil"/>
            </w:tcBorders>
            <w:shd w:val="clear" w:color="auto" w:fill="auto"/>
            <w:noWrap/>
            <w:vAlign w:val="center"/>
            <w:hideMark/>
          </w:tcPr>
          <w:p w14:paraId="01999633" w14:textId="77777777" w:rsidR="00F9012D" w:rsidRPr="00F9012D" w:rsidRDefault="00F9012D" w:rsidP="00F9012D">
            <w:pPr>
              <w:jc w:val="left"/>
              <w:rPr>
                <w:rFonts w:eastAsia="Times New Roman"/>
                <w:color w:val="000000"/>
                <w:sz w:val="18"/>
                <w:szCs w:val="18"/>
                <w:lang w:val="es-MX" w:eastAsia="es-MX"/>
              </w:rPr>
            </w:pPr>
          </w:p>
        </w:tc>
        <w:tc>
          <w:tcPr>
            <w:tcW w:w="359" w:type="dxa"/>
            <w:tcBorders>
              <w:top w:val="nil"/>
              <w:left w:val="nil"/>
              <w:bottom w:val="nil"/>
              <w:right w:val="nil"/>
            </w:tcBorders>
            <w:shd w:val="clear" w:color="auto" w:fill="auto"/>
            <w:noWrap/>
            <w:vAlign w:val="center"/>
            <w:hideMark/>
          </w:tcPr>
          <w:p w14:paraId="7C23E210"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97</w:t>
            </w:r>
          </w:p>
        </w:tc>
        <w:tc>
          <w:tcPr>
            <w:tcW w:w="622" w:type="dxa"/>
            <w:tcBorders>
              <w:top w:val="nil"/>
              <w:left w:val="nil"/>
              <w:bottom w:val="nil"/>
              <w:right w:val="nil"/>
            </w:tcBorders>
            <w:shd w:val="clear" w:color="auto" w:fill="auto"/>
            <w:noWrap/>
            <w:vAlign w:val="center"/>
            <w:hideMark/>
          </w:tcPr>
          <w:p w14:paraId="07A48138" w14:textId="77777777" w:rsidR="00F9012D" w:rsidRPr="00F9012D" w:rsidRDefault="00F9012D" w:rsidP="00F9012D">
            <w:pPr>
              <w:jc w:val="left"/>
              <w:rPr>
                <w:rFonts w:eastAsia="Times New Roman"/>
                <w:color w:val="000000"/>
                <w:sz w:val="18"/>
                <w:szCs w:val="18"/>
                <w:lang w:val="es-MX" w:eastAsia="es-MX"/>
              </w:rPr>
            </w:pPr>
          </w:p>
        </w:tc>
        <w:tc>
          <w:tcPr>
            <w:tcW w:w="755" w:type="dxa"/>
            <w:tcBorders>
              <w:top w:val="nil"/>
              <w:left w:val="nil"/>
              <w:bottom w:val="nil"/>
              <w:right w:val="nil"/>
            </w:tcBorders>
            <w:shd w:val="clear" w:color="auto" w:fill="auto"/>
            <w:noWrap/>
            <w:vAlign w:val="center"/>
            <w:hideMark/>
          </w:tcPr>
          <w:p w14:paraId="4CFDF485" w14:textId="77777777" w:rsidR="00F9012D" w:rsidRPr="00F9012D" w:rsidRDefault="00F9012D" w:rsidP="00F9012D">
            <w:pPr>
              <w:jc w:val="left"/>
              <w:rPr>
                <w:rFonts w:eastAsia="Times New Roman"/>
                <w:color w:val="000000"/>
                <w:sz w:val="18"/>
                <w:szCs w:val="18"/>
                <w:lang w:val="es-MX" w:eastAsia="es-MX"/>
              </w:rPr>
            </w:pPr>
          </w:p>
        </w:tc>
        <w:tc>
          <w:tcPr>
            <w:tcW w:w="4547" w:type="dxa"/>
            <w:tcBorders>
              <w:top w:val="nil"/>
              <w:left w:val="nil"/>
              <w:bottom w:val="nil"/>
              <w:right w:val="nil"/>
            </w:tcBorders>
            <w:shd w:val="clear" w:color="auto" w:fill="auto"/>
            <w:vAlign w:val="center"/>
            <w:hideMark/>
          </w:tcPr>
          <w:p w14:paraId="459A6E7A"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TRANSFERENCIAS DEL FONDO MEXICANO DEL PETRÓLEO PARA LA ESTABILIZACIÓN Y EL DESARROLLO</w:t>
            </w:r>
          </w:p>
        </w:tc>
        <w:tc>
          <w:tcPr>
            <w:tcW w:w="1788" w:type="dxa"/>
            <w:tcBorders>
              <w:top w:val="nil"/>
              <w:left w:val="nil"/>
              <w:bottom w:val="nil"/>
              <w:right w:val="nil"/>
            </w:tcBorders>
            <w:shd w:val="clear" w:color="auto" w:fill="auto"/>
            <w:vAlign w:val="center"/>
            <w:hideMark/>
          </w:tcPr>
          <w:p w14:paraId="508D2831"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5E12A6F1" w14:textId="77777777" w:rsidTr="00F9012D">
        <w:trPr>
          <w:trHeight w:val="449"/>
        </w:trPr>
        <w:tc>
          <w:tcPr>
            <w:tcW w:w="496" w:type="dxa"/>
            <w:tcBorders>
              <w:top w:val="nil"/>
              <w:left w:val="nil"/>
              <w:bottom w:val="nil"/>
              <w:right w:val="nil"/>
            </w:tcBorders>
            <w:shd w:val="clear" w:color="000000" w:fill="FFC000"/>
            <w:vAlign w:val="center"/>
            <w:hideMark/>
          </w:tcPr>
          <w:p w14:paraId="41E64EAB"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C000"/>
            <w:vAlign w:val="center"/>
            <w:hideMark/>
          </w:tcPr>
          <w:p w14:paraId="3B64C7CB"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C000"/>
            <w:vAlign w:val="center"/>
            <w:hideMark/>
          </w:tcPr>
          <w:p w14:paraId="24519023"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C000"/>
            <w:vAlign w:val="center"/>
            <w:hideMark/>
          </w:tcPr>
          <w:p w14:paraId="68135CF0"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C000"/>
            <w:vAlign w:val="center"/>
            <w:hideMark/>
          </w:tcPr>
          <w:p w14:paraId="49E1554E"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TOTAL INGRESOS FEDERALES</w:t>
            </w:r>
          </w:p>
        </w:tc>
        <w:tc>
          <w:tcPr>
            <w:tcW w:w="1788" w:type="dxa"/>
            <w:tcBorders>
              <w:top w:val="nil"/>
              <w:left w:val="nil"/>
              <w:bottom w:val="nil"/>
              <w:right w:val="nil"/>
            </w:tcBorders>
            <w:shd w:val="clear" w:color="000000" w:fill="FFC000"/>
            <w:vAlign w:val="center"/>
            <w:hideMark/>
          </w:tcPr>
          <w:p w14:paraId="64925D50"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$48,374,928,208</w:t>
            </w:r>
          </w:p>
        </w:tc>
      </w:tr>
      <w:tr w:rsidR="00F9012D" w:rsidRPr="00F9012D" w14:paraId="53111320" w14:textId="77777777" w:rsidTr="00F9012D">
        <w:trPr>
          <w:trHeight w:val="449"/>
        </w:trPr>
        <w:tc>
          <w:tcPr>
            <w:tcW w:w="496" w:type="dxa"/>
            <w:tcBorders>
              <w:top w:val="nil"/>
              <w:left w:val="nil"/>
              <w:bottom w:val="nil"/>
              <w:right w:val="nil"/>
            </w:tcBorders>
            <w:shd w:val="clear" w:color="000000" w:fill="FFC000"/>
            <w:vAlign w:val="center"/>
            <w:hideMark/>
          </w:tcPr>
          <w:p w14:paraId="0C9B6670"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C000"/>
            <w:vAlign w:val="center"/>
            <w:hideMark/>
          </w:tcPr>
          <w:p w14:paraId="40B585F8"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C000"/>
            <w:vAlign w:val="center"/>
            <w:hideMark/>
          </w:tcPr>
          <w:p w14:paraId="0EE1462D"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C000"/>
            <w:vAlign w:val="center"/>
            <w:hideMark/>
          </w:tcPr>
          <w:p w14:paraId="734DDFF8"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C000"/>
            <w:vAlign w:val="center"/>
            <w:hideMark/>
          </w:tcPr>
          <w:p w14:paraId="0D963312"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TOTAL DE INGRESOS ESTATALES + FEDERALES</w:t>
            </w:r>
          </w:p>
        </w:tc>
        <w:tc>
          <w:tcPr>
            <w:tcW w:w="1788" w:type="dxa"/>
            <w:tcBorders>
              <w:top w:val="nil"/>
              <w:left w:val="nil"/>
              <w:bottom w:val="nil"/>
              <w:right w:val="nil"/>
            </w:tcBorders>
            <w:shd w:val="clear" w:color="000000" w:fill="FFC000"/>
            <w:vAlign w:val="center"/>
            <w:hideMark/>
          </w:tcPr>
          <w:p w14:paraId="5631E452"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$51,175,882,591</w:t>
            </w:r>
          </w:p>
        </w:tc>
      </w:tr>
      <w:tr w:rsidR="00F9012D" w:rsidRPr="00F9012D" w14:paraId="1BB81365" w14:textId="77777777" w:rsidTr="00F9012D">
        <w:trPr>
          <w:trHeight w:val="449"/>
        </w:trPr>
        <w:tc>
          <w:tcPr>
            <w:tcW w:w="496" w:type="dxa"/>
            <w:tcBorders>
              <w:top w:val="nil"/>
              <w:left w:val="nil"/>
              <w:bottom w:val="nil"/>
              <w:right w:val="nil"/>
            </w:tcBorders>
            <w:shd w:val="clear" w:color="000000" w:fill="FFC000"/>
            <w:vAlign w:val="center"/>
            <w:hideMark/>
          </w:tcPr>
          <w:p w14:paraId="51179DB2"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c>
          <w:tcPr>
            <w:tcW w:w="359" w:type="dxa"/>
            <w:tcBorders>
              <w:top w:val="nil"/>
              <w:left w:val="nil"/>
              <w:bottom w:val="nil"/>
              <w:right w:val="nil"/>
            </w:tcBorders>
            <w:shd w:val="clear" w:color="000000" w:fill="FFC000"/>
            <w:vAlign w:val="center"/>
            <w:hideMark/>
          </w:tcPr>
          <w:p w14:paraId="1209A529"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C000"/>
            <w:vAlign w:val="center"/>
            <w:hideMark/>
          </w:tcPr>
          <w:p w14:paraId="1711D42A"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C000"/>
            <w:vAlign w:val="center"/>
            <w:hideMark/>
          </w:tcPr>
          <w:p w14:paraId="22050090"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C000"/>
            <w:vAlign w:val="center"/>
            <w:hideMark/>
          </w:tcPr>
          <w:p w14:paraId="34F35BB8"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INGRESOS DERIVADOS DE FINANCIAMIENTO</w:t>
            </w:r>
          </w:p>
        </w:tc>
        <w:tc>
          <w:tcPr>
            <w:tcW w:w="1788" w:type="dxa"/>
            <w:tcBorders>
              <w:top w:val="nil"/>
              <w:left w:val="nil"/>
              <w:bottom w:val="nil"/>
              <w:right w:val="nil"/>
            </w:tcBorders>
            <w:shd w:val="clear" w:color="000000" w:fill="FFC000"/>
            <w:vAlign w:val="center"/>
            <w:hideMark/>
          </w:tcPr>
          <w:p w14:paraId="77127FA7"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$0</w:t>
            </w:r>
          </w:p>
        </w:tc>
      </w:tr>
      <w:tr w:rsidR="00F9012D" w:rsidRPr="00F9012D" w14:paraId="2379D921" w14:textId="77777777" w:rsidTr="00F9012D">
        <w:trPr>
          <w:trHeight w:val="449"/>
        </w:trPr>
        <w:tc>
          <w:tcPr>
            <w:tcW w:w="496" w:type="dxa"/>
            <w:tcBorders>
              <w:top w:val="nil"/>
              <w:left w:val="nil"/>
              <w:bottom w:val="nil"/>
              <w:right w:val="nil"/>
            </w:tcBorders>
            <w:shd w:val="clear" w:color="000000" w:fill="FFC000"/>
            <w:vAlign w:val="center"/>
            <w:hideMark/>
          </w:tcPr>
          <w:p w14:paraId="7FCCC88D"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359" w:type="dxa"/>
            <w:tcBorders>
              <w:top w:val="nil"/>
              <w:left w:val="nil"/>
              <w:bottom w:val="nil"/>
              <w:right w:val="nil"/>
            </w:tcBorders>
            <w:shd w:val="clear" w:color="000000" w:fill="FFC000"/>
            <w:vAlign w:val="center"/>
            <w:hideMark/>
          </w:tcPr>
          <w:p w14:paraId="6E36D8A2"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622" w:type="dxa"/>
            <w:tcBorders>
              <w:top w:val="nil"/>
              <w:left w:val="nil"/>
              <w:bottom w:val="nil"/>
              <w:right w:val="nil"/>
            </w:tcBorders>
            <w:shd w:val="clear" w:color="000000" w:fill="FFC000"/>
            <w:vAlign w:val="center"/>
            <w:hideMark/>
          </w:tcPr>
          <w:p w14:paraId="4921B204"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755" w:type="dxa"/>
            <w:tcBorders>
              <w:top w:val="nil"/>
              <w:left w:val="nil"/>
              <w:bottom w:val="nil"/>
              <w:right w:val="nil"/>
            </w:tcBorders>
            <w:shd w:val="clear" w:color="000000" w:fill="FFC000"/>
            <w:vAlign w:val="center"/>
            <w:hideMark/>
          </w:tcPr>
          <w:p w14:paraId="2CB72456" w14:textId="77777777" w:rsidR="00F9012D" w:rsidRPr="00F9012D" w:rsidRDefault="00F9012D" w:rsidP="00F9012D">
            <w:pPr>
              <w:jc w:val="left"/>
              <w:rPr>
                <w:rFonts w:eastAsia="Times New Roman"/>
                <w:b/>
                <w:bCs/>
                <w:color w:val="000000"/>
                <w:sz w:val="18"/>
                <w:szCs w:val="18"/>
                <w:lang w:val="es-MX" w:eastAsia="es-MX"/>
              </w:rPr>
            </w:pPr>
            <w:r w:rsidRPr="00F9012D">
              <w:rPr>
                <w:rFonts w:eastAsia="Times New Roman"/>
                <w:b/>
                <w:bCs/>
                <w:color w:val="000000"/>
                <w:sz w:val="18"/>
                <w:szCs w:val="18"/>
                <w:lang w:val="es-MX" w:eastAsia="es-MX"/>
              </w:rPr>
              <w:t> </w:t>
            </w:r>
          </w:p>
        </w:tc>
        <w:tc>
          <w:tcPr>
            <w:tcW w:w="4547" w:type="dxa"/>
            <w:tcBorders>
              <w:top w:val="nil"/>
              <w:left w:val="nil"/>
              <w:bottom w:val="nil"/>
              <w:right w:val="nil"/>
            </w:tcBorders>
            <w:shd w:val="clear" w:color="000000" w:fill="FFC000"/>
            <w:vAlign w:val="center"/>
            <w:hideMark/>
          </w:tcPr>
          <w:p w14:paraId="08F9CBC4" w14:textId="77777777" w:rsidR="00F9012D" w:rsidRPr="00F9012D" w:rsidRDefault="00F9012D" w:rsidP="00F9012D">
            <w:pPr>
              <w:rPr>
                <w:rFonts w:eastAsia="Times New Roman"/>
                <w:b/>
                <w:bCs/>
                <w:color w:val="000000"/>
                <w:sz w:val="18"/>
                <w:szCs w:val="18"/>
                <w:lang w:val="es-MX" w:eastAsia="es-MX"/>
              </w:rPr>
            </w:pPr>
            <w:r w:rsidRPr="00F9012D">
              <w:rPr>
                <w:rFonts w:eastAsia="Times New Roman"/>
                <w:b/>
                <w:bCs/>
                <w:color w:val="000000"/>
                <w:sz w:val="18"/>
                <w:szCs w:val="18"/>
                <w:lang w:val="es-MX" w:eastAsia="es-MX"/>
              </w:rPr>
              <w:t>INGRESOS TOTALES</w:t>
            </w:r>
          </w:p>
        </w:tc>
        <w:tc>
          <w:tcPr>
            <w:tcW w:w="1788" w:type="dxa"/>
            <w:tcBorders>
              <w:top w:val="nil"/>
              <w:left w:val="nil"/>
              <w:bottom w:val="nil"/>
              <w:right w:val="nil"/>
            </w:tcBorders>
            <w:shd w:val="clear" w:color="000000" w:fill="FFC000"/>
            <w:vAlign w:val="center"/>
            <w:hideMark/>
          </w:tcPr>
          <w:p w14:paraId="720ACD7B" w14:textId="77777777" w:rsidR="00F9012D" w:rsidRPr="00F9012D" w:rsidRDefault="00F9012D" w:rsidP="00F9012D">
            <w:pPr>
              <w:jc w:val="right"/>
              <w:rPr>
                <w:rFonts w:eastAsia="Times New Roman"/>
                <w:b/>
                <w:bCs/>
                <w:color w:val="000000"/>
                <w:sz w:val="18"/>
                <w:szCs w:val="18"/>
                <w:lang w:val="es-MX" w:eastAsia="es-MX"/>
              </w:rPr>
            </w:pPr>
            <w:r w:rsidRPr="00F9012D">
              <w:rPr>
                <w:rFonts w:eastAsia="Times New Roman"/>
                <w:b/>
                <w:bCs/>
                <w:color w:val="000000"/>
                <w:sz w:val="18"/>
                <w:szCs w:val="18"/>
                <w:lang w:val="es-MX" w:eastAsia="es-MX"/>
              </w:rPr>
              <w:t>$51,175,882,591</w:t>
            </w:r>
          </w:p>
        </w:tc>
      </w:tr>
    </w:tbl>
    <w:p w14:paraId="23AD4419" w14:textId="77777777" w:rsidR="0050098F" w:rsidRDefault="0050098F" w:rsidP="0088463F">
      <w:pPr>
        <w:spacing w:line="360" w:lineRule="auto"/>
        <w:ind w:right="-91"/>
        <w:rPr>
          <w:b/>
          <w:szCs w:val="24"/>
          <w:lang w:val="es-MX"/>
        </w:rPr>
      </w:pPr>
    </w:p>
    <w:p w14:paraId="51F49734" w14:textId="77777777" w:rsidR="0088463F" w:rsidRPr="00D33F49" w:rsidRDefault="0088463F" w:rsidP="0088463F">
      <w:pPr>
        <w:spacing w:line="360" w:lineRule="auto"/>
        <w:ind w:right="-91"/>
        <w:rPr>
          <w:rFonts w:asciiTheme="majorHAnsi" w:hAnsiTheme="majorHAnsi" w:cstheme="majorHAnsi"/>
          <w:szCs w:val="24"/>
          <w:lang w:val="es-MX"/>
        </w:rPr>
      </w:pPr>
      <w:r w:rsidRPr="00D33F49">
        <w:rPr>
          <w:rFonts w:asciiTheme="majorHAnsi" w:hAnsiTheme="majorHAnsi" w:cstheme="majorHAnsi"/>
          <w:b/>
          <w:szCs w:val="24"/>
          <w:lang w:val="es-MX"/>
        </w:rPr>
        <w:lastRenderedPageBreak/>
        <w:t xml:space="preserve">Artículo 2.- </w:t>
      </w:r>
      <w:r w:rsidRPr="00D33F49">
        <w:rPr>
          <w:rFonts w:asciiTheme="majorHAnsi" w:hAnsiTheme="majorHAnsi" w:cstheme="majorHAnsi"/>
          <w:szCs w:val="24"/>
          <w:lang w:val="es-MX"/>
        </w:rPr>
        <w:t xml:space="preserve">La Secretaría de Planeación y Finanzas, en un plazo de hasta 35 días hábiles después de terminado cada trimestre, rendirá un informe a la Comisión de Hacienda y Finanzas del Honorable Congreso del Estado, que por lo menos contendrá lo siguiente: </w:t>
      </w:r>
    </w:p>
    <w:p w14:paraId="2F5996CF" w14:textId="77777777" w:rsidR="0088463F" w:rsidRPr="00D33F49" w:rsidRDefault="0088463F" w:rsidP="0088463F">
      <w:pPr>
        <w:spacing w:line="360" w:lineRule="auto"/>
        <w:ind w:right="-91"/>
        <w:rPr>
          <w:rFonts w:asciiTheme="majorHAnsi" w:hAnsiTheme="majorHAnsi" w:cstheme="majorHAnsi"/>
          <w:szCs w:val="24"/>
          <w:lang w:val="es-MX"/>
        </w:rPr>
      </w:pPr>
    </w:p>
    <w:p w14:paraId="1AFB52C7" w14:textId="3EBF6407" w:rsidR="0088463F" w:rsidRPr="00D33F49" w:rsidRDefault="0088463F" w:rsidP="00DD7284">
      <w:pPr>
        <w:spacing w:line="360" w:lineRule="auto"/>
        <w:ind w:left="284" w:right="-91" w:hanging="284"/>
        <w:rPr>
          <w:rFonts w:asciiTheme="majorHAnsi" w:hAnsiTheme="majorHAnsi" w:cstheme="majorHAnsi"/>
          <w:szCs w:val="24"/>
          <w:lang w:val="es-MX"/>
        </w:rPr>
      </w:pPr>
      <w:r w:rsidRPr="00D33F49">
        <w:rPr>
          <w:rFonts w:asciiTheme="majorHAnsi" w:hAnsiTheme="majorHAnsi" w:cstheme="majorHAnsi"/>
          <w:szCs w:val="24"/>
          <w:lang w:val="es-MX"/>
        </w:rPr>
        <w:t xml:space="preserve">I. </w:t>
      </w:r>
      <w:r w:rsidR="00DD7284" w:rsidRPr="00D33F49">
        <w:rPr>
          <w:rFonts w:asciiTheme="majorHAnsi" w:hAnsiTheme="majorHAnsi" w:cstheme="majorHAnsi"/>
          <w:szCs w:val="24"/>
          <w:lang w:val="es-MX"/>
        </w:rPr>
        <w:t xml:space="preserve"> </w:t>
      </w:r>
      <w:r w:rsidRPr="00D33F49">
        <w:rPr>
          <w:rFonts w:asciiTheme="majorHAnsi" w:hAnsiTheme="majorHAnsi" w:cstheme="majorHAnsi"/>
          <w:szCs w:val="24"/>
          <w:lang w:val="es-MX"/>
        </w:rPr>
        <w:t xml:space="preserve">Comportamiento de los Ingresos, Ordinarios y Extraordinarios; </w:t>
      </w:r>
    </w:p>
    <w:p w14:paraId="62B6254A" w14:textId="77777777" w:rsidR="00A3540C" w:rsidRPr="00D33F49" w:rsidRDefault="00A3540C" w:rsidP="00DD7284">
      <w:pPr>
        <w:spacing w:line="360" w:lineRule="auto"/>
        <w:ind w:left="284" w:right="-91" w:hanging="284"/>
        <w:rPr>
          <w:rFonts w:asciiTheme="majorHAnsi" w:hAnsiTheme="majorHAnsi" w:cstheme="majorHAnsi"/>
          <w:szCs w:val="24"/>
          <w:lang w:val="es-MX"/>
        </w:rPr>
      </w:pPr>
    </w:p>
    <w:p w14:paraId="31A850B5" w14:textId="77777777" w:rsidR="0088463F" w:rsidRPr="00D33F49" w:rsidRDefault="0088463F" w:rsidP="00DD7284">
      <w:pPr>
        <w:spacing w:line="360" w:lineRule="auto"/>
        <w:ind w:left="284" w:right="-91" w:hanging="284"/>
        <w:rPr>
          <w:rFonts w:asciiTheme="majorHAnsi" w:hAnsiTheme="majorHAnsi" w:cstheme="majorHAnsi"/>
          <w:szCs w:val="24"/>
          <w:lang w:val="es-MX"/>
        </w:rPr>
      </w:pPr>
      <w:r w:rsidRPr="00D33F49">
        <w:rPr>
          <w:rFonts w:asciiTheme="majorHAnsi" w:hAnsiTheme="majorHAnsi" w:cstheme="majorHAnsi"/>
          <w:szCs w:val="24"/>
          <w:lang w:val="es-MX"/>
        </w:rPr>
        <w:t xml:space="preserve">II. Los recursos provenientes de los Ramos Federales desagregados por tipo de fondo y otros ingresos acordados entre el Estado y la Federación, conforme a la legislación aplicable; </w:t>
      </w:r>
    </w:p>
    <w:p w14:paraId="00C18325" w14:textId="77777777" w:rsidR="00A3540C" w:rsidRPr="00D33F49" w:rsidRDefault="00A3540C" w:rsidP="00DD7284">
      <w:pPr>
        <w:spacing w:line="360" w:lineRule="auto"/>
        <w:ind w:left="284" w:right="-91" w:hanging="284"/>
        <w:rPr>
          <w:rFonts w:asciiTheme="majorHAnsi" w:hAnsiTheme="majorHAnsi" w:cstheme="majorHAnsi"/>
          <w:szCs w:val="24"/>
          <w:lang w:val="es-MX"/>
        </w:rPr>
      </w:pPr>
    </w:p>
    <w:p w14:paraId="5427084F" w14:textId="77777777" w:rsidR="0088463F" w:rsidRPr="00D33F49" w:rsidRDefault="0088463F" w:rsidP="00DD7284">
      <w:pPr>
        <w:spacing w:line="360" w:lineRule="auto"/>
        <w:ind w:left="284" w:right="-91" w:hanging="284"/>
        <w:rPr>
          <w:rFonts w:asciiTheme="majorHAnsi" w:hAnsiTheme="majorHAnsi" w:cstheme="majorHAnsi"/>
          <w:szCs w:val="24"/>
          <w:lang w:val="es-MX"/>
        </w:rPr>
      </w:pPr>
      <w:r w:rsidRPr="00D33F49">
        <w:rPr>
          <w:rFonts w:asciiTheme="majorHAnsi" w:hAnsiTheme="majorHAnsi" w:cstheme="majorHAnsi"/>
          <w:szCs w:val="24"/>
          <w:lang w:val="es-MX"/>
        </w:rPr>
        <w:t xml:space="preserve">III. Indicadores de desempeño y auditoría fiscal; y </w:t>
      </w:r>
    </w:p>
    <w:p w14:paraId="1AD0CE34" w14:textId="77777777" w:rsidR="00A3540C" w:rsidRPr="00D33F49" w:rsidRDefault="00A3540C" w:rsidP="00DD7284">
      <w:pPr>
        <w:spacing w:line="360" w:lineRule="auto"/>
        <w:ind w:left="284" w:right="-91" w:hanging="284"/>
        <w:rPr>
          <w:rFonts w:asciiTheme="majorHAnsi" w:hAnsiTheme="majorHAnsi" w:cstheme="majorHAnsi"/>
          <w:szCs w:val="24"/>
          <w:lang w:val="es-MX"/>
        </w:rPr>
      </w:pPr>
    </w:p>
    <w:p w14:paraId="7A0E690F" w14:textId="77777777" w:rsidR="0088463F" w:rsidRPr="00D33F49" w:rsidRDefault="0088463F" w:rsidP="00DD7284">
      <w:pPr>
        <w:spacing w:line="360" w:lineRule="auto"/>
        <w:ind w:left="284" w:right="-91" w:hanging="284"/>
        <w:rPr>
          <w:rFonts w:asciiTheme="majorHAnsi" w:hAnsiTheme="majorHAnsi" w:cstheme="majorHAnsi"/>
          <w:szCs w:val="24"/>
          <w:lang w:val="es-MX"/>
        </w:rPr>
      </w:pPr>
      <w:r w:rsidRPr="00D33F49">
        <w:rPr>
          <w:rFonts w:asciiTheme="majorHAnsi" w:hAnsiTheme="majorHAnsi" w:cstheme="majorHAnsi"/>
          <w:szCs w:val="24"/>
          <w:lang w:val="es-MX"/>
        </w:rPr>
        <w:t xml:space="preserve">IV. Situación de la deuda pública y de los montos de endeudamiento interno neto del Poder Ejecutivo. </w:t>
      </w:r>
    </w:p>
    <w:p w14:paraId="15E15AC4" w14:textId="77777777" w:rsidR="0088463F" w:rsidRPr="00D33F49" w:rsidRDefault="0088463F" w:rsidP="0088463F">
      <w:pPr>
        <w:spacing w:line="360" w:lineRule="auto"/>
        <w:ind w:right="-91"/>
        <w:rPr>
          <w:rFonts w:asciiTheme="majorHAnsi" w:hAnsiTheme="majorHAnsi" w:cstheme="majorHAnsi"/>
          <w:szCs w:val="24"/>
          <w:lang w:val="es-MX"/>
        </w:rPr>
      </w:pPr>
    </w:p>
    <w:p w14:paraId="0163BD7D" w14:textId="77777777" w:rsidR="0088463F" w:rsidRPr="00D33F49" w:rsidRDefault="0088463F" w:rsidP="0088463F">
      <w:pPr>
        <w:spacing w:line="360" w:lineRule="auto"/>
        <w:ind w:right="-91"/>
        <w:rPr>
          <w:rFonts w:asciiTheme="majorHAnsi" w:hAnsiTheme="majorHAnsi" w:cstheme="majorHAnsi"/>
          <w:szCs w:val="24"/>
          <w:lang w:val="es-MX"/>
        </w:rPr>
      </w:pPr>
      <w:r w:rsidRPr="00D33F49">
        <w:rPr>
          <w:rFonts w:asciiTheme="majorHAnsi" w:hAnsiTheme="majorHAnsi" w:cstheme="majorHAnsi"/>
          <w:szCs w:val="24"/>
          <w:lang w:val="es-MX"/>
        </w:rPr>
        <w:t xml:space="preserve">La información referente a todos los rubros de ingresos, deberá presentarse en los mismos términos que se señalan en este artículo, en relación con sus estimaciones y el comportamiento con respecto al mismo trimestre del año anterior y también conforme a la calendarización realizada por el Ejecutivo Estatal. </w:t>
      </w:r>
    </w:p>
    <w:p w14:paraId="6A69254C" w14:textId="77777777" w:rsidR="0088463F" w:rsidRPr="00D33F49" w:rsidRDefault="0088463F" w:rsidP="0088463F">
      <w:pPr>
        <w:spacing w:line="360" w:lineRule="auto"/>
        <w:ind w:right="-91"/>
        <w:rPr>
          <w:rFonts w:asciiTheme="majorHAnsi" w:hAnsiTheme="majorHAnsi" w:cstheme="majorHAnsi"/>
          <w:szCs w:val="24"/>
          <w:lang w:val="es-MX"/>
        </w:rPr>
      </w:pPr>
    </w:p>
    <w:p w14:paraId="425D852B" w14:textId="31F9B1A5" w:rsidR="009E124A" w:rsidRPr="00D33F49" w:rsidRDefault="0088463F" w:rsidP="0088463F">
      <w:pPr>
        <w:spacing w:line="360" w:lineRule="auto"/>
        <w:ind w:right="-91"/>
        <w:rPr>
          <w:rFonts w:asciiTheme="majorHAnsi" w:hAnsiTheme="majorHAnsi" w:cstheme="majorHAnsi"/>
          <w:szCs w:val="24"/>
          <w:lang w:val="es-MX"/>
        </w:rPr>
      </w:pPr>
      <w:r w:rsidRPr="00D33F49">
        <w:rPr>
          <w:rFonts w:asciiTheme="majorHAnsi" w:hAnsiTheme="majorHAnsi" w:cstheme="majorHAnsi"/>
          <w:szCs w:val="24"/>
          <w:lang w:val="es-MX"/>
        </w:rPr>
        <w:t>Asimismo, deberá presentarse la información correspondiente a los fideicomisos que el Gobierno del Estado tenga constituidos; dicho reporte contendrá: los recursos disponibles en cuentas bancarias, la fecha de constitución, el fiduciario</w:t>
      </w:r>
      <w:r w:rsidR="00882E84" w:rsidRPr="00D33F49">
        <w:rPr>
          <w:rFonts w:asciiTheme="majorHAnsi" w:hAnsiTheme="majorHAnsi" w:cstheme="majorHAnsi"/>
          <w:szCs w:val="24"/>
          <w:lang w:val="es-MX"/>
        </w:rPr>
        <w:t>;</w:t>
      </w:r>
      <w:r w:rsidRPr="00D33F49">
        <w:rPr>
          <w:rFonts w:asciiTheme="majorHAnsi" w:hAnsiTheme="majorHAnsi" w:cstheme="majorHAnsi"/>
          <w:szCs w:val="24"/>
          <w:lang w:val="es-MX"/>
        </w:rPr>
        <w:t xml:space="preserve"> así como, el objeto del mismo.</w:t>
      </w:r>
    </w:p>
    <w:p w14:paraId="2910EB8B" w14:textId="77777777" w:rsidR="0088463F" w:rsidRPr="00D33F49" w:rsidRDefault="0088463F" w:rsidP="0088463F">
      <w:pPr>
        <w:spacing w:line="360" w:lineRule="auto"/>
        <w:ind w:right="-232"/>
        <w:rPr>
          <w:rFonts w:asciiTheme="majorHAnsi" w:hAnsiTheme="majorHAnsi" w:cstheme="majorHAnsi"/>
          <w:szCs w:val="24"/>
        </w:rPr>
      </w:pPr>
    </w:p>
    <w:p w14:paraId="16B25EA1" w14:textId="49C7BA45" w:rsidR="00F956FC" w:rsidRPr="00D33F49" w:rsidRDefault="00F956FC" w:rsidP="00F956FC">
      <w:pPr>
        <w:spacing w:line="360" w:lineRule="auto"/>
        <w:ind w:right="-232"/>
        <w:rPr>
          <w:rFonts w:asciiTheme="majorHAnsi" w:hAnsiTheme="majorHAnsi" w:cstheme="majorHAnsi"/>
          <w:szCs w:val="24"/>
          <w:lang w:val="es-MX"/>
        </w:rPr>
      </w:pPr>
      <w:r w:rsidRPr="00D33F49">
        <w:rPr>
          <w:rFonts w:asciiTheme="majorHAnsi" w:hAnsiTheme="majorHAnsi" w:cstheme="majorHAnsi"/>
          <w:b/>
          <w:szCs w:val="24"/>
          <w:lang w:val="es-MX"/>
        </w:rPr>
        <w:t xml:space="preserve">Artículo 3.- </w:t>
      </w:r>
      <w:r w:rsidRPr="00D33F49">
        <w:rPr>
          <w:rFonts w:asciiTheme="majorHAnsi" w:hAnsiTheme="majorHAnsi" w:cstheme="majorHAnsi"/>
          <w:szCs w:val="24"/>
          <w:lang w:val="es-MX"/>
        </w:rPr>
        <w:t>Los productos financieros que se generen por el manejo de los fondos a los que se refieren el concepto 82 del artículo 1° de la presente Ley, serán adicionados a los mismos, para que se incrementen por las cantidades que resulten. Tratándose de los productos que se generen por los ingresos obtenidos a través del concepto 83, éstos se ajustarán a lo pactado en cada uno de ellos.</w:t>
      </w:r>
    </w:p>
    <w:p w14:paraId="0E41CA2D" w14:textId="77777777" w:rsidR="00F956FC" w:rsidRPr="00D33F49" w:rsidRDefault="00F956FC" w:rsidP="00F956FC">
      <w:pPr>
        <w:spacing w:line="360" w:lineRule="auto"/>
        <w:ind w:right="-232"/>
        <w:rPr>
          <w:rFonts w:asciiTheme="majorHAnsi" w:hAnsiTheme="majorHAnsi" w:cstheme="majorHAnsi"/>
          <w:szCs w:val="24"/>
          <w:lang w:val="es-MX"/>
        </w:rPr>
      </w:pPr>
    </w:p>
    <w:p w14:paraId="53E506C7" w14:textId="77777777" w:rsidR="00F956FC" w:rsidRPr="00D33F49" w:rsidRDefault="00F956FC" w:rsidP="00F956FC">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 xml:space="preserve">Los productos financieros y las economías derivadas de la administración de los recursos a que se refiere el párrafo anterior; así como, los que se generen de los recursos señalados en el artículo 4 de esta Ley, deberán ser concentrados al día hábil siguiente que se generen, en las cuentas de cheques que para tal fin se aperturen a nombre de la Secretaría de Planeación y Finanzas, para ser ejercidos y liberados a los programas y proyectos que previamente sean autorizados por los entes públicos competentes. </w:t>
      </w:r>
    </w:p>
    <w:p w14:paraId="1441D44A" w14:textId="77777777" w:rsidR="00F956FC" w:rsidRPr="00D33F49" w:rsidRDefault="00F956FC" w:rsidP="00F956FC">
      <w:pPr>
        <w:spacing w:line="360" w:lineRule="auto"/>
        <w:ind w:right="-232"/>
        <w:rPr>
          <w:rFonts w:asciiTheme="majorHAnsi" w:hAnsiTheme="majorHAnsi" w:cstheme="majorHAnsi"/>
          <w:szCs w:val="24"/>
          <w:lang w:val="es-MX"/>
        </w:rPr>
      </w:pPr>
    </w:p>
    <w:p w14:paraId="3C79E61D" w14:textId="77777777" w:rsidR="00F956FC" w:rsidRPr="00D33F49" w:rsidRDefault="00F956FC" w:rsidP="00F956FC">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 xml:space="preserve">Para dar cumplimiento con lo establecido en el párrafo anterior, los entes públicos deberán solicitar de manera oficial a la Secretaría de Planeación y Finanzas, los productos financieros o economías generadas. </w:t>
      </w:r>
    </w:p>
    <w:p w14:paraId="2B7DA819" w14:textId="77777777" w:rsidR="00F956FC" w:rsidRPr="00D33F49" w:rsidRDefault="00F956FC" w:rsidP="00F956FC">
      <w:pPr>
        <w:spacing w:line="360" w:lineRule="auto"/>
        <w:ind w:right="-232"/>
        <w:rPr>
          <w:rFonts w:asciiTheme="majorHAnsi" w:hAnsiTheme="majorHAnsi" w:cstheme="majorHAnsi"/>
          <w:szCs w:val="24"/>
          <w:lang w:val="es-MX"/>
        </w:rPr>
      </w:pPr>
    </w:p>
    <w:p w14:paraId="0EA69E74" w14:textId="77777777" w:rsidR="00F956FC" w:rsidRPr="00D33F49" w:rsidRDefault="00F956FC" w:rsidP="00F956FC">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 xml:space="preserve">Para el ejercicio de los recursos provenientes de productos financieros y de economías, los entes públicos solicitarán a la Secretaría de Planeación y Finanzas, la elaboración de los proyectos correspondientes de acuerdo a la Ley de Presupuesto y Responsabilidad Hacendaria del Estado de Tabasco y sus Municipios, su Reglamento y demás normatividad aplicable; en el caso de las economías y de los productos financieros generados en sus propias cuentas, deberán ser concentrados en la Secretaría de Planeación y Finanzas, informándole de ello oportunamente; adicionados a los productos financieros generados en la Secretaría de Planeación y Finanzas. </w:t>
      </w:r>
    </w:p>
    <w:p w14:paraId="291973AD" w14:textId="77777777" w:rsidR="00F956FC" w:rsidRPr="00D33F49" w:rsidRDefault="00F956FC" w:rsidP="00F956FC">
      <w:pPr>
        <w:spacing w:line="360" w:lineRule="auto"/>
        <w:ind w:right="-232"/>
        <w:rPr>
          <w:rFonts w:asciiTheme="majorHAnsi" w:hAnsiTheme="majorHAnsi" w:cstheme="majorHAnsi"/>
          <w:szCs w:val="24"/>
          <w:lang w:val="es-MX"/>
        </w:rPr>
      </w:pPr>
    </w:p>
    <w:p w14:paraId="03028254" w14:textId="12D46985" w:rsidR="000545CF" w:rsidRPr="00D33F49" w:rsidRDefault="00F956FC" w:rsidP="00F956FC">
      <w:pPr>
        <w:spacing w:line="360" w:lineRule="auto"/>
        <w:ind w:right="-232"/>
        <w:rPr>
          <w:rFonts w:asciiTheme="majorHAnsi" w:hAnsiTheme="majorHAnsi" w:cstheme="majorHAnsi"/>
          <w:b/>
          <w:szCs w:val="24"/>
          <w:lang w:val="es-MX"/>
        </w:rPr>
      </w:pPr>
      <w:r w:rsidRPr="00D33F49">
        <w:rPr>
          <w:rFonts w:asciiTheme="majorHAnsi" w:hAnsiTheme="majorHAnsi" w:cstheme="majorHAnsi"/>
          <w:szCs w:val="24"/>
          <w:lang w:val="es-MX"/>
        </w:rPr>
        <w:t>Para los efectos de esta Ley, se entenderá como entes públicos los definidos en el artículo 2, fracción XVII Bis de la Ley de Presupuesto Responsabilidad Hacendaria del Estado de Tabasco y sus Municipios</w:t>
      </w:r>
      <w:r w:rsidRPr="00D33F49">
        <w:rPr>
          <w:rFonts w:asciiTheme="majorHAnsi" w:hAnsiTheme="majorHAnsi" w:cstheme="majorHAnsi"/>
          <w:b/>
          <w:szCs w:val="24"/>
          <w:lang w:val="es-MX"/>
        </w:rPr>
        <w:t>.</w:t>
      </w:r>
    </w:p>
    <w:p w14:paraId="5D9AD6F0" w14:textId="77777777" w:rsidR="005B039E" w:rsidRPr="00D33F49" w:rsidRDefault="005B039E" w:rsidP="00F956FC">
      <w:pPr>
        <w:spacing w:line="360" w:lineRule="auto"/>
        <w:ind w:right="-232"/>
        <w:rPr>
          <w:rFonts w:asciiTheme="majorHAnsi" w:hAnsiTheme="majorHAnsi" w:cstheme="majorHAnsi"/>
          <w:szCs w:val="24"/>
          <w:lang w:val="es-MX"/>
        </w:rPr>
      </w:pPr>
    </w:p>
    <w:p w14:paraId="4660F141" w14:textId="598C7367" w:rsidR="00F956FC" w:rsidRPr="00D33F49" w:rsidRDefault="000545CF" w:rsidP="00F956FC">
      <w:pPr>
        <w:spacing w:line="360" w:lineRule="auto"/>
        <w:ind w:right="-232"/>
        <w:rPr>
          <w:rFonts w:asciiTheme="majorHAnsi" w:hAnsiTheme="majorHAnsi" w:cstheme="majorHAnsi"/>
          <w:szCs w:val="24"/>
          <w:lang w:val="es-MX"/>
        </w:rPr>
      </w:pPr>
      <w:r w:rsidRPr="00D33F49">
        <w:rPr>
          <w:rFonts w:asciiTheme="majorHAnsi" w:hAnsiTheme="majorHAnsi" w:cstheme="majorHAnsi"/>
          <w:b/>
          <w:szCs w:val="24"/>
          <w:lang w:val="es-MX"/>
        </w:rPr>
        <w:t>Artículo 4.</w:t>
      </w:r>
      <w:r w:rsidRPr="00D33F49">
        <w:rPr>
          <w:rFonts w:asciiTheme="majorHAnsi" w:hAnsiTheme="majorHAnsi" w:cstheme="majorHAnsi"/>
          <w:szCs w:val="24"/>
          <w:lang w:val="es-MX"/>
        </w:rPr>
        <w:t xml:space="preserve"> </w:t>
      </w:r>
      <w:r w:rsidR="00F956FC" w:rsidRPr="00D33F49">
        <w:rPr>
          <w:rFonts w:asciiTheme="majorHAnsi" w:hAnsiTheme="majorHAnsi" w:cstheme="majorHAnsi"/>
          <w:szCs w:val="24"/>
          <w:lang w:val="es-MX"/>
        </w:rPr>
        <w:t>Los recursos federales que se transfieran al Estado por cualquier concepto deberán ser recepcionados por la Secretaría de Planeación y Finanzas, salvo disposición en contrario.</w:t>
      </w:r>
    </w:p>
    <w:p w14:paraId="10141518" w14:textId="77777777" w:rsidR="00F956FC" w:rsidRPr="00D33F49" w:rsidRDefault="00F956FC" w:rsidP="00F956FC">
      <w:pPr>
        <w:spacing w:line="360" w:lineRule="auto"/>
        <w:ind w:right="-232"/>
        <w:rPr>
          <w:rFonts w:asciiTheme="majorHAnsi" w:hAnsiTheme="majorHAnsi" w:cstheme="majorHAnsi"/>
          <w:szCs w:val="24"/>
          <w:lang w:val="es-MX"/>
        </w:rPr>
      </w:pPr>
    </w:p>
    <w:p w14:paraId="6D7A0252" w14:textId="77777777" w:rsidR="00F956FC" w:rsidRPr="00D33F49" w:rsidRDefault="00F956FC" w:rsidP="00F956FC">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lastRenderedPageBreak/>
        <w:t>Los entes públicos que deban aplicar o ejercer cualquier recurso federal, deberán solicitar en términos del artículo 82 del Reglamento de la Ley de Presupuesto y Responsabilidad Hacendaria del Estado de Tabasco y sus Municipios, la apertura de cuentas bancarias para la administración e identificación de los recursos transferidos por la Federación.</w:t>
      </w:r>
    </w:p>
    <w:p w14:paraId="7CB8045D" w14:textId="77777777" w:rsidR="00F956FC" w:rsidRPr="00D33F49" w:rsidRDefault="00F956FC" w:rsidP="00F956FC">
      <w:pPr>
        <w:spacing w:line="360" w:lineRule="auto"/>
        <w:ind w:right="-232"/>
        <w:rPr>
          <w:rFonts w:asciiTheme="majorHAnsi" w:hAnsiTheme="majorHAnsi" w:cstheme="majorHAnsi"/>
          <w:szCs w:val="24"/>
          <w:lang w:val="es-MX"/>
        </w:rPr>
      </w:pPr>
    </w:p>
    <w:p w14:paraId="3A8C584D" w14:textId="77777777" w:rsidR="00F956FC" w:rsidRPr="00D33F49" w:rsidRDefault="00F956FC" w:rsidP="00F956FC">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La Secretaría de Planeación y Finanzas transferirá, previo al cumplimiento de las disposiciones normativas, los recursos federales a las cuentas de los entes públicos para su ejercicio correspondiente. Para tal efecto los entes públicos se apegarán al procedimiento establecido en las disposiciones administrativas para la transferencia de recursos federales, emitidos por dicha dependencia, en las que se establece lo relativo a la apertura de las cuentas bancarias, los asientos contables de dichos recursos, así como el proceso para la comprobación de la recepción, ejercicio y comprobación de los mismos por parte de los entes públicos.</w:t>
      </w:r>
    </w:p>
    <w:p w14:paraId="352446D5" w14:textId="77777777" w:rsidR="00F956FC" w:rsidRPr="00D33F49" w:rsidRDefault="00F956FC" w:rsidP="00F956FC">
      <w:pPr>
        <w:spacing w:line="360" w:lineRule="auto"/>
        <w:ind w:right="-232"/>
        <w:rPr>
          <w:rFonts w:asciiTheme="majorHAnsi" w:hAnsiTheme="majorHAnsi" w:cstheme="majorHAnsi"/>
          <w:szCs w:val="24"/>
          <w:lang w:val="es-MX"/>
        </w:rPr>
      </w:pPr>
    </w:p>
    <w:p w14:paraId="5D0AD761" w14:textId="232B6BBA" w:rsidR="000545CF" w:rsidRPr="00D33F49" w:rsidRDefault="00F956FC" w:rsidP="00F956FC">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 xml:space="preserve">Asimismo, los entes públicos que reciban directamente recursos federales, deberán informar y transferir </w:t>
      </w:r>
      <w:r w:rsidR="0014075D" w:rsidRPr="00D33F49">
        <w:rPr>
          <w:rFonts w:asciiTheme="majorHAnsi" w:hAnsiTheme="majorHAnsi" w:cstheme="majorHAnsi"/>
          <w:szCs w:val="24"/>
          <w:lang w:val="es-MX"/>
        </w:rPr>
        <w:t xml:space="preserve">los mismos </w:t>
      </w:r>
      <w:r w:rsidRPr="00D33F49">
        <w:rPr>
          <w:rFonts w:asciiTheme="majorHAnsi" w:hAnsiTheme="majorHAnsi" w:cstheme="majorHAnsi"/>
          <w:szCs w:val="24"/>
          <w:lang w:val="es-MX"/>
        </w:rPr>
        <w:t>en un término no mayor de 5 días hábiles, contados a partir de la recepción del recurso, a la Secretaria de Planeación y Finanzas, de acuerdo a los procedimientos que para tal efecto se establezcan.</w:t>
      </w:r>
    </w:p>
    <w:p w14:paraId="7765C2DB" w14:textId="77777777" w:rsidR="00F956FC" w:rsidRPr="00D33F49" w:rsidRDefault="00F956FC" w:rsidP="00F956FC">
      <w:pPr>
        <w:spacing w:line="360" w:lineRule="auto"/>
        <w:ind w:right="-232"/>
        <w:rPr>
          <w:rFonts w:asciiTheme="majorHAnsi" w:hAnsiTheme="majorHAnsi" w:cstheme="majorHAnsi"/>
          <w:szCs w:val="24"/>
          <w:lang w:val="es-MX"/>
        </w:rPr>
      </w:pPr>
    </w:p>
    <w:p w14:paraId="5E2CC345" w14:textId="5C79C763" w:rsidR="00F956FC" w:rsidRPr="00D33F49" w:rsidRDefault="000545CF" w:rsidP="00F956FC">
      <w:pPr>
        <w:spacing w:line="360" w:lineRule="auto"/>
        <w:ind w:right="-232"/>
        <w:rPr>
          <w:rFonts w:asciiTheme="majorHAnsi" w:hAnsiTheme="majorHAnsi" w:cstheme="majorHAnsi"/>
          <w:szCs w:val="24"/>
          <w:lang w:val="es-MX"/>
        </w:rPr>
      </w:pPr>
      <w:r w:rsidRPr="00D33F49">
        <w:rPr>
          <w:rFonts w:asciiTheme="majorHAnsi" w:hAnsiTheme="majorHAnsi" w:cstheme="majorHAnsi"/>
          <w:b/>
          <w:szCs w:val="24"/>
          <w:lang w:val="es-MX"/>
        </w:rPr>
        <w:t>Artículo 5.</w:t>
      </w:r>
      <w:r w:rsidR="00F956FC" w:rsidRPr="00D33F49">
        <w:rPr>
          <w:rFonts w:asciiTheme="majorHAnsi" w:hAnsiTheme="majorHAnsi" w:cstheme="majorHAnsi"/>
          <w:szCs w:val="24"/>
          <w:lang w:val="es-MX"/>
        </w:rPr>
        <w:t xml:space="preserve"> Cuando no se cubran oportunamente las contribuciones en la fecha o dentro del plazo fijado por las disposiciones fiscales para el ejercicio 2019, deberán pagarse actualizaciones desde el mes que debió hacerse el entero y hasta que el mismo se efectúe.</w:t>
      </w:r>
    </w:p>
    <w:p w14:paraId="764C21FA" w14:textId="77777777" w:rsidR="00F956FC" w:rsidRPr="00D33F49" w:rsidRDefault="00F956FC" w:rsidP="00F956FC">
      <w:pPr>
        <w:spacing w:line="360" w:lineRule="auto"/>
        <w:ind w:right="-232"/>
        <w:rPr>
          <w:rFonts w:asciiTheme="majorHAnsi" w:hAnsiTheme="majorHAnsi" w:cstheme="majorHAnsi"/>
          <w:szCs w:val="24"/>
          <w:lang w:val="es-MX"/>
        </w:rPr>
      </w:pPr>
    </w:p>
    <w:p w14:paraId="61C073F2" w14:textId="77777777" w:rsidR="00F956FC" w:rsidRPr="00D33F49" w:rsidRDefault="00F956FC" w:rsidP="00F956FC">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Además, deberán cubrirse recargos por concepto de indemnización al fisco estatal por falta de pago oportuno. Dichos recargos, se calcularán a una tasa del 1 por ciento por cada mes o fracción de mes que transcurra, desde la fecha en que debió cumplirse la obligación y hasta que se efectúe el pago.</w:t>
      </w:r>
    </w:p>
    <w:p w14:paraId="2F2CFC22" w14:textId="77777777" w:rsidR="00F956FC" w:rsidRPr="00D33F49" w:rsidRDefault="00F956FC" w:rsidP="00F956FC">
      <w:pPr>
        <w:spacing w:line="360" w:lineRule="auto"/>
        <w:ind w:right="-232"/>
        <w:rPr>
          <w:rFonts w:asciiTheme="majorHAnsi" w:hAnsiTheme="majorHAnsi" w:cstheme="majorHAnsi"/>
          <w:szCs w:val="24"/>
          <w:lang w:val="es-MX"/>
        </w:rPr>
      </w:pPr>
    </w:p>
    <w:p w14:paraId="386D0E0E" w14:textId="5BC6B34B" w:rsidR="000545CF" w:rsidRDefault="00F956FC" w:rsidP="00F956FC">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lastRenderedPageBreak/>
        <w:t>Para obtener el factor que servirá de base para determinar la actualización a que se refiere el artículo 22 del Código Fiscal del Estado de Tabasco, se considera período, el que transcurra entre el mes en que debió hacerse el pago de la contribución hasta el mes en que se efectúe.</w:t>
      </w:r>
    </w:p>
    <w:p w14:paraId="611FC4E1" w14:textId="77777777" w:rsidR="000B4DAA" w:rsidRPr="00D33F49" w:rsidRDefault="000B4DAA" w:rsidP="00F956FC">
      <w:pPr>
        <w:spacing w:line="360" w:lineRule="auto"/>
        <w:ind w:right="-232"/>
        <w:rPr>
          <w:rFonts w:asciiTheme="majorHAnsi" w:hAnsiTheme="majorHAnsi" w:cstheme="majorHAnsi"/>
          <w:szCs w:val="24"/>
          <w:lang w:val="es-MX"/>
        </w:rPr>
      </w:pPr>
    </w:p>
    <w:p w14:paraId="3BB0357F" w14:textId="77777777" w:rsidR="00F956FC" w:rsidRPr="00D33F49" w:rsidRDefault="000545CF" w:rsidP="00F956FC">
      <w:pPr>
        <w:spacing w:line="360" w:lineRule="auto"/>
        <w:ind w:right="-232"/>
        <w:rPr>
          <w:rFonts w:asciiTheme="majorHAnsi" w:hAnsiTheme="majorHAnsi" w:cstheme="majorHAnsi"/>
          <w:szCs w:val="24"/>
          <w:lang w:val="es-MX"/>
        </w:rPr>
      </w:pPr>
      <w:r w:rsidRPr="00D33F49">
        <w:rPr>
          <w:rFonts w:asciiTheme="majorHAnsi" w:hAnsiTheme="majorHAnsi" w:cstheme="majorHAnsi"/>
          <w:b/>
          <w:szCs w:val="24"/>
          <w:lang w:val="es-MX"/>
        </w:rPr>
        <w:t xml:space="preserve">Artículo 6. </w:t>
      </w:r>
      <w:r w:rsidR="00F956FC" w:rsidRPr="00D33F49">
        <w:rPr>
          <w:rFonts w:asciiTheme="majorHAnsi" w:hAnsiTheme="majorHAnsi" w:cstheme="majorHAnsi"/>
          <w:szCs w:val="24"/>
          <w:lang w:val="es-MX"/>
        </w:rPr>
        <w:t>En caso de prórroga, para el pago de créditos fiscales se causarán recargos al 0.98 por ciento mensual sobre saldos insolutos.</w:t>
      </w:r>
    </w:p>
    <w:p w14:paraId="72010DD8" w14:textId="77777777" w:rsidR="00F956FC" w:rsidRPr="00D33F49" w:rsidRDefault="00F956FC" w:rsidP="00F956FC">
      <w:pPr>
        <w:spacing w:line="360" w:lineRule="auto"/>
        <w:ind w:right="-232"/>
        <w:rPr>
          <w:rFonts w:asciiTheme="majorHAnsi" w:hAnsiTheme="majorHAnsi" w:cstheme="majorHAnsi"/>
          <w:szCs w:val="24"/>
          <w:lang w:val="es-MX"/>
        </w:rPr>
      </w:pPr>
    </w:p>
    <w:p w14:paraId="2D7D06F7" w14:textId="77777777" w:rsidR="00F956FC" w:rsidRPr="00D33F49" w:rsidRDefault="00F956FC" w:rsidP="00F956FC">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Cuando de conformidad con el artículo 52 del Código Fiscal del Estado de Tabasco se autorice el pago a plazos, se aplicarán las tasas de recargos que a continuación se establecen, sobre los saldos y durante el período de que se trate:</w:t>
      </w:r>
    </w:p>
    <w:p w14:paraId="3080EFFF" w14:textId="77777777" w:rsidR="00F956FC" w:rsidRPr="00D33F49" w:rsidRDefault="00F956FC" w:rsidP="00F956FC">
      <w:pPr>
        <w:spacing w:line="360" w:lineRule="auto"/>
        <w:ind w:right="-232"/>
        <w:rPr>
          <w:rFonts w:asciiTheme="majorHAnsi" w:hAnsiTheme="majorHAnsi" w:cstheme="majorHAnsi"/>
          <w:szCs w:val="24"/>
          <w:lang w:val="es-MX"/>
        </w:rPr>
      </w:pPr>
    </w:p>
    <w:p w14:paraId="5D83E14D" w14:textId="77777777" w:rsidR="00F956FC" w:rsidRPr="00D33F49" w:rsidRDefault="00F956FC" w:rsidP="00F956FC">
      <w:pPr>
        <w:spacing w:line="360" w:lineRule="auto"/>
        <w:ind w:left="284" w:right="-232" w:hanging="284"/>
        <w:rPr>
          <w:rFonts w:asciiTheme="majorHAnsi" w:hAnsiTheme="majorHAnsi" w:cstheme="majorHAnsi"/>
          <w:szCs w:val="24"/>
          <w:lang w:val="es-MX"/>
        </w:rPr>
      </w:pPr>
      <w:r w:rsidRPr="00D33F49">
        <w:rPr>
          <w:rFonts w:asciiTheme="majorHAnsi" w:hAnsiTheme="majorHAnsi" w:cstheme="majorHAnsi"/>
          <w:szCs w:val="24"/>
          <w:lang w:val="es-MX"/>
        </w:rPr>
        <w:t>I. Tratándose de pagos a plazos en parcialidades de hasta 12 meses, la tasa de recargos será del 1.26 por ciento mensual;</w:t>
      </w:r>
    </w:p>
    <w:p w14:paraId="276734BF" w14:textId="77777777" w:rsidR="00F956FC" w:rsidRPr="00D33F49" w:rsidRDefault="00F956FC" w:rsidP="00F956FC">
      <w:pPr>
        <w:spacing w:line="360" w:lineRule="auto"/>
        <w:ind w:left="284" w:right="-232" w:hanging="284"/>
        <w:rPr>
          <w:rFonts w:asciiTheme="majorHAnsi" w:hAnsiTheme="majorHAnsi" w:cstheme="majorHAnsi"/>
          <w:szCs w:val="24"/>
          <w:lang w:val="es-MX"/>
        </w:rPr>
      </w:pPr>
    </w:p>
    <w:p w14:paraId="3D5F3AD6" w14:textId="77777777" w:rsidR="00F956FC" w:rsidRPr="00D33F49" w:rsidRDefault="00F956FC" w:rsidP="00F956FC">
      <w:pPr>
        <w:spacing w:line="360" w:lineRule="auto"/>
        <w:ind w:left="284" w:right="-232" w:hanging="284"/>
        <w:rPr>
          <w:rFonts w:asciiTheme="majorHAnsi" w:hAnsiTheme="majorHAnsi" w:cstheme="majorHAnsi"/>
          <w:szCs w:val="24"/>
          <w:lang w:val="es-MX"/>
        </w:rPr>
      </w:pPr>
      <w:r w:rsidRPr="00D33F49">
        <w:rPr>
          <w:rFonts w:asciiTheme="majorHAnsi" w:hAnsiTheme="majorHAnsi" w:cstheme="majorHAnsi"/>
          <w:szCs w:val="24"/>
          <w:lang w:val="es-MX"/>
        </w:rPr>
        <w:t>II. Tratándose de pagos a plazos en parcialidades de más de 12 meses y hasta de 24 meses, la tasa de recargos será de 1.53 por ciento mensual; y</w:t>
      </w:r>
    </w:p>
    <w:p w14:paraId="0960E71B" w14:textId="77777777" w:rsidR="00F956FC" w:rsidRPr="00D33F49" w:rsidRDefault="00F956FC" w:rsidP="00F956FC">
      <w:pPr>
        <w:spacing w:line="360" w:lineRule="auto"/>
        <w:ind w:left="284" w:right="-232" w:hanging="284"/>
        <w:rPr>
          <w:rFonts w:asciiTheme="majorHAnsi" w:hAnsiTheme="majorHAnsi" w:cstheme="majorHAnsi"/>
          <w:szCs w:val="24"/>
          <w:lang w:val="es-MX"/>
        </w:rPr>
      </w:pPr>
    </w:p>
    <w:p w14:paraId="658EB599" w14:textId="77777777" w:rsidR="00F956FC" w:rsidRPr="00D33F49" w:rsidRDefault="00F956FC" w:rsidP="00F956FC">
      <w:pPr>
        <w:spacing w:line="360" w:lineRule="auto"/>
        <w:ind w:left="284" w:right="-232" w:hanging="284"/>
        <w:rPr>
          <w:rFonts w:asciiTheme="majorHAnsi" w:hAnsiTheme="majorHAnsi" w:cstheme="majorHAnsi"/>
          <w:szCs w:val="24"/>
          <w:lang w:val="es-MX"/>
        </w:rPr>
      </w:pPr>
      <w:r w:rsidRPr="00D33F49">
        <w:rPr>
          <w:rFonts w:asciiTheme="majorHAnsi" w:hAnsiTheme="majorHAnsi" w:cstheme="majorHAnsi"/>
          <w:szCs w:val="24"/>
          <w:lang w:val="es-MX"/>
        </w:rPr>
        <w:t>III. Tratándose de pagos a plazos en parcialidades superiores a 24 meses; así como, de pagos a plazo diferido, la tasa de recargos será de 1.82 por ciento mensual.</w:t>
      </w:r>
    </w:p>
    <w:p w14:paraId="2ED990AA" w14:textId="77777777" w:rsidR="00F956FC" w:rsidRPr="00D33F49" w:rsidRDefault="00F956FC" w:rsidP="00F956FC">
      <w:pPr>
        <w:spacing w:line="360" w:lineRule="auto"/>
        <w:ind w:right="-232"/>
        <w:rPr>
          <w:rFonts w:asciiTheme="majorHAnsi" w:hAnsiTheme="majorHAnsi" w:cstheme="majorHAnsi"/>
          <w:szCs w:val="24"/>
          <w:lang w:val="es-MX"/>
        </w:rPr>
      </w:pPr>
    </w:p>
    <w:p w14:paraId="6B8F9AAE" w14:textId="77777777" w:rsidR="00F956FC" w:rsidRPr="00D33F49" w:rsidRDefault="00F956FC" w:rsidP="00F956FC">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Las tasas de recargos establecidas en las fracciones de este artículo incluyen la actualización realizada conforme a lo establecido por el Código Fiscal del Estado.</w:t>
      </w:r>
    </w:p>
    <w:p w14:paraId="7F2DE5A4" w14:textId="77777777" w:rsidR="00F956FC" w:rsidRPr="00D33F49" w:rsidRDefault="00F956FC" w:rsidP="00F956FC">
      <w:pPr>
        <w:spacing w:line="360" w:lineRule="auto"/>
        <w:ind w:right="-232"/>
        <w:rPr>
          <w:rFonts w:asciiTheme="majorHAnsi" w:hAnsiTheme="majorHAnsi" w:cstheme="majorHAnsi"/>
          <w:szCs w:val="24"/>
          <w:lang w:val="es-MX"/>
        </w:rPr>
      </w:pPr>
    </w:p>
    <w:p w14:paraId="784195D2" w14:textId="44CC145A" w:rsidR="000545CF" w:rsidRPr="00D33F49" w:rsidRDefault="00F956FC" w:rsidP="00F956FC">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Cabe señalar</w:t>
      </w:r>
      <w:r w:rsidR="00E34946" w:rsidRPr="00D33F49">
        <w:rPr>
          <w:rFonts w:asciiTheme="majorHAnsi" w:hAnsiTheme="majorHAnsi" w:cstheme="majorHAnsi"/>
          <w:szCs w:val="24"/>
          <w:lang w:val="es-MX"/>
        </w:rPr>
        <w:t>,</w:t>
      </w:r>
      <w:r w:rsidRPr="00D33F49">
        <w:rPr>
          <w:rFonts w:asciiTheme="majorHAnsi" w:hAnsiTheme="majorHAnsi" w:cstheme="majorHAnsi"/>
          <w:szCs w:val="24"/>
          <w:lang w:val="es-MX"/>
        </w:rPr>
        <w:t xml:space="preserve"> que </w:t>
      </w:r>
      <w:r w:rsidR="00906DCB" w:rsidRPr="00D33F49">
        <w:rPr>
          <w:rFonts w:asciiTheme="majorHAnsi" w:hAnsiTheme="majorHAnsi" w:cstheme="majorHAnsi"/>
          <w:szCs w:val="24"/>
          <w:lang w:val="es-MX"/>
        </w:rPr>
        <w:t xml:space="preserve">el </w:t>
      </w:r>
      <w:r w:rsidRPr="00D33F49">
        <w:rPr>
          <w:rFonts w:asciiTheme="majorHAnsi" w:hAnsiTheme="majorHAnsi" w:cstheme="majorHAnsi"/>
          <w:szCs w:val="24"/>
          <w:lang w:val="es-MX"/>
        </w:rPr>
        <w:t xml:space="preserve">en caso de que la Ley de Ingresos de la Federación para el ejercicio 2019, </w:t>
      </w:r>
      <w:r w:rsidR="00906DCB" w:rsidRPr="00D33F49">
        <w:rPr>
          <w:rFonts w:asciiTheme="majorHAnsi" w:hAnsiTheme="majorHAnsi" w:cstheme="majorHAnsi"/>
          <w:szCs w:val="24"/>
          <w:lang w:val="es-MX"/>
        </w:rPr>
        <w:t xml:space="preserve">publique nuevas </w:t>
      </w:r>
      <w:r w:rsidRPr="00D33F49">
        <w:rPr>
          <w:rFonts w:asciiTheme="majorHAnsi" w:hAnsiTheme="majorHAnsi" w:cstheme="majorHAnsi"/>
          <w:szCs w:val="24"/>
          <w:lang w:val="es-MX"/>
        </w:rPr>
        <w:t xml:space="preserve">tasas, se </w:t>
      </w:r>
      <w:r w:rsidR="005D78C4" w:rsidRPr="00D33F49">
        <w:rPr>
          <w:rFonts w:asciiTheme="majorHAnsi" w:hAnsiTheme="majorHAnsi" w:cstheme="majorHAnsi"/>
          <w:szCs w:val="24"/>
          <w:lang w:val="es-MX"/>
        </w:rPr>
        <w:t>a</w:t>
      </w:r>
      <w:r w:rsidR="00906DCB" w:rsidRPr="00D33F49">
        <w:rPr>
          <w:rFonts w:asciiTheme="majorHAnsi" w:hAnsiTheme="majorHAnsi" w:cstheme="majorHAnsi"/>
          <w:szCs w:val="24"/>
          <w:lang w:val="es-MX"/>
        </w:rPr>
        <w:t xml:space="preserve">ctualizarán </w:t>
      </w:r>
      <w:r w:rsidR="005D78C4" w:rsidRPr="00D33F49">
        <w:rPr>
          <w:rFonts w:asciiTheme="majorHAnsi" w:hAnsiTheme="majorHAnsi" w:cstheme="majorHAnsi"/>
          <w:szCs w:val="24"/>
          <w:lang w:val="es-MX"/>
        </w:rPr>
        <w:t xml:space="preserve">de igual manera, </w:t>
      </w:r>
      <w:r w:rsidRPr="00D33F49">
        <w:rPr>
          <w:rFonts w:asciiTheme="majorHAnsi" w:hAnsiTheme="majorHAnsi" w:cstheme="majorHAnsi"/>
          <w:szCs w:val="24"/>
          <w:lang w:val="es-MX"/>
        </w:rPr>
        <w:t>para el pago de créditos fiscales, a los que se refiere el presente artículo.</w:t>
      </w:r>
    </w:p>
    <w:p w14:paraId="78B0FC54" w14:textId="77777777" w:rsidR="00F956FC" w:rsidRPr="00D33F49" w:rsidRDefault="00F956FC" w:rsidP="00F956FC">
      <w:pPr>
        <w:spacing w:line="360" w:lineRule="auto"/>
        <w:ind w:right="-232"/>
        <w:rPr>
          <w:rFonts w:asciiTheme="majorHAnsi" w:hAnsiTheme="majorHAnsi" w:cstheme="majorHAnsi"/>
          <w:szCs w:val="24"/>
          <w:lang w:val="es-MX"/>
        </w:rPr>
      </w:pPr>
    </w:p>
    <w:p w14:paraId="13549985" w14:textId="467B4896" w:rsidR="000545CF" w:rsidRPr="00D33F49" w:rsidRDefault="000545CF" w:rsidP="000545CF">
      <w:pPr>
        <w:spacing w:line="360" w:lineRule="auto"/>
        <w:ind w:right="-232"/>
        <w:rPr>
          <w:rFonts w:asciiTheme="majorHAnsi" w:hAnsiTheme="majorHAnsi" w:cstheme="majorHAnsi"/>
          <w:szCs w:val="24"/>
          <w:lang w:val="es-MX"/>
        </w:rPr>
      </w:pPr>
      <w:r w:rsidRPr="00D33F49">
        <w:rPr>
          <w:rFonts w:asciiTheme="majorHAnsi" w:hAnsiTheme="majorHAnsi" w:cstheme="majorHAnsi"/>
          <w:b/>
          <w:szCs w:val="24"/>
          <w:lang w:val="es-MX"/>
        </w:rPr>
        <w:lastRenderedPageBreak/>
        <w:t>Artículo 7.</w:t>
      </w:r>
      <w:r w:rsidRPr="00D33F49">
        <w:rPr>
          <w:rFonts w:asciiTheme="majorHAnsi" w:hAnsiTheme="majorHAnsi" w:cstheme="majorHAnsi"/>
          <w:szCs w:val="24"/>
          <w:lang w:val="es-MX"/>
        </w:rPr>
        <w:t xml:space="preserve"> </w:t>
      </w:r>
      <w:r w:rsidR="00E42DF7" w:rsidRPr="00D33F49">
        <w:rPr>
          <w:rFonts w:asciiTheme="majorHAnsi" w:hAnsiTheme="majorHAnsi" w:cstheme="majorHAnsi"/>
          <w:szCs w:val="24"/>
          <w:lang w:val="es-MX"/>
        </w:rPr>
        <w:t>Además de la actualización y tasa de recargos a que se refieren los artículos 5 y 6 de la presente Ley, el incumplimiento a las obligaciones fiscales, las infracciones señaladas en las leyes fiscales y los delitos que se cometieran en perjuicio del fisco estatal, serán sancionadas de acuerdo con el Código Fiscal del Estado de Tabasco y demás normatividad aplicable.</w:t>
      </w:r>
    </w:p>
    <w:p w14:paraId="029C89D3" w14:textId="77777777" w:rsidR="00E42DF7" w:rsidRPr="00D33F49" w:rsidRDefault="00E42DF7" w:rsidP="000545CF">
      <w:pPr>
        <w:spacing w:line="360" w:lineRule="auto"/>
        <w:ind w:right="-232"/>
        <w:rPr>
          <w:rFonts w:asciiTheme="majorHAnsi" w:hAnsiTheme="majorHAnsi" w:cstheme="majorHAnsi"/>
          <w:szCs w:val="24"/>
          <w:lang w:val="es-MX"/>
        </w:rPr>
      </w:pPr>
    </w:p>
    <w:p w14:paraId="2E5B82B2" w14:textId="77777777" w:rsidR="00E42DF7" w:rsidRPr="00D33F49" w:rsidRDefault="00DC6693" w:rsidP="00E42DF7">
      <w:pPr>
        <w:spacing w:line="360" w:lineRule="auto"/>
        <w:ind w:right="-232"/>
        <w:rPr>
          <w:rFonts w:asciiTheme="majorHAnsi" w:hAnsiTheme="majorHAnsi" w:cstheme="majorHAnsi"/>
          <w:szCs w:val="24"/>
          <w:lang w:val="es-MX"/>
        </w:rPr>
      </w:pPr>
      <w:r w:rsidRPr="00D33F49">
        <w:rPr>
          <w:rFonts w:asciiTheme="majorHAnsi" w:hAnsiTheme="majorHAnsi" w:cstheme="majorHAnsi"/>
          <w:b/>
          <w:szCs w:val="24"/>
          <w:lang w:val="es-MX"/>
        </w:rPr>
        <w:t xml:space="preserve">Artículo 8. </w:t>
      </w:r>
      <w:r w:rsidR="00E42DF7" w:rsidRPr="00D33F49">
        <w:rPr>
          <w:rFonts w:asciiTheme="majorHAnsi" w:hAnsiTheme="majorHAnsi" w:cstheme="majorHAnsi"/>
          <w:szCs w:val="24"/>
          <w:lang w:val="es-MX"/>
        </w:rPr>
        <w:t>Se faculta a la Secretaría de Planeación y Finanzas, para supervisar los Ingresos de la Hacienda Pública del Estado y para establecer los mecanismos que en materia de Ingresos deban observar las dependencias, órganos desconcentrados, organismos descentralizados y cualquier otro ente análogo de la Administración Pública Estatal.</w:t>
      </w:r>
    </w:p>
    <w:p w14:paraId="0E179D69" w14:textId="77777777" w:rsidR="00EC4EA1" w:rsidRPr="00D33F49" w:rsidRDefault="00EC4EA1" w:rsidP="00E42DF7">
      <w:pPr>
        <w:spacing w:line="360" w:lineRule="auto"/>
        <w:ind w:right="-232"/>
        <w:rPr>
          <w:rFonts w:asciiTheme="majorHAnsi" w:hAnsiTheme="majorHAnsi" w:cstheme="majorHAnsi"/>
          <w:szCs w:val="24"/>
          <w:lang w:val="es-MX"/>
        </w:rPr>
      </w:pPr>
    </w:p>
    <w:p w14:paraId="45E5CC8F" w14:textId="77777777" w:rsidR="00E42DF7" w:rsidRPr="00D33F49" w:rsidRDefault="00E42DF7" w:rsidP="00E42DF7">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En el caso de los fideicomisos públicos, informarán a la Secretaría de Planeación y Finanzas, sus ingresos por los servicios que prestan.</w:t>
      </w:r>
    </w:p>
    <w:p w14:paraId="1BE5534E" w14:textId="77777777" w:rsidR="00E42DF7" w:rsidRPr="00D33F49" w:rsidRDefault="00E42DF7" w:rsidP="00E42DF7">
      <w:pPr>
        <w:spacing w:line="360" w:lineRule="auto"/>
        <w:ind w:right="-232"/>
        <w:rPr>
          <w:rFonts w:asciiTheme="majorHAnsi" w:hAnsiTheme="majorHAnsi" w:cstheme="majorHAnsi"/>
          <w:szCs w:val="24"/>
          <w:lang w:val="es-MX"/>
        </w:rPr>
      </w:pPr>
    </w:p>
    <w:p w14:paraId="47B9AA82" w14:textId="77777777" w:rsidR="00E42DF7" w:rsidRPr="00D33F49" w:rsidRDefault="00E42DF7" w:rsidP="00E42DF7">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Las dependencias, órganos desconcentrados y organismos descentralizados, informarán durante el mes de enero de 2019, a la Secretaría de Planeación y Finanzas, los Productos y Aprovechamientos que cobrarán en el ejercicio fiscal de 2019, a través de los mecanismos que la propia Secretaría establezca, incluso por el goce, aprovechamiento o explotación de bienes sujetos al régimen de dominio privado o público del Estado o por la prestación de servicios en el ejercicio de las funciones de derecho público, por los que no se establecen derechos o que por cualquier causa legal no se paguen.</w:t>
      </w:r>
    </w:p>
    <w:p w14:paraId="38CF0888" w14:textId="77777777" w:rsidR="00E42DF7" w:rsidRPr="00D33F49" w:rsidRDefault="00E42DF7" w:rsidP="00E42DF7">
      <w:pPr>
        <w:spacing w:line="360" w:lineRule="auto"/>
        <w:ind w:right="-232"/>
        <w:rPr>
          <w:rFonts w:asciiTheme="majorHAnsi" w:hAnsiTheme="majorHAnsi" w:cstheme="majorHAnsi"/>
          <w:szCs w:val="24"/>
          <w:lang w:val="es-MX"/>
        </w:rPr>
      </w:pPr>
    </w:p>
    <w:p w14:paraId="4DC7F76F" w14:textId="48E95EB5" w:rsidR="00E42DF7" w:rsidRDefault="00E42DF7" w:rsidP="00E42DF7">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Las dependencias, órganos desconcentrados y organismos descentralizados, deberán</w:t>
      </w:r>
      <w:r w:rsidR="00FC754A" w:rsidRPr="00D33F49">
        <w:rPr>
          <w:rFonts w:asciiTheme="majorHAnsi" w:hAnsiTheme="majorHAnsi" w:cstheme="majorHAnsi"/>
          <w:szCs w:val="24"/>
          <w:lang w:val="es-MX"/>
        </w:rPr>
        <w:t xml:space="preserve"> informar y</w:t>
      </w:r>
      <w:r w:rsidRPr="00D33F49">
        <w:rPr>
          <w:rFonts w:asciiTheme="majorHAnsi" w:hAnsiTheme="majorHAnsi" w:cstheme="majorHAnsi"/>
          <w:szCs w:val="24"/>
          <w:lang w:val="es-MX"/>
        </w:rPr>
        <w:t xml:space="preserve"> transferir a la Secretaría de Planeación y Finanzas, a más tardar los primeros 5 días hábiles del mes siguiente al que se recauden, los ingresos resp</w:t>
      </w:r>
      <w:r w:rsidR="005D78C4" w:rsidRPr="00D33F49">
        <w:rPr>
          <w:rFonts w:asciiTheme="majorHAnsi" w:hAnsiTheme="majorHAnsi" w:cstheme="majorHAnsi"/>
          <w:szCs w:val="24"/>
          <w:lang w:val="es-MX"/>
        </w:rPr>
        <w:t xml:space="preserve">ecto a </w:t>
      </w:r>
      <w:r w:rsidR="004A1E49" w:rsidRPr="00D33F49">
        <w:rPr>
          <w:rFonts w:asciiTheme="majorHAnsi" w:hAnsiTheme="majorHAnsi" w:cstheme="majorHAnsi"/>
          <w:szCs w:val="24"/>
          <w:lang w:val="es-MX"/>
        </w:rPr>
        <w:t xml:space="preserve">los </w:t>
      </w:r>
      <w:r w:rsidRPr="00D33F49">
        <w:rPr>
          <w:rFonts w:asciiTheme="majorHAnsi" w:hAnsiTheme="majorHAnsi" w:cstheme="majorHAnsi"/>
          <w:szCs w:val="24"/>
          <w:lang w:val="es-MX"/>
        </w:rPr>
        <w:t>aprovechamientos obtenidos</w:t>
      </w:r>
      <w:r w:rsidR="004A1E49" w:rsidRPr="00D33F49">
        <w:rPr>
          <w:rFonts w:asciiTheme="majorHAnsi" w:hAnsiTheme="majorHAnsi" w:cstheme="majorHAnsi"/>
          <w:szCs w:val="24"/>
          <w:lang w:val="es-MX"/>
        </w:rPr>
        <w:t xml:space="preserve">; </w:t>
      </w:r>
      <w:r w:rsidR="00C01D72" w:rsidRPr="00D33F49">
        <w:rPr>
          <w:rFonts w:asciiTheme="majorHAnsi" w:hAnsiTheme="majorHAnsi" w:cstheme="majorHAnsi"/>
          <w:szCs w:val="24"/>
          <w:lang w:val="es-MX"/>
        </w:rPr>
        <w:t>para los</w:t>
      </w:r>
      <w:r w:rsidR="004A1E49" w:rsidRPr="00D33F49">
        <w:rPr>
          <w:rFonts w:asciiTheme="majorHAnsi" w:hAnsiTheme="majorHAnsi" w:cstheme="majorHAnsi"/>
          <w:szCs w:val="24"/>
          <w:lang w:val="es-MX"/>
        </w:rPr>
        <w:t xml:space="preserve"> ingresos por concepto de productos, estos serán transferidos a más tardar los días 10 de cada mes</w:t>
      </w:r>
      <w:r w:rsidRPr="00D33F49">
        <w:rPr>
          <w:rFonts w:asciiTheme="majorHAnsi" w:hAnsiTheme="majorHAnsi" w:cstheme="majorHAnsi"/>
          <w:szCs w:val="24"/>
          <w:lang w:val="es-MX"/>
        </w:rPr>
        <w:t>, a excepción de aquéllos que les sean transferidos por la Secretaría de Planeación y Finanzas para su ejercicio presupuestario.</w:t>
      </w:r>
    </w:p>
    <w:p w14:paraId="3BE310AF" w14:textId="77777777" w:rsidR="00D33F49" w:rsidRPr="00D33F49" w:rsidRDefault="00D33F49" w:rsidP="00E42DF7">
      <w:pPr>
        <w:spacing w:line="360" w:lineRule="auto"/>
        <w:ind w:right="-232"/>
        <w:rPr>
          <w:rFonts w:asciiTheme="majorHAnsi" w:hAnsiTheme="majorHAnsi" w:cstheme="majorHAnsi"/>
          <w:szCs w:val="24"/>
          <w:lang w:val="es-MX"/>
        </w:rPr>
      </w:pPr>
    </w:p>
    <w:p w14:paraId="10935AC2" w14:textId="7005C04C" w:rsidR="004A1E49" w:rsidRPr="00D33F49" w:rsidRDefault="00E42DF7" w:rsidP="00E42DF7">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lastRenderedPageBreak/>
        <w:t xml:space="preserve">En el caso de </w:t>
      </w:r>
      <w:r w:rsidR="004A1E49" w:rsidRPr="00D33F49">
        <w:rPr>
          <w:rFonts w:asciiTheme="majorHAnsi" w:hAnsiTheme="majorHAnsi" w:cstheme="majorHAnsi"/>
          <w:szCs w:val="24"/>
          <w:lang w:val="es-MX"/>
        </w:rPr>
        <w:t>dependencias, órganos desconcentrados y organismos descentralizados</w:t>
      </w:r>
      <w:r w:rsidR="00C01D72" w:rsidRPr="00D33F49">
        <w:rPr>
          <w:rFonts w:asciiTheme="majorHAnsi" w:hAnsiTheme="majorHAnsi" w:cstheme="majorHAnsi"/>
          <w:szCs w:val="24"/>
          <w:lang w:val="es-MX"/>
        </w:rPr>
        <w:t xml:space="preserve">, que no operen  mediante caja recaudadora y/o herramienta electrónica instalada por parte de esta Secretaría, </w:t>
      </w:r>
      <w:r w:rsidR="004A1E49" w:rsidRPr="00D33F49">
        <w:rPr>
          <w:rFonts w:asciiTheme="majorHAnsi" w:hAnsiTheme="majorHAnsi" w:cstheme="majorHAnsi"/>
          <w:szCs w:val="24"/>
          <w:lang w:val="es-MX"/>
        </w:rPr>
        <w:t xml:space="preserve">para el cobro de </w:t>
      </w:r>
      <w:r w:rsidRPr="00D33F49">
        <w:rPr>
          <w:rFonts w:asciiTheme="majorHAnsi" w:hAnsiTheme="majorHAnsi" w:cstheme="majorHAnsi"/>
          <w:szCs w:val="24"/>
          <w:lang w:val="es-MX"/>
        </w:rPr>
        <w:t xml:space="preserve">sus servicios, </w:t>
      </w:r>
      <w:r w:rsidR="004A1E49" w:rsidRPr="00D33F49">
        <w:rPr>
          <w:rFonts w:asciiTheme="majorHAnsi" w:hAnsiTheme="majorHAnsi" w:cstheme="majorHAnsi"/>
          <w:szCs w:val="24"/>
          <w:lang w:val="es-MX"/>
        </w:rPr>
        <w:t xml:space="preserve">deberán transferir sus ingresos por contribuciones </w:t>
      </w:r>
      <w:r w:rsidR="00C01D72" w:rsidRPr="00D33F49">
        <w:rPr>
          <w:rFonts w:asciiTheme="majorHAnsi" w:hAnsiTheme="majorHAnsi" w:cstheme="majorHAnsi"/>
          <w:szCs w:val="24"/>
          <w:lang w:val="es-MX"/>
        </w:rPr>
        <w:t>obtenidos</w:t>
      </w:r>
      <w:r w:rsidR="004A1E49" w:rsidRPr="00D33F49">
        <w:rPr>
          <w:rFonts w:asciiTheme="majorHAnsi" w:hAnsiTheme="majorHAnsi" w:cstheme="majorHAnsi"/>
          <w:szCs w:val="24"/>
          <w:lang w:val="es-MX"/>
        </w:rPr>
        <w:t xml:space="preserve">, </w:t>
      </w:r>
      <w:r w:rsidR="00C01D72" w:rsidRPr="00D33F49">
        <w:rPr>
          <w:rFonts w:asciiTheme="majorHAnsi" w:hAnsiTheme="majorHAnsi" w:cstheme="majorHAnsi"/>
          <w:szCs w:val="24"/>
          <w:lang w:val="es-MX"/>
        </w:rPr>
        <w:t>a más tardar los primeros 5 días hábiles del mes siguiente al que se recauden.</w:t>
      </w:r>
    </w:p>
    <w:p w14:paraId="57A8A254" w14:textId="77777777" w:rsidR="00C01D72" w:rsidRPr="00D33F49" w:rsidRDefault="00C01D72" w:rsidP="00E42DF7">
      <w:pPr>
        <w:spacing w:line="360" w:lineRule="auto"/>
        <w:ind w:right="-232"/>
        <w:rPr>
          <w:rFonts w:asciiTheme="majorHAnsi" w:hAnsiTheme="majorHAnsi" w:cstheme="majorHAnsi"/>
          <w:szCs w:val="24"/>
        </w:rPr>
      </w:pPr>
    </w:p>
    <w:p w14:paraId="4C893E4B" w14:textId="77777777" w:rsidR="00E42DF7" w:rsidRPr="00D33F49" w:rsidRDefault="00E42DF7" w:rsidP="00E42DF7">
      <w:pPr>
        <w:spacing w:line="360" w:lineRule="auto"/>
        <w:ind w:right="-232"/>
        <w:rPr>
          <w:rFonts w:asciiTheme="majorHAnsi" w:hAnsiTheme="majorHAnsi" w:cstheme="majorHAnsi"/>
          <w:szCs w:val="24"/>
        </w:rPr>
      </w:pPr>
      <w:r w:rsidRPr="00D33F49">
        <w:rPr>
          <w:rFonts w:asciiTheme="majorHAnsi" w:hAnsiTheme="majorHAnsi" w:cstheme="majorHAnsi"/>
          <w:szCs w:val="24"/>
        </w:rPr>
        <w:t>De conformidad con lo dispuesto por el artículo 13, fracción II de la Ley de Disciplina Financiera de las Entidades Federativas y los Municipios, las erogaciones adicionales a las aprobadas en el Presupuesto de Egresos con cargo a ingresos excedentes, deberán contar con la autorización previa de la Secretaría de Planeación y Finanzas.</w:t>
      </w:r>
    </w:p>
    <w:p w14:paraId="4827ACF8" w14:textId="77777777" w:rsidR="00E42DF7" w:rsidRPr="00D33F49" w:rsidRDefault="00E42DF7" w:rsidP="00E42DF7">
      <w:pPr>
        <w:spacing w:line="360" w:lineRule="auto"/>
        <w:ind w:right="-232"/>
        <w:rPr>
          <w:rFonts w:asciiTheme="majorHAnsi" w:hAnsiTheme="majorHAnsi" w:cstheme="majorHAnsi"/>
          <w:szCs w:val="24"/>
        </w:rPr>
      </w:pPr>
    </w:p>
    <w:p w14:paraId="35238B3F" w14:textId="77777777" w:rsidR="00E42DF7" w:rsidRPr="00D33F49" w:rsidRDefault="00E42DF7" w:rsidP="00E42DF7">
      <w:pPr>
        <w:spacing w:line="360" w:lineRule="auto"/>
        <w:ind w:right="-232"/>
        <w:rPr>
          <w:rFonts w:asciiTheme="majorHAnsi" w:hAnsiTheme="majorHAnsi" w:cstheme="majorHAnsi"/>
          <w:szCs w:val="24"/>
        </w:rPr>
      </w:pPr>
      <w:r w:rsidRPr="00D33F49">
        <w:rPr>
          <w:rFonts w:asciiTheme="majorHAnsi" w:hAnsiTheme="majorHAnsi" w:cstheme="majorHAnsi"/>
          <w:szCs w:val="24"/>
        </w:rPr>
        <w:t>Los cobros por productos y aprovechamientos de dependencias, órganos desconcentrados y organismos descentralizados que no sean informados durante el plazo previsto en el tercer párrafo de este artículo, o que habiendo sido informados no sean depositados en la Secretaría de Planeación y Finanzas de acuerdo a lo dispuesto en el cuarto párrafo de este artículo, no contarán con la autorización de esta Secretaría para ser ejercidos.</w:t>
      </w:r>
    </w:p>
    <w:p w14:paraId="33D1C1E3" w14:textId="77777777" w:rsidR="00E42DF7" w:rsidRPr="00D33F49" w:rsidRDefault="00E42DF7" w:rsidP="00E42DF7">
      <w:pPr>
        <w:spacing w:line="360" w:lineRule="auto"/>
        <w:ind w:right="-232"/>
        <w:rPr>
          <w:rFonts w:asciiTheme="majorHAnsi" w:hAnsiTheme="majorHAnsi" w:cstheme="majorHAnsi"/>
          <w:szCs w:val="24"/>
        </w:rPr>
      </w:pPr>
    </w:p>
    <w:p w14:paraId="1107F29E" w14:textId="77777777" w:rsidR="00E42DF7" w:rsidRPr="00D33F49" w:rsidRDefault="00E42DF7" w:rsidP="00E42DF7">
      <w:pPr>
        <w:spacing w:line="360" w:lineRule="auto"/>
        <w:ind w:right="-232"/>
        <w:rPr>
          <w:rFonts w:asciiTheme="majorHAnsi" w:hAnsiTheme="majorHAnsi" w:cstheme="majorHAnsi"/>
          <w:szCs w:val="24"/>
        </w:rPr>
      </w:pPr>
      <w:r w:rsidRPr="00D33F49">
        <w:rPr>
          <w:rFonts w:asciiTheme="majorHAnsi" w:hAnsiTheme="majorHAnsi" w:cstheme="majorHAnsi"/>
          <w:szCs w:val="24"/>
        </w:rPr>
        <w:t>Cuando la Secretaría de Planeación y Finanzas observe el incumplimiento de las disposiciones contenidas en este artículo, requerirá el cumplimiento inmediato de las mismas e informará a la Secretaría de Contraloría del Estado, para que lleve a cabo el procedimiento que en materia de responsabilidades corresponda.</w:t>
      </w:r>
    </w:p>
    <w:p w14:paraId="78F34002" w14:textId="77777777" w:rsidR="00E42DF7" w:rsidRPr="00D33F49" w:rsidRDefault="00E42DF7" w:rsidP="00E42DF7">
      <w:pPr>
        <w:spacing w:line="360" w:lineRule="auto"/>
        <w:ind w:right="-232"/>
        <w:rPr>
          <w:rFonts w:asciiTheme="majorHAnsi" w:hAnsiTheme="majorHAnsi" w:cstheme="majorHAnsi"/>
          <w:szCs w:val="24"/>
        </w:rPr>
      </w:pPr>
    </w:p>
    <w:p w14:paraId="26EB77CD" w14:textId="77777777" w:rsidR="00E42DF7" w:rsidRPr="00D33F49" w:rsidRDefault="00E42DF7" w:rsidP="00E42DF7">
      <w:pPr>
        <w:spacing w:line="360" w:lineRule="auto"/>
        <w:ind w:right="-232"/>
        <w:rPr>
          <w:rFonts w:asciiTheme="majorHAnsi" w:hAnsiTheme="majorHAnsi" w:cstheme="majorHAnsi"/>
          <w:szCs w:val="24"/>
        </w:rPr>
      </w:pPr>
      <w:r w:rsidRPr="00D33F49">
        <w:rPr>
          <w:rFonts w:asciiTheme="majorHAnsi" w:hAnsiTheme="majorHAnsi" w:cstheme="majorHAnsi"/>
          <w:szCs w:val="24"/>
        </w:rPr>
        <w:t>El incumplimiento en la concentración oportuna, a que se refieren los párrafos anteriores, generará la obligación de pagar cargas financieras en razón del 0.75 por ciento mensual, de manera proporcional a los días de retraso, con sus respectivos rendimientos financieros.</w:t>
      </w:r>
    </w:p>
    <w:p w14:paraId="325FBCAE" w14:textId="77777777" w:rsidR="00E42DF7" w:rsidRPr="00D33F49" w:rsidRDefault="00E42DF7" w:rsidP="00E42DF7">
      <w:pPr>
        <w:spacing w:line="360" w:lineRule="auto"/>
        <w:ind w:right="-232"/>
        <w:rPr>
          <w:rFonts w:asciiTheme="majorHAnsi" w:hAnsiTheme="majorHAnsi" w:cstheme="majorHAnsi"/>
          <w:szCs w:val="24"/>
        </w:rPr>
      </w:pPr>
    </w:p>
    <w:p w14:paraId="1DD62472" w14:textId="77777777" w:rsidR="00E42DF7" w:rsidRPr="00D33F49" w:rsidRDefault="00E42DF7" w:rsidP="00E42DF7">
      <w:pPr>
        <w:spacing w:line="360" w:lineRule="auto"/>
        <w:ind w:right="-232"/>
        <w:rPr>
          <w:rFonts w:asciiTheme="majorHAnsi" w:hAnsiTheme="majorHAnsi" w:cstheme="majorHAnsi"/>
          <w:szCs w:val="24"/>
        </w:rPr>
      </w:pPr>
      <w:r w:rsidRPr="00D33F49">
        <w:rPr>
          <w:rFonts w:asciiTheme="majorHAnsi" w:hAnsiTheme="majorHAnsi" w:cstheme="majorHAnsi"/>
          <w:szCs w:val="24"/>
        </w:rPr>
        <w:t xml:space="preserve">No será aplicable la carga financiera a que se refiere este artículo, cuando se acredite ante la Secretaría de Planeación y Finanzas, la imposibilidad práctica del cumplimiento oportuno de la concentración, siempre que cuenten con la validación respectiva del órgano interno de </w:t>
      </w:r>
      <w:r w:rsidRPr="00D33F49">
        <w:rPr>
          <w:rFonts w:asciiTheme="majorHAnsi" w:hAnsiTheme="majorHAnsi" w:cstheme="majorHAnsi"/>
          <w:szCs w:val="24"/>
        </w:rPr>
        <w:lastRenderedPageBreak/>
        <w:t>control de la dependencia, órgano desconcentrado u organismo descentralizado de que se trate.</w:t>
      </w:r>
    </w:p>
    <w:p w14:paraId="788DA488" w14:textId="77777777" w:rsidR="00B05AB8" w:rsidRPr="00D33F49" w:rsidRDefault="00B05AB8" w:rsidP="00E42DF7">
      <w:pPr>
        <w:spacing w:line="360" w:lineRule="auto"/>
        <w:ind w:right="-232"/>
        <w:rPr>
          <w:rFonts w:asciiTheme="majorHAnsi" w:hAnsiTheme="majorHAnsi" w:cstheme="majorHAnsi"/>
          <w:szCs w:val="24"/>
        </w:rPr>
      </w:pPr>
    </w:p>
    <w:p w14:paraId="74F75341" w14:textId="47353126" w:rsidR="000545CF" w:rsidRPr="00D33F49" w:rsidRDefault="00E42DF7" w:rsidP="00E42DF7">
      <w:pPr>
        <w:spacing w:line="360" w:lineRule="auto"/>
        <w:ind w:right="-232"/>
        <w:rPr>
          <w:rFonts w:asciiTheme="majorHAnsi" w:hAnsiTheme="majorHAnsi" w:cstheme="majorHAnsi"/>
          <w:szCs w:val="24"/>
        </w:rPr>
      </w:pPr>
      <w:r w:rsidRPr="00D33F49">
        <w:rPr>
          <w:rFonts w:asciiTheme="majorHAnsi" w:hAnsiTheme="majorHAnsi" w:cstheme="majorHAnsi"/>
          <w:szCs w:val="24"/>
        </w:rPr>
        <w:t>Si de la revisión que realice la Secretaría de Planeación y Finanzas, se determina que las dependencias, órganos desconcentrados, organismos descentralizados y cualquier otro ente análogo de la Administración Pública Estatal que administre y erogue recursos públicos a que se refiere este artículo, obtuvieren ingresos superiores a los transferidos, dicha Secretaría les disminuirá del presupuesto asignado, las cantidades que no hayan sido reportadas como ingresos, y podrán ser sujetos a los procedimientos que en materia de responsabilidades corresponda.</w:t>
      </w:r>
    </w:p>
    <w:p w14:paraId="4F41CA5E" w14:textId="77777777" w:rsidR="00DC6693" w:rsidRPr="00D33F49" w:rsidRDefault="00DC6693" w:rsidP="00DC6693">
      <w:pPr>
        <w:spacing w:line="360" w:lineRule="auto"/>
        <w:ind w:right="-232"/>
        <w:rPr>
          <w:rFonts w:asciiTheme="majorHAnsi" w:hAnsiTheme="majorHAnsi" w:cstheme="majorHAnsi"/>
          <w:szCs w:val="24"/>
          <w:lang w:val="es-MX"/>
        </w:rPr>
      </w:pPr>
    </w:p>
    <w:p w14:paraId="745C3E4E" w14:textId="07FBBBE8" w:rsidR="000545CF" w:rsidRPr="00D33F49" w:rsidRDefault="000545CF" w:rsidP="000545CF">
      <w:pPr>
        <w:spacing w:line="360" w:lineRule="auto"/>
        <w:ind w:right="-232"/>
        <w:rPr>
          <w:rFonts w:asciiTheme="majorHAnsi" w:hAnsiTheme="majorHAnsi" w:cstheme="majorHAnsi"/>
          <w:szCs w:val="24"/>
          <w:lang w:val="es-MX"/>
        </w:rPr>
      </w:pPr>
      <w:r w:rsidRPr="00D33F49">
        <w:rPr>
          <w:rFonts w:asciiTheme="majorHAnsi" w:hAnsiTheme="majorHAnsi" w:cstheme="majorHAnsi"/>
          <w:b/>
          <w:szCs w:val="24"/>
          <w:lang w:val="es-MX"/>
        </w:rPr>
        <w:t xml:space="preserve">Artículo 9. </w:t>
      </w:r>
      <w:r w:rsidR="00E42DF7" w:rsidRPr="00D33F49">
        <w:rPr>
          <w:rFonts w:asciiTheme="majorHAnsi" w:hAnsiTheme="majorHAnsi" w:cstheme="majorHAnsi"/>
          <w:szCs w:val="24"/>
          <w:lang w:val="es-MX"/>
        </w:rPr>
        <w:t>Las contribuciones a que se refiere esta Ley se causarán, liquidarán y recaudarán de acuerdo a lo ordenado por la Ley de Hacienda del Estado de Tabasco, en la forma y términos de lo dispuesto en el Código Fiscal del Estado de Tabasco y en la Ley de Presupuesto y Responsabilidad Hacendaria del Estado de Tabasco y sus Municipios y demás disposiciones aplicables. Asimismo, la Secretaría de Planeación y Finanzas, podrá auxiliarse con terceros para la realización de dichos cobros, mediante los mecanismos que establezca la propia Secretaría.</w:t>
      </w:r>
    </w:p>
    <w:p w14:paraId="5F647B10" w14:textId="77777777" w:rsidR="00E42DF7" w:rsidRPr="00D33F49" w:rsidRDefault="00E42DF7" w:rsidP="000545CF">
      <w:pPr>
        <w:spacing w:line="360" w:lineRule="auto"/>
        <w:ind w:right="-232"/>
        <w:rPr>
          <w:rFonts w:asciiTheme="majorHAnsi" w:hAnsiTheme="majorHAnsi" w:cstheme="majorHAnsi"/>
          <w:b/>
          <w:szCs w:val="24"/>
          <w:lang w:val="es-MX"/>
        </w:rPr>
      </w:pPr>
    </w:p>
    <w:p w14:paraId="1D3DB234" w14:textId="77777777" w:rsidR="00E42DF7" w:rsidRPr="00D33F49" w:rsidRDefault="000545CF" w:rsidP="00E42DF7">
      <w:pPr>
        <w:spacing w:line="360" w:lineRule="auto"/>
        <w:ind w:right="-232"/>
        <w:rPr>
          <w:rFonts w:asciiTheme="majorHAnsi" w:hAnsiTheme="majorHAnsi" w:cstheme="majorHAnsi"/>
          <w:szCs w:val="24"/>
          <w:lang w:val="es-MX"/>
        </w:rPr>
      </w:pPr>
      <w:r w:rsidRPr="00D33F49">
        <w:rPr>
          <w:rFonts w:asciiTheme="majorHAnsi" w:hAnsiTheme="majorHAnsi" w:cstheme="majorHAnsi"/>
          <w:b/>
          <w:szCs w:val="24"/>
          <w:lang w:val="es-MX"/>
        </w:rPr>
        <w:t>Artículo 10.</w:t>
      </w:r>
      <w:r w:rsidRPr="00D33F49">
        <w:rPr>
          <w:rFonts w:asciiTheme="majorHAnsi" w:hAnsiTheme="majorHAnsi" w:cstheme="majorHAnsi"/>
          <w:szCs w:val="24"/>
          <w:lang w:val="es-MX"/>
        </w:rPr>
        <w:t xml:space="preserve"> </w:t>
      </w:r>
      <w:r w:rsidR="00E42DF7" w:rsidRPr="00D33F49">
        <w:rPr>
          <w:rFonts w:asciiTheme="majorHAnsi" w:hAnsiTheme="majorHAnsi" w:cstheme="majorHAnsi"/>
          <w:szCs w:val="24"/>
          <w:lang w:val="es-MX"/>
        </w:rPr>
        <w:t>De conformidad con el artículo 13 de la Ley de Bienes del Estado de Tabasco y sus Municipios, los recursos a que se refiere la presente Ley, así como, los bienes que integran el patrimonio del Estado son inalienables e imprescriptibles y no serán, bajo ningún concepto, objeto de embargo ni de gravamen alguno.</w:t>
      </w:r>
    </w:p>
    <w:p w14:paraId="62EA2EA9" w14:textId="77777777" w:rsidR="00E42DF7" w:rsidRPr="00D33F49" w:rsidRDefault="00E42DF7" w:rsidP="00E42DF7">
      <w:pPr>
        <w:spacing w:line="360" w:lineRule="auto"/>
        <w:ind w:right="-232"/>
        <w:rPr>
          <w:rFonts w:asciiTheme="majorHAnsi" w:hAnsiTheme="majorHAnsi" w:cstheme="majorHAnsi"/>
          <w:szCs w:val="24"/>
          <w:lang w:val="es-MX"/>
        </w:rPr>
      </w:pPr>
    </w:p>
    <w:p w14:paraId="273729D6" w14:textId="4D0CE4F5" w:rsidR="000545CF" w:rsidRPr="00D33F49" w:rsidRDefault="00E42DF7" w:rsidP="00E42DF7">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Únicamente podrán gravarse cuando se ofrezcan como garantía y previa autorización del Honorable Congreso del Estado, cuando así lo señalen las disposiciones legales aplicables.</w:t>
      </w:r>
    </w:p>
    <w:p w14:paraId="1B8C16CA" w14:textId="77777777" w:rsidR="00DA1128" w:rsidRPr="00D33F49" w:rsidRDefault="00DA1128" w:rsidP="00E42DF7">
      <w:pPr>
        <w:spacing w:line="360" w:lineRule="auto"/>
        <w:ind w:right="-232"/>
        <w:rPr>
          <w:rFonts w:asciiTheme="majorHAnsi" w:hAnsiTheme="majorHAnsi" w:cstheme="majorHAnsi"/>
          <w:b/>
          <w:szCs w:val="24"/>
          <w:lang w:val="es-MX"/>
        </w:rPr>
      </w:pPr>
    </w:p>
    <w:p w14:paraId="0C95EC1D" w14:textId="77777777" w:rsidR="00E42DF7" w:rsidRPr="00D33F49" w:rsidRDefault="000545CF" w:rsidP="00E42DF7">
      <w:pPr>
        <w:spacing w:line="360" w:lineRule="auto"/>
        <w:ind w:right="-232"/>
        <w:rPr>
          <w:rFonts w:asciiTheme="majorHAnsi" w:hAnsiTheme="majorHAnsi" w:cstheme="majorHAnsi"/>
          <w:szCs w:val="24"/>
          <w:lang w:val="es-MX"/>
        </w:rPr>
      </w:pPr>
      <w:r w:rsidRPr="00D33F49">
        <w:rPr>
          <w:rFonts w:asciiTheme="majorHAnsi" w:hAnsiTheme="majorHAnsi" w:cstheme="majorHAnsi"/>
          <w:b/>
          <w:szCs w:val="24"/>
          <w:lang w:val="es-MX"/>
        </w:rPr>
        <w:t>Artículo 11.</w:t>
      </w:r>
      <w:r w:rsidRPr="00D33F49">
        <w:rPr>
          <w:rFonts w:asciiTheme="majorHAnsi" w:hAnsiTheme="majorHAnsi" w:cstheme="majorHAnsi"/>
          <w:szCs w:val="24"/>
          <w:lang w:val="es-MX"/>
        </w:rPr>
        <w:t xml:space="preserve"> </w:t>
      </w:r>
      <w:r w:rsidR="00E42DF7" w:rsidRPr="00D33F49">
        <w:rPr>
          <w:rFonts w:asciiTheme="majorHAnsi" w:hAnsiTheme="majorHAnsi" w:cstheme="majorHAnsi"/>
          <w:szCs w:val="24"/>
          <w:lang w:val="es-MX"/>
        </w:rPr>
        <w:t>El Ejecutivo administrará los ingresos a que se refiere el artículo 1 de esta Ley, de conformidad a las disposiciones legales aplicables.</w:t>
      </w:r>
    </w:p>
    <w:p w14:paraId="6E8FBDBE" w14:textId="77777777" w:rsidR="00E42DF7" w:rsidRPr="00D33F49" w:rsidRDefault="00E42DF7" w:rsidP="00E42DF7">
      <w:pPr>
        <w:spacing w:line="360" w:lineRule="auto"/>
        <w:ind w:right="-232"/>
        <w:rPr>
          <w:rFonts w:asciiTheme="majorHAnsi" w:hAnsiTheme="majorHAnsi" w:cstheme="majorHAnsi"/>
          <w:szCs w:val="24"/>
          <w:lang w:val="es-MX"/>
        </w:rPr>
      </w:pPr>
    </w:p>
    <w:p w14:paraId="663F75B2" w14:textId="10F12349" w:rsidR="000545CF" w:rsidRPr="00D33F49" w:rsidRDefault="00E42DF7" w:rsidP="00E42DF7">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Las leyes federales no limitarán las facultades del Estado, ni podrán bajo ninguna figura, exceptuar el pago de contribuciones locales en favor de particulares, de entes públicos que formen parte de la Administración Pública Federal, salvo las excepciones previstas en las disposiciones estatales.</w:t>
      </w:r>
    </w:p>
    <w:p w14:paraId="0DE36FC1" w14:textId="77777777" w:rsidR="00E42DF7" w:rsidRPr="00D33F49" w:rsidRDefault="00E42DF7" w:rsidP="00E42DF7">
      <w:pPr>
        <w:spacing w:line="360" w:lineRule="auto"/>
        <w:ind w:right="-232"/>
        <w:rPr>
          <w:rFonts w:asciiTheme="majorHAnsi" w:hAnsiTheme="majorHAnsi" w:cstheme="majorHAnsi"/>
          <w:szCs w:val="24"/>
          <w:lang w:val="es-MX"/>
        </w:rPr>
      </w:pPr>
    </w:p>
    <w:p w14:paraId="25418A14" w14:textId="617A180F" w:rsidR="001D439D" w:rsidRPr="00D33F49" w:rsidRDefault="000545CF" w:rsidP="00E42DF7">
      <w:pPr>
        <w:spacing w:line="360" w:lineRule="auto"/>
        <w:ind w:right="-232"/>
        <w:rPr>
          <w:rFonts w:asciiTheme="majorHAnsi" w:hAnsiTheme="majorHAnsi" w:cstheme="majorHAnsi"/>
          <w:szCs w:val="24"/>
          <w:lang w:val="es-MX"/>
        </w:rPr>
      </w:pPr>
      <w:r w:rsidRPr="00D33F49">
        <w:rPr>
          <w:rFonts w:asciiTheme="majorHAnsi" w:hAnsiTheme="majorHAnsi" w:cstheme="majorHAnsi"/>
          <w:b/>
          <w:szCs w:val="24"/>
          <w:lang w:val="es-MX"/>
        </w:rPr>
        <w:t>Artículo 12.</w:t>
      </w:r>
      <w:r w:rsidRPr="00D33F49">
        <w:rPr>
          <w:rFonts w:asciiTheme="majorHAnsi" w:hAnsiTheme="majorHAnsi" w:cstheme="majorHAnsi"/>
          <w:szCs w:val="24"/>
          <w:lang w:val="es-MX"/>
        </w:rPr>
        <w:t xml:space="preserve"> </w:t>
      </w:r>
      <w:r w:rsidR="00E42DF7" w:rsidRPr="00D33F49">
        <w:rPr>
          <w:rFonts w:asciiTheme="majorHAnsi" w:hAnsiTheme="majorHAnsi" w:cstheme="majorHAnsi"/>
          <w:szCs w:val="24"/>
          <w:lang w:val="es-MX"/>
        </w:rPr>
        <w:t>Las cifras correspondientes a las Aportaciones provenientes de la Federación, en cuanto a los fondos del Ramo General 33, corresponden a estimaciones</w:t>
      </w:r>
      <w:r w:rsidR="00FB13A1" w:rsidRPr="00D33F49">
        <w:rPr>
          <w:rFonts w:asciiTheme="majorHAnsi" w:hAnsiTheme="majorHAnsi" w:cstheme="majorHAnsi"/>
          <w:szCs w:val="24"/>
          <w:lang w:val="es-MX"/>
        </w:rPr>
        <w:t xml:space="preserve"> realizadas tomando como base </w:t>
      </w:r>
      <w:r w:rsidR="00E42DF7" w:rsidRPr="00D33F49">
        <w:rPr>
          <w:rFonts w:asciiTheme="majorHAnsi" w:hAnsiTheme="majorHAnsi" w:cstheme="majorHAnsi"/>
          <w:szCs w:val="24"/>
          <w:lang w:val="es-MX"/>
        </w:rPr>
        <w:t>cifras históricas y aplicando las fórmulas establecidas en la Ley de Coordinación Fiscal.</w:t>
      </w:r>
    </w:p>
    <w:p w14:paraId="73C1507D" w14:textId="26D4D0B7" w:rsidR="00E42DF7" w:rsidRPr="00D33F49" w:rsidRDefault="00E42DF7" w:rsidP="00E42DF7">
      <w:pPr>
        <w:spacing w:line="360" w:lineRule="auto"/>
        <w:ind w:right="-232"/>
        <w:rPr>
          <w:rFonts w:asciiTheme="majorHAnsi" w:hAnsiTheme="majorHAnsi" w:cstheme="majorHAnsi"/>
          <w:szCs w:val="24"/>
          <w:lang w:val="es-MX"/>
        </w:rPr>
      </w:pPr>
    </w:p>
    <w:p w14:paraId="4D57BC8B" w14:textId="52F83F1E" w:rsidR="00E42DF7" w:rsidRDefault="00E42DF7" w:rsidP="00E42DF7">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Una vez publicado el Presupuesto de Egresos de la Federación y los montos autorizados del Ramo General 33 para el Estado de Tabasco en el Diario Oficial de la Federación, se harán del conocimiento público a través del Periódico Oficial del Estado.</w:t>
      </w:r>
    </w:p>
    <w:p w14:paraId="38F9832B" w14:textId="77777777" w:rsidR="000B4DAA" w:rsidRDefault="000B4DAA" w:rsidP="00E42DF7">
      <w:pPr>
        <w:spacing w:line="360" w:lineRule="auto"/>
        <w:ind w:right="-232"/>
        <w:rPr>
          <w:rFonts w:asciiTheme="majorHAnsi" w:hAnsiTheme="majorHAnsi" w:cstheme="majorHAnsi"/>
          <w:szCs w:val="24"/>
          <w:lang w:val="es-MX"/>
        </w:rPr>
      </w:pPr>
    </w:p>
    <w:p w14:paraId="01510D0E" w14:textId="38103721" w:rsidR="000B4DAA" w:rsidRPr="00D33F49" w:rsidRDefault="000B4DAA" w:rsidP="000B4DAA">
      <w:pPr>
        <w:spacing w:line="360" w:lineRule="auto"/>
        <w:ind w:right="-232"/>
        <w:rPr>
          <w:rFonts w:asciiTheme="majorHAnsi" w:hAnsiTheme="majorHAnsi" w:cstheme="majorHAnsi"/>
          <w:szCs w:val="24"/>
          <w:lang w:val="es-MX"/>
        </w:rPr>
      </w:pPr>
      <w:r>
        <w:rPr>
          <w:rFonts w:asciiTheme="majorHAnsi" w:hAnsiTheme="majorHAnsi" w:cstheme="majorHAnsi"/>
          <w:b/>
          <w:szCs w:val="24"/>
          <w:lang w:val="es-MX"/>
        </w:rPr>
        <w:t xml:space="preserve">Artículo 13. </w:t>
      </w:r>
      <w:r w:rsidRPr="00D33F49">
        <w:rPr>
          <w:rFonts w:asciiTheme="majorHAnsi" w:hAnsiTheme="majorHAnsi" w:cstheme="majorHAnsi"/>
          <w:szCs w:val="24"/>
          <w:lang w:val="es-MX"/>
        </w:rPr>
        <w:t xml:space="preserve">De conformidad con lo establecido en el Artículo 119 del Código Fiscal del Estado, durante el ejercicio fiscal 2019, los ingresos recaudados por concepto de gastos de ejecución, </w:t>
      </w:r>
      <w:r>
        <w:rPr>
          <w:rFonts w:asciiTheme="majorHAnsi" w:hAnsiTheme="majorHAnsi" w:cstheme="majorHAnsi"/>
          <w:szCs w:val="24"/>
          <w:lang w:val="es-MX"/>
        </w:rPr>
        <w:t>derivados de</w:t>
      </w:r>
      <w:r w:rsidRPr="00D33F49">
        <w:rPr>
          <w:rFonts w:asciiTheme="majorHAnsi" w:hAnsiTheme="majorHAnsi" w:cstheme="majorHAnsi"/>
          <w:szCs w:val="24"/>
          <w:lang w:val="es-MX"/>
        </w:rPr>
        <w:t xml:space="preserve"> los requerimientos realizados por el personal notificador, se destinarán hasta en un 100% para dicho personal. </w:t>
      </w:r>
    </w:p>
    <w:p w14:paraId="20285EE5" w14:textId="32857A06" w:rsidR="00D33F49" w:rsidRDefault="00D33F49" w:rsidP="000D7809">
      <w:pPr>
        <w:spacing w:line="360" w:lineRule="auto"/>
        <w:ind w:right="-232"/>
        <w:rPr>
          <w:rFonts w:asciiTheme="majorHAnsi" w:hAnsiTheme="majorHAnsi" w:cstheme="majorHAnsi"/>
          <w:b/>
          <w:szCs w:val="24"/>
          <w:lang w:val="es-MX"/>
        </w:rPr>
      </w:pPr>
    </w:p>
    <w:p w14:paraId="0A9CD2C5" w14:textId="77777777" w:rsidR="000B4DAA" w:rsidRDefault="000B4DAA" w:rsidP="000D7809">
      <w:pPr>
        <w:spacing w:line="360" w:lineRule="auto"/>
        <w:ind w:right="-232"/>
        <w:rPr>
          <w:rFonts w:asciiTheme="majorHAnsi" w:hAnsiTheme="majorHAnsi" w:cstheme="majorHAnsi"/>
          <w:b/>
          <w:szCs w:val="24"/>
          <w:lang w:val="es-MX"/>
        </w:rPr>
      </w:pPr>
    </w:p>
    <w:p w14:paraId="45A7085A" w14:textId="4917771B" w:rsidR="000D7809" w:rsidRDefault="00C76001" w:rsidP="000D7809">
      <w:pPr>
        <w:spacing w:line="360" w:lineRule="auto"/>
        <w:ind w:right="-232"/>
        <w:rPr>
          <w:rFonts w:asciiTheme="majorHAnsi" w:hAnsiTheme="majorHAnsi" w:cstheme="majorHAnsi"/>
          <w:szCs w:val="24"/>
          <w:lang w:val="es-MX"/>
        </w:rPr>
      </w:pPr>
      <w:r>
        <w:rPr>
          <w:rFonts w:asciiTheme="majorHAnsi" w:hAnsiTheme="majorHAnsi" w:cstheme="majorHAnsi"/>
          <w:b/>
          <w:szCs w:val="24"/>
          <w:lang w:val="es-MX"/>
        </w:rPr>
        <w:t>ARTÍCULO SEGUNDO. Se reforma</w:t>
      </w:r>
      <w:r w:rsidR="00F233F8">
        <w:rPr>
          <w:rFonts w:asciiTheme="majorHAnsi" w:hAnsiTheme="majorHAnsi" w:cstheme="majorHAnsi"/>
          <w:b/>
          <w:szCs w:val="24"/>
          <w:lang w:val="es-MX"/>
        </w:rPr>
        <w:t xml:space="preserve"> </w:t>
      </w:r>
      <w:r w:rsidR="00826467" w:rsidRPr="00826467">
        <w:rPr>
          <w:rFonts w:asciiTheme="majorHAnsi" w:hAnsiTheme="majorHAnsi" w:cstheme="majorHAnsi"/>
          <w:szCs w:val="24"/>
          <w:lang w:val="es-MX"/>
        </w:rPr>
        <w:t>la fracción II d</w:t>
      </w:r>
      <w:r w:rsidR="00F233F8" w:rsidRPr="00826467">
        <w:rPr>
          <w:rFonts w:asciiTheme="majorHAnsi" w:hAnsiTheme="majorHAnsi" w:cstheme="majorHAnsi"/>
          <w:szCs w:val="24"/>
          <w:lang w:val="es-MX"/>
        </w:rPr>
        <w:t>el</w:t>
      </w:r>
      <w:r w:rsidR="00F233F8">
        <w:rPr>
          <w:rFonts w:asciiTheme="majorHAnsi" w:hAnsiTheme="majorHAnsi" w:cstheme="majorHAnsi"/>
          <w:szCs w:val="24"/>
          <w:lang w:val="es-MX"/>
        </w:rPr>
        <w:t xml:space="preserve"> artículo 38</w:t>
      </w:r>
      <w:r w:rsidR="00826467">
        <w:rPr>
          <w:rFonts w:asciiTheme="majorHAnsi" w:hAnsiTheme="majorHAnsi" w:cstheme="majorHAnsi"/>
          <w:szCs w:val="24"/>
          <w:lang w:val="es-MX"/>
        </w:rPr>
        <w:t xml:space="preserve"> </w:t>
      </w:r>
      <w:r w:rsidR="00F233F8">
        <w:rPr>
          <w:rFonts w:asciiTheme="majorHAnsi" w:hAnsiTheme="majorHAnsi" w:cstheme="majorHAnsi"/>
          <w:szCs w:val="24"/>
          <w:lang w:val="es-MX"/>
        </w:rPr>
        <w:t xml:space="preserve">Bis de la </w:t>
      </w:r>
      <w:r w:rsidR="00F233F8" w:rsidRPr="00F233F8">
        <w:rPr>
          <w:rFonts w:asciiTheme="majorHAnsi" w:hAnsiTheme="majorHAnsi" w:cstheme="majorHAnsi"/>
          <w:b/>
          <w:szCs w:val="24"/>
          <w:lang w:val="es-MX"/>
        </w:rPr>
        <w:t>Ley de Coordinación Fiscal y Financiera del Estado de Tabasco</w:t>
      </w:r>
      <w:r w:rsidR="00E7414D">
        <w:rPr>
          <w:rFonts w:asciiTheme="majorHAnsi" w:hAnsiTheme="majorHAnsi" w:cstheme="majorHAnsi"/>
          <w:szCs w:val="24"/>
          <w:lang w:val="es-MX"/>
        </w:rPr>
        <w:t>, para quedar como sigue:</w:t>
      </w:r>
    </w:p>
    <w:p w14:paraId="1DA79276" w14:textId="26F5B0EE" w:rsidR="00E7414D" w:rsidRDefault="00E7414D" w:rsidP="000D7809">
      <w:pPr>
        <w:spacing w:line="360" w:lineRule="auto"/>
        <w:ind w:right="-232"/>
        <w:rPr>
          <w:rFonts w:asciiTheme="majorHAnsi" w:hAnsiTheme="majorHAnsi" w:cstheme="majorHAnsi"/>
          <w:szCs w:val="24"/>
          <w:lang w:val="es-MX"/>
        </w:rPr>
      </w:pPr>
    </w:p>
    <w:p w14:paraId="3A916F95" w14:textId="7908E43C" w:rsidR="00193944" w:rsidRDefault="00193944" w:rsidP="000D7809">
      <w:pPr>
        <w:spacing w:line="360" w:lineRule="auto"/>
        <w:ind w:right="-232"/>
        <w:rPr>
          <w:rFonts w:asciiTheme="majorHAnsi" w:hAnsiTheme="majorHAnsi" w:cstheme="majorHAnsi"/>
          <w:szCs w:val="24"/>
          <w:lang w:val="es-MX"/>
        </w:rPr>
      </w:pPr>
      <w:r w:rsidRPr="0069677C">
        <w:rPr>
          <w:rFonts w:asciiTheme="majorHAnsi" w:hAnsiTheme="majorHAnsi" w:cstheme="majorHAnsi"/>
          <w:b/>
          <w:szCs w:val="24"/>
          <w:lang w:val="es-MX"/>
        </w:rPr>
        <w:t>38 Bis.-</w:t>
      </w:r>
      <w:r>
        <w:rPr>
          <w:rFonts w:asciiTheme="majorHAnsi" w:hAnsiTheme="majorHAnsi" w:cstheme="majorHAnsi"/>
          <w:szCs w:val="24"/>
          <w:lang w:val="es-MX"/>
        </w:rPr>
        <w:t xml:space="preserve"> </w:t>
      </w:r>
      <w:r w:rsidR="0069677C" w:rsidRPr="003B2F82">
        <w:rPr>
          <w:rFonts w:asciiTheme="majorHAnsi" w:hAnsiTheme="majorHAnsi" w:cstheme="majorHAnsi"/>
          <w:sz w:val="22"/>
          <w:szCs w:val="22"/>
          <w:lang w:val="es-MX"/>
        </w:rPr>
        <w:t>…</w:t>
      </w:r>
    </w:p>
    <w:p w14:paraId="6528CC4D" w14:textId="64B2DC4C" w:rsidR="0069677C" w:rsidRPr="003B2F82" w:rsidRDefault="0069677C" w:rsidP="0069677C">
      <w:pPr>
        <w:pStyle w:val="Prrafodelista"/>
        <w:numPr>
          <w:ilvl w:val="0"/>
          <w:numId w:val="44"/>
        </w:numPr>
        <w:spacing w:line="360" w:lineRule="auto"/>
        <w:ind w:left="426" w:right="-232" w:hanging="426"/>
        <w:rPr>
          <w:rFonts w:asciiTheme="majorHAnsi" w:hAnsiTheme="majorHAnsi" w:cstheme="majorHAnsi"/>
          <w:szCs w:val="24"/>
          <w:lang w:val="es-MX"/>
        </w:rPr>
      </w:pPr>
      <w:r w:rsidRPr="003B2F82">
        <w:rPr>
          <w:rFonts w:asciiTheme="majorHAnsi" w:hAnsiTheme="majorHAnsi" w:cstheme="majorHAnsi"/>
          <w:szCs w:val="24"/>
          <w:lang w:val="es-MX"/>
        </w:rPr>
        <w:t>…</w:t>
      </w:r>
    </w:p>
    <w:p w14:paraId="77C66AE0" w14:textId="77777777" w:rsidR="007E36BB" w:rsidRPr="007E36BB" w:rsidRDefault="0069677C" w:rsidP="007E36BB">
      <w:pPr>
        <w:pStyle w:val="Prrafodelista"/>
        <w:numPr>
          <w:ilvl w:val="0"/>
          <w:numId w:val="44"/>
        </w:numPr>
        <w:spacing w:line="360" w:lineRule="auto"/>
        <w:ind w:left="426" w:right="-232" w:hanging="426"/>
        <w:jc w:val="both"/>
        <w:rPr>
          <w:rFonts w:asciiTheme="majorHAnsi" w:hAnsiTheme="majorHAnsi" w:cstheme="majorHAnsi"/>
          <w:b/>
          <w:sz w:val="24"/>
          <w:szCs w:val="24"/>
          <w:lang w:val="es-MX"/>
        </w:rPr>
      </w:pPr>
      <w:r w:rsidRPr="001A2600">
        <w:rPr>
          <w:rFonts w:asciiTheme="majorHAnsi" w:hAnsiTheme="majorHAnsi" w:cstheme="majorHAnsi"/>
          <w:sz w:val="24"/>
          <w:szCs w:val="24"/>
          <w:lang w:val="es-MX"/>
        </w:rPr>
        <w:t>En el caso de áreas contractuales o áreas de asignación que se ubiquen en regiones marítimas, los recursos que resulten de aplicar el porcentaje a que se refiere este artículo al monto que determine la Secretaría de Hacienda y Crédito Público por este concepto, se distribuirán proporcionalmente a los municipios</w:t>
      </w:r>
      <w:r w:rsidRPr="007E36BB">
        <w:rPr>
          <w:rFonts w:asciiTheme="majorHAnsi" w:hAnsiTheme="majorHAnsi" w:cstheme="majorHAnsi"/>
          <w:b/>
          <w:sz w:val="24"/>
          <w:szCs w:val="24"/>
          <w:lang w:val="es-MX"/>
        </w:rPr>
        <w:t xml:space="preserve"> del Estado de Tabasco.</w:t>
      </w:r>
    </w:p>
    <w:p w14:paraId="7F8B1E82" w14:textId="77777777" w:rsidR="007E36BB" w:rsidRPr="007E36BB" w:rsidRDefault="007E36BB" w:rsidP="007E36BB">
      <w:pPr>
        <w:pStyle w:val="Prrafodelista"/>
        <w:spacing w:line="360" w:lineRule="auto"/>
        <w:ind w:left="426" w:right="-232"/>
        <w:jc w:val="both"/>
        <w:rPr>
          <w:rFonts w:ascii="Arial" w:hAnsi="Arial" w:cs="Arial"/>
          <w:sz w:val="24"/>
          <w:szCs w:val="24"/>
        </w:rPr>
      </w:pPr>
    </w:p>
    <w:p w14:paraId="1B3D7858" w14:textId="0219A427" w:rsidR="007E36BB" w:rsidRPr="007E36BB" w:rsidRDefault="007E36BB" w:rsidP="007E36BB">
      <w:pPr>
        <w:pStyle w:val="Prrafodelista"/>
        <w:spacing w:line="360" w:lineRule="auto"/>
        <w:ind w:left="426" w:right="-232"/>
        <w:jc w:val="both"/>
        <w:rPr>
          <w:rFonts w:asciiTheme="majorHAnsi" w:hAnsiTheme="majorHAnsi" w:cstheme="majorHAnsi"/>
          <w:b/>
          <w:sz w:val="24"/>
          <w:szCs w:val="24"/>
          <w:lang w:val="es-MX"/>
        </w:rPr>
      </w:pPr>
      <w:r w:rsidRPr="007E36BB">
        <w:rPr>
          <w:rFonts w:asciiTheme="majorHAnsi" w:hAnsiTheme="majorHAnsi" w:cs="Arial"/>
          <w:sz w:val="24"/>
          <w:szCs w:val="24"/>
        </w:rPr>
        <w:t>Para la determinación del mecanismo de distribución de los recursos a que se refiere esta fracción, deberán tomarse en consideración los criterios correspondientes al daño al entorno social, daño al entorno ecológico y coeficiente poblacional</w:t>
      </w:r>
      <w:r w:rsidR="00176EC7" w:rsidRPr="00176EC7">
        <w:rPr>
          <w:rFonts w:asciiTheme="majorHAnsi" w:hAnsiTheme="majorHAnsi" w:cs="Arial"/>
          <w:b/>
          <w:sz w:val="24"/>
          <w:szCs w:val="24"/>
        </w:rPr>
        <w:t>,</w:t>
      </w:r>
      <w:r w:rsidRPr="00176EC7">
        <w:rPr>
          <w:rFonts w:asciiTheme="majorHAnsi" w:hAnsiTheme="majorHAnsi" w:cs="Arial"/>
          <w:b/>
          <w:sz w:val="24"/>
          <w:szCs w:val="24"/>
        </w:rPr>
        <w:t xml:space="preserve"> </w:t>
      </w:r>
      <w:r w:rsidRPr="007E36BB">
        <w:rPr>
          <w:rFonts w:asciiTheme="majorHAnsi" w:hAnsiTheme="majorHAnsi" w:cs="Arial"/>
          <w:b/>
          <w:sz w:val="24"/>
          <w:szCs w:val="24"/>
        </w:rPr>
        <w:t xml:space="preserve">de acuerdo con la fórmula de distribución siguiente:  </w:t>
      </w:r>
    </w:p>
    <w:p w14:paraId="203E827D" w14:textId="77777777" w:rsidR="007E36BB" w:rsidRPr="00C230CE" w:rsidRDefault="007E36BB" w:rsidP="007E36BB">
      <w:pPr>
        <w:pStyle w:val="Default"/>
        <w:contextualSpacing/>
        <w:jc w:val="both"/>
        <w:rPr>
          <w:rFonts w:ascii="Arial" w:hAnsi="Arial" w:cs="Arial"/>
          <w:sz w:val="22"/>
          <w:szCs w:val="22"/>
        </w:rPr>
      </w:pPr>
    </w:p>
    <w:p w14:paraId="1920C9EF" w14:textId="1CDB498A" w:rsidR="007E36BB" w:rsidRPr="005A5874" w:rsidRDefault="007E36BB" w:rsidP="007E36BB">
      <w:pPr>
        <w:pStyle w:val="Prrafodelista"/>
        <w:numPr>
          <w:ilvl w:val="0"/>
          <w:numId w:val="46"/>
        </w:numPr>
        <w:spacing w:after="0" w:line="240" w:lineRule="auto"/>
        <w:jc w:val="both"/>
        <w:rPr>
          <w:rFonts w:asciiTheme="majorHAnsi" w:hAnsiTheme="majorHAnsi" w:cs="Arial"/>
          <w:b/>
        </w:rPr>
      </w:pPr>
      <w:r w:rsidRPr="005A5874">
        <w:rPr>
          <w:rFonts w:asciiTheme="majorHAnsi" w:hAnsiTheme="majorHAnsi" w:cs="Arial"/>
          <w:b/>
        </w:rPr>
        <w:t xml:space="preserve">Del 60%, en proporción directa al número de habitantes que tenga el municipio que registre los daños al entorno social y ecológico derivado de las actividades de exploración y extracción de hidrocarburos, es la siguiente: </w:t>
      </w:r>
    </w:p>
    <w:p w14:paraId="19EF851B" w14:textId="77777777" w:rsidR="007E36BB" w:rsidRPr="005A5874" w:rsidRDefault="007E36BB" w:rsidP="007E36BB">
      <w:pPr>
        <w:contextualSpacing/>
        <w:rPr>
          <w:rFonts w:asciiTheme="majorHAnsi" w:hAnsiTheme="majorHAnsi"/>
          <w:b/>
        </w:rPr>
      </w:pPr>
    </w:p>
    <w:p w14:paraId="14D227E4" w14:textId="49F55CB9" w:rsidR="007E36BB" w:rsidRPr="005A5874" w:rsidRDefault="005A5874" w:rsidP="007E36BB">
      <w:pPr>
        <w:contextualSpacing/>
        <w:rPr>
          <w:rFonts w:asciiTheme="majorHAnsi" w:eastAsiaTheme="minorEastAsia" w:hAnsiTheme="majorHAnsi"/>
          <w:b/>
        </w:rPr>
      </w:pPr>
      <m:oMathPara>
        <m:oMath>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hab</m:t>
              </m:r>
            </m:e>
            <m:sub>
              <m:r>
                <m:rPr>
                  <m:sty m:val="bi"/>
                </m:rPr>
                <w:rPr>
                  <w:rFonts w:ascii="Cambria Math" w:hAnsi="Cambria Math"/>
                </w:rPr>
                <m:t>i</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#hab</m:t>
                  </m:r>
                </m:e>
                <m:sub>
                  <m:r>
                    <m:rPr>
                      <m:sty m:val="bi"/>
                    </m:rPr>
                    <w:rPr>
                      <w:rFonts w:ascii="Cambria Math" w:hAnsi="Cambria Math"/>
                    </w:rPr>
                    <m:t>i</m:t>
                  </m:r>
                </m:sub>
              </m:sSub>
            </m:num>
            <m:den>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#hab</m:t>
                      </m:r>
                    </m:e>
                    <m:sub>
                      <m:r>
                        <m:rPr>
                          <m:sty m:val="bi"/>
                        </m:rPr>
                        <w:rPr>
                          <w:rFonts w:ascii="Cambria Math" w:hAnsi="Cambria Math"/>
                        </w:rPr>
                        <m:t>i</m:t>
                      </m:r>
                    </m:sub>
                  </m:sSub>
                </m:e>
              </m:nary>
            </m:den>
          </m:f>
        </m:oMath>
      </m:oMathPara>
    </w:p>
    <w:p w14:paraId="5D510974" w14:textId="77777777" w:rsidR="007E36BB" w:rsidRPr="005A5874" w:rsidRDefault="007E36BB" w:rsidP="007E36BB">
      <w:pPr>
        <w:contextualSpacing/>
        <w:rPr>
          <w:rFonts w:asciiTheme="majorHAnsi" w:eastAsiaTheme="minorEastAsia" w:hAnsiTheme="majorHAnsi"/>
          <w:b/>
        </w:rPr>
      </w:pPr>
    </w:p>
    <w:p w14:paraId="08E486C1" w14:textId="4F726C26" w:rsidR="007E36BB" w:rsidRPr="005A5874" w:rsidRDefault="005A5874" w:rsidP="007E36BB">
      <w:pPr>
        <w:contextualSpacing/>
        <w:rPr>
          <w:rFonts w:asciiTheme="majorHAnsi" w:eastAsiaTheme="minorEastAsia" w:hAnsiTheme="majorHAnsi"/>
          <w:b/>
        </w:rPr>
      </w:pPr>
      <m:oMathPara>
        <m:oMath>
          <m:r>
            <m:rPr>
              <m:sty m:val="bi"/>
            </m:rPr>
            <w:rPr>
              <w:rFonts w:ascii="Cambria Math" w:eastAsiaTheme="minorEastAsia" w:hAnsi="Cambria Math"/>
            </w:rPr>
            <m:t xml:space="preserve">% </m:t>
          </m:r>
          <m:sSub>
            <m:sSubPr>
              <m:ctrlPr>
                <w:rPr>
                  <w:rFonts w:ascii="Cambria Math" w:eastAsiaTheme="minorEastAsia" w:hAnsi="Cambria Math"/>
                  <w:b/>
                  <w:i/>
                </w:rPr>
              </m:ctrlPr>
            </m:sSubPr>
            <m:e>
              <m:r>
                <m:rPr>
                  <m:sty m:val="bi"/>
                </m:rPr>
                <w:rPr>
                  <w:rFonts w:ascii="Cambria Math" w:eastAsiaTheme="minorEastAsia" w:hAnsi="Cambria Math"/>
                </w:rPr>
                <m:t>rec</m:t>
              </m:r>
            </m:e>
            <m:sub>
              <m:r>
                <m:rPr>
                  <m:sty m:val="bi"/>
                </m:rPr>
                <w:rPr>
                  <w:rFonts w:ascii="Cambria Math" w:eastAsiaTheme="minorEastAsia" w:hAnsi="Cambria Math"/>
                </w:rPr>
                <m:t>i,t</m:t>
              </m:r>
            </m:sub>
          </m:sSub>
          <m:r>
            <m:rPr>
              <m:sty m:val="bi"/>
            </m:rPr>
            <w:rPr>
              <w:rFonts w:ascii="Cambria Math" w:eastAsiaTheme="minorEastAsia" w:hAnsi="Cambria Math"/>
            </w:rPr>
            <m:t>=</m:t>
          </m:r>
          <m:f>
            <m:fPr>
              <m:ctrlPr>
                <w:rPr>
                  <w:rFonts w:ascii="Cambria Math" w:eastAsiaTheme="minorEastAsia" w:hAnsi="Cambria Math"/>
                  <w:b/>
                  <w:i/>
                </w:rPr>
              </m:ctrlPr>
            </m:fPr>
            <m:num>
              <m:sSub>
                <m:sSubPr>
                  <m:ctrlPr>
                    <w:rPr>
                      <w:rFonts w:ascii="Cambria Math" w:eastAsiaTheme="minorEastAsia" w:hAnsi="Cambria Math"/>
                      <w:b/>
                      <w:i/>
                    </w:rPr>
                  </m:ctrlPr>
                </m:sSubPr>
                <m:e>
                  <m:r>
                    <m:rPr>
                      <m:sty m:val="bi"/>
                    </m:rPr>
                    <w:rPr>
                      <w:rFonts w:ascii="Cambria Math" w:eastAsiaTheme="minorEastAsia" w:hAnsi="Cambria Math"/>
                    </w:rPr>
                    <m:t>rec</m:t>
                  </m:r>
                </m:e>
                <m:sub>
                  <m:r>
                    <m:rPr>
                      <m:sty m:val="bi"/>
                    </m:rPr>
                    <w:rPr>
                      <w:rFonts w:ascii="Cambria Math" w:eastAsiaTheme="minorEastAsia" w:hAnsi="Cambria Math"/>
                    </w:rPr>
                    <m:t>i,t</m:t>
                  </m:r>
                </m:sub>
              </m:sSub>
            </m:num>
            <m:den>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#rec</m:t>
                      </m:r>
                    </m:e>
                    <m:sub>
                      <m:r>
                        <m:rPr>
                          <m:sty m:val="bi"/>
                        </m:rPr>
                        <w:rPr>
                          <w:rFonts w:ascii="Cambria Math" w:hAnsi="Cambria Math"/>
                        </w:rPr>
                        <m:t>i,t</m:t>
                      </m:r>
                    </m:sub>
                  </m:sSub>
                </m:e>
              </m:nary>
            </m:den>
          </m:f>
        </m:oMath>
      </m:oMathPara>
    </w:p>
    <w:p w14:paraId="421244E6" w14:textId="77777777" w:rsidR="007E36BB" w:rsidRPr="005A5874" w:rsidRDefault="007E36BB" w:rsidP="007E36BB">
      <w:pPr>
        <w:contextualSpacing/>
        <w:rPr>
          <w:rFonts w:asciiTheme="majorHAnsi" w:eastAsiaTheme="minorEastAsia" w:hAnsiTheme="majorHAnsi"/>
          <w:b/>
        </w:rPr>
      </w:pPr>
    </w:p>
    <w:p w14:paraId="51E9FA87" w14:textId="07FF348A" w:rsidR="007E36BB" w:rsidRPr="005A5874" w:rsidRDefault="00FA2446" w:rsidP="007E36BB">
      <w:pPr>
        <w:contextualSpacing/>
        <w:rPr>
          <w:rFonts w:asciiTheme="majorHAnsi" w:eastAsiaTheme="minorEastAsia" w:hAnsiTheme="majorHAnsi"/>
          <w:b/>
        </w:rPr>
      </w:pPr>
      <m:oMathPara>
        <m:oMath>
          <m:sSub>
            <m:sSubPr>
              <m:ctrlPr>
                <w:rPr>
                  <w:rFonts w:ascii="Cambria Math" w:eastAsiaTheme="minorEastAsia" w:hAnsi="Cambria Math"/>
                  <w:b/>
                  <w:i/>
                </w:rPr>
              </m:ctrlPr>
            </m:sSubPr>
            <m:e>
              <m:r>
                <m:rPr>
                  <m:sty m:val="bi"/>
                </m:rPr>
                <w:rPr>
                  <w:rFonts w:ascii="Cambria Math" w:eastAsiaTheme="minorEastAsia" w:hAnsi="Cambria Math"/>
                </w:rPr>
                <m:t>APob</m:t>
              </m:r>
            </m:e>
            <m:sub>
              <m:r>
                <m:rPr>
                  <m:sty m:val="bi"/>
                </m:rPr>
                <w:rPr>
                  <w:rFonts w:ascii="Cambria Math" w:eastAsiaTheme="minorEastAsia" w:hAnsi="Cambria Math"/>
                </w:rPr>
                <m:t>i</m:t>
              </m:r>
            </m:sub>
          </m:sSub>
          <m:r>
            <m:rPr>
              <m:sty m:val="bi"/>
            </m:rPr>
            <w:rPr>
              <w:rFonts w:ascii="Cambria Math" w:eastAsiaTheme="minorEastAsia" w:hAnsi="Cambria Math"/>
            </w:rPr>
            <m:t xml:space="preserve">= </m:t>
          </m:r>
          <m:d>
            <m:dPr>
              <m:ctrlPr>
                <w:rPr>
                  <w:rFonts w:ascii="Cambria Math" w:eastAsiaTheme="minorEastAsia" w:hAnsi="Cambria Math"/>
                  <w:b/>
                  <w:i/>
                </w:rPr>
              </m:ctrlPr>
            </m:dPr>
            <m:e>
              <m:r>
                <m:rPr>
                  <m:sty m:val="bi"/>
                </m:rPr>
                <w:rPr>
                  <w:rFonts w:ascii="Cambria Math" w:eastAsiaTheme="minorEastAsia" w:hAnsi="Cambria Math"/>
                </w:rPr>
                <m:t>50%MT*</m:t>
              </m:r>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hab</m:t>
                  </m:r>
                </m:e>
                <m:sub>
                  <m:r>
                    <m:rPr>
                      <m:sty m:val="bi"/>
                    </m:rPr>
                    <w:rPr>
                      <w:rFonts w:ascii="Cambria Math" w:hAnsi="Cambria Math"/>
                    </w:rPr>
                    <m:t>i</m:t>
                  </m:r>
                </m:sub>
              </m:sSub>
            </m:e>
          </m:d>
          <m:r>
            <m:rPr>
              <m:sty m:val="bi"/>
            </m:rPr>
            <w:rPr>
              <w:rFonts w:ascii="Cambria Math" w:eastAsiaTheme="minorEastAsia" w:hAnsi="Cambria Math"/>
            </w:rPr>
            <m:t>+</m:t>
          </m:r>
          <m:d>
            <m:dPr>
              <m:ctrlPr>
                <w:rPr>
                  <w:rFonts w:ascii="Cambria Math" w:eastAsiaTheme="minorEastAsia" w:hAnsi="Cambria Math"/>
                  <w:b/>
                  <w:i/>
                </w:rPr>
              </m:ctrlPr>
            </m:dPr>
            <m:e>
              <m:r>
                <m:rPr>
                  <m:sty m:val="bi"/>
                </m:rPr>
                <w:rPr>
                  <w:rFonts w:ascii="Cambria Math" w:eastAsiaTheme="minorEastAsia" w:hAnsi="Cambria Math"/>
                </w:rPr>
                <m:t xml:space="preserve">10%MT*% </m:t>
              </m:r>
              <m:sSub>
                <m:sSubPr>
                  <m:ctrlPr>
                    <w:rPr>
                      <w:rFonts w:ascii="Cambria Math" w:eastAsiaTheme="minorEastAsia" w:hAnsi="Cambria Math"/>
                      <w:b/>
                      <w:i/>
                    </w:rPr>
                  </m:ctrlPr>
                </m:sSubPr>
                <m:e>
                  <m:r>
                    <m:rPr>
                      <m:sty m:val="bi"/>
                    </m:rPr>
                    <w:rPr>
                      <w:rFonts w:ascii="Cambria Math" w:eastAsiaTheme="minorEastAsia" w:hAnsi="Cambria Math"/>
                    </w:rPr>
                    <m:t>rec</m:t>
                  </m:r>
                </m:e>
                <m:sub>
                  <m:r>
                    <m:rPr>
                      <m:sty m:val="bi"/>
                    </m:rPr>
                    <w:rPr>
                      <w:rFonts w:ascii="Cambria Math" w:eastAsiaTheme="minorEastAsia" w:hAnsi="Cambria Math"/>
                    </w:rPr>
                    <m:t>i,t</m:t>
                  </m:r>
                </m:sub>
              </m:sSub>
            </m:e>
          </m:d>
        </m:oMath>
      </m:oMathPara>
    </w:p>
    <w:p w14:paraId="183CF81E" w14:textId="77777777" w:rsidR="007E36BB" w:rsidRPr="005A5874" w:rsidRDefault="007E36BB" w:rsidP="007E36BB">
      <w:pPr>
        <w:contextualSpacing/>
        <w:rPr>
          <w:rFonts w:asciiTheme="majorHAnsi" w:eastAsiaTheme="minorEastAsia" w:hAnsiTheme="majorHAnsi"/>
          <w:b/>
        </w:rPr>
      </w:pPr>
    </w:p>
    <w:p w14:paraId="76076007" w14:textId="215FA712" w:rsidR="007E36BB" w:rsidRPr="005A5874" w:rsidRDefault="005A5874" w:rsidP="007E36BB">
      <w:pPr>
        <w:contextualSpacing/>
        <w:rPr>
          <w:rFonts w:asciiTheme="majorHAnsi" w:eastAsiaTheme="minorEastAsia" w:hAnsiTheme="majorHAnsi"/>
          <w:b/>
        </w:rPr>
      </w:pPr>
      <m:oMathPara>
        <m:oMath>
          <m:r>
            <m:rPr>
              <m:sty m:val="bi"/>
            </m:rPr>
            <w:rPr>
              <w:rFonts w:ascii="Cambria Math" w:eastAsiaTheme="minorEastAsia" w:hAnsi="Cambria Math"/>
            </w:rPr>
            <m:t>APobT=</m:t>
          </m:r>
          <m:nary>
            <m:naryPr>
              <m:chr m:val="∑"/>
              <m:limLoc m:val="undOvr"/>
              <m:ctrlPr>
                <w:rPr>
                  <w:rFonts w:ascii="Cambria Math" w:eastAsiaTheme="minorEastAsia" w:hAnsi="Cambria Math"/>
                  <w:b/>
                  <w:i/>
                </w:rPr>
              </m:ctrlPr>
            </m:naryPr>
            <m:sub>
              <m:r>
                <m:rPr>
                  <m:sty m:val="bi"/>
                </m:rPr>
                <w:rPr>
                  <w:rFonts w:ascii="Cambria Math" w:eastAsiaTheme="minorEastAsia" w:hAnsi="Cambria Math"/>
                </w:rPr>
                <m:t>i=1</m:t>
              </m:r>
            </m:sub>
            <m:sup>
              <m:r>
                <m:rPr>
                  <m:sty m:val="bi"/>
                </m:rPr>
                <w:rPr>
                  <w:rFonts w:ascii="Cambria Math" w:eastAsiaTheme="minorEastAsia" w:hAnsi="Cambria Math"/>
                </w:rPr>
                <m:t>n</m:t>
              </m:r>
            </m:sup>
            <m:e>
              <m:sSub>
                <m:sSubPr>
                  <m:ctrlPr>
                    <w:rPr>
                      <w:rFonts w:ascii="Cambria Math" w:eastAsiaTheme="minorEastAsia" w:hAnsi="Cambria Math"/>
                      <w:b/>
                      <w:i/>
                    </w:rPr>
                  </m:ctrlPr>
                </m:sSubPr>
                <m:e>
                  <m:r>
                    <m:rPr>
                      <m:sty m:val="bi"/>
                    </m:rPr>
                    <w:rPr>
                      <w:rFonts w:ascii="Cambria Math" w:eastAsiaTheme="minorEastAsia" w:hAnsi="Cambria Math"/>
                    </w:rPr>
                    <m:t>Pob</m:t>
                  </m:r>
                </m:e>
                <m:sub>
                  <m:r>
                    <m:rPr>
                      <m:sty m:val="bi"/>
                    </m:rPr>
                    <w:rPr>
                      <w:rFonts w:ascii="Cambria Math" w:eastAsiaTheme="minorEastAsia" w:hAnsi="Cambria Math"/>
                    </w:rPr>
                    <m:t>i</m:t>
                  </m:r>
                </m:sub>
              </m:sSub>
            </m:e>
          </m:nary>
        </m:oMath>
      </m:oMathPara>
    </w:p>
    <w:p w14:paraId="13FBD12D" w14:textId="77777777" w:rsidR="007E36BB" w:rsidRPr="005A5874" w:rsidRDefault="007E36BB" w:rsidP="007E36BB">
      <w:pPr>
        <w:contextualSpacing/>
        <w:rPr>
          <w:rFonts w:asciiTheme="majorHAnsi" w:hAnsiTheme="majorHAnsi"/>
          <w:b/>
        </w:rPr>
      </w:pPr>
      <w:r w:rsidRPr="005A5874">
        <w:rPr>
          <w:rFonts w:asciiTheme="majorHAnsi" w:hAnsiTheme="majorHAnsi"/>
          <w:b/>
        </w:rPr>
        <w:t>Dónde:</w:t>
      </w:r>
    </w:p>
    <w:p w14:paraId="3E945CBA" w14:textId="77777777" w:rsidR="007E36BB" w:rsidRPr="005A5874" w:rsidRDefault="007E36BB" w:rsidP="007E36BB">
      <w:pPr>
        <w:contextualSpacing/>
        <w:rPr>
          <w:rFonts w:asciiTheme="majorHAnsi" w:hAnsiTheme="majorHAnsi"/>
          <w:b/>
        </w:rPr>
      </w:pPr>
    </w:p>
    <w:p w14:paraId="5CB619F2" w14:textId="6BB01216" w:rsidR="007E36BB" w:rsidRPr="005A5874" w:rsidRDefault="005A5874" w:rsidP="007E36BB">
      <w:pPr>
        <w:contextualSpacing/>
        <w:rPr>
          <w:rFonts w:asciiTheme="majorHAnsi" w:hAnsiTheme="majorHAnsi"/>
          <w:b/>
        </w:rPr>
      </w:pPr>
      <m:oMath>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hab</m:t>
            </m:r>
          </m:e>
          <m:sub>
            <m:r>
              <m:rPr>
                <m:sty m:val="bi"/>
              </m:rPr>
              <w:rPr>
                <w:rFonts w:ascii="Cambria Math" w:hAnsi="Cambria Math"/>
              </w:rPr>
              <m:t>i</m:t>
            </m:r>
          </m:sub>
        </m:sSub>
      </m:oMath>
      <w:r w:rsidR="007E36BB" w:rsidRPr="005A5874">
        <w:rPr>
          <w:rFonts w:asciiTheme="majorHAnsi" w:hAnsiTheme="majorHAnsi"/>
          <w:b/>
        </w:rPr>
        <w:t xml:space="preserve"> = es el porcentaje de habitantes del municipio i.</w:t>
      </w:r>
    </w:p>
    <w:p w14:paraId="510E329A" w14:textId="4899D74B" w:rsidR="007E36BB" w:rsidRPr="005A5874" w:rsidRDefault="00FA2446" w:rsidP="007E36BB">
      <w:pPr>
        <w:contextualSpacing/>
        <w:rPr>
          <w:rFonts w:asciiTheme="majorHAnsi" w:hAnsiTheme="majorHAnsi"/>
          <w:b/>
        </w:rPr>
      </w:pPr>
      <m:oMath>
        <m:sSub>
          <m:sSubPr>
            <m:ctrlPr>
              <w:rPr>
                <w:rFonts w:ascii="Cambria Math" w:hAnsi="Cambria Math"/>
                <w:b/>
                <w:i/>
              </w:rPr>
            </m:ctrlPr>
          </m:sSubPr>
          <m:e>
            <m:r>
              <m:rPr>
                <m:sty m:val="bi"/>
              </m:rPr>
              <w:rPr>
                <w:rFonts w:ascii="Cambria Math" w:hAnsi="Cambria Math"/>
              </w:rPr>
              <m:t>#hab</m:t>
            </m:r>
          </m:e>
          <m:sub>
            <m:r>
              <m:rPr>
                <m:sty m:val="bi"/>
              </m:rPr>
              <w:rPr>
                <w:rFonts w:ascii="Cambria Math" w:hAnsi="Cambria Math"/>
              </w:rPr>
              <m:t>i</m:t>
            </m:r>
          </m:sub>
        </m:sSub>
      </m:oMath>
      <w:r w:rsidR="007E36BB" w:rsidRPr="005A5874">
        <w:rPr>
          <w:rFonts w:asciiTheme="majorHAnsi" w:hAnsiTheme="majorHAnsi"/>
          <w:b/>
        </w:rPr>
        <w:t xml:space="preserve"> = es el número de personas que habitan en el municipio i de acuerdo a la publicación más reciente del INEGI.</w:t>
      </w:r>
    </w:p>
    <w:p w14:paraId="28B8280C" w14:textId="1AAFE35C" w:rsidR="007E36BB" w:rsidRPr="005A5874" w:rsidRDefault="00FA2446" w:rsidP="007E36BB">
      <w:pPr>
        <w:contextualSpacing/>
        <w:rPr>
          <w:rFonts w:asciiTheme="majorHAnsi" w:hAnsiTheme="majorHAnsi"/>
          <w:b/>
        </w:rPr>
      </w:pPr>
      <m:oMath>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#hab</m:t>
                </m:r>
              </m:e>
              <m:sub>
                <m:r>
                  <m:rPr>
                    <m:sty m:val="bi"/>
                  </m:rPr>
                  <w:rPr>
                    <w:rFonts w:ascii="Cambria Math" w:hAnsi="Cambria Math"/>
                  </w:rPr>
                  <m:t>i</m:t>
                </m:r>
              </m:sub>
            </m:sSub>
          </m:e>
        </m:nary>
      </m:oMath>
      <w:r w:rsidR="007E36BB" w:rsidRPr="005A5874">
        <w:rPr>
          <w:rFonts w:asciiTheme="majorHAnsi" w:eastAsiaTheme="minorEastAsia" w:hAnsiTheme="majorHAnsi"/>
          <w:b/>
        </w:rPr>
        <w:t xml:space="preserve">= es la suma total del número de habitantes de los municipios. </w:t>
      </w:r>
    </w:p>
    <w:p w14:paraId="3BE50FA1" w14:textId="44BE839F" w:rsidR="007E36BB" w:rsidRPr="005A5874" w:rsidRDefault="005A5874" w:rsidP="007E36BB">
      <w:pPr>
        <w:contextualSpacing/>
        <w:rPr>
          <w:rFonts w:asciiTheme="majorHAnsi" w:hAnsiTheme="majorHAnsi"/>
          <w:b/>
        </w:rPr>
      </w:pPr>
      <m:oMath>
        <m:r>
          <m:rPr>
            <m:sty m:val="bi"/>
          </m:rPr>
          <w:rPr>
            <w:rFonts w:ascii="Cambria Math" w:eastAsiaTheme="minorEastAsia" w:hAnsi="Cambria Math"/>
          </w:rPr>
          <m:t xml:space="preserve">% </m:t>
        </m:r>
        <m:sSub>
          <m:sSubPr>
            <m:ctrlPr>
              <w:rPr>
                <w:rFonts w:ascii="Cambria Math" w:eastAsiaTheme="minorEastAsia" w:hAnsi="Cambria Math"/>
                <w:b/>
                <w:i/>
              </w:rPr>
            </m:ctrlPr>
          </m:sSubPr>
          <m:e>
            <m:r>
              <m:rPr>
                <m:sty m:val="bi"/>
              </m:rPr>
              <w:rPr>
                <w:rFonts w:ascii="Cambria Math" w:eastAsiaTheme="minorEastAsia" w:hAnsi="Cambria Math"/>
              </w:rPr>
              <m:t>rec</m:t>
            </m:r>
          </m:e>
          <m:sub>
            <m:r>
              <m:rPr>
                <m:sty m:val="bi"/>
              </m:rPr>
              <w:rPr>
                <w:rFonts w:ascii="Cambria Math" w:eastAsiaTheme="minorEastAsia" w:hAnsi="Cambria Math"/>
              </w:rPr>
              <m:t>i,t</m:t>
            </m:r>
          </m:sub>
        </m:sSub>
      </m:oMath>
      <w:r w:rsidR="007E36BB" w:rsidRPr="005A5874">
        <w:rPr>
          <w:rFonts w:asciiTheme="majorHAnsi" w:hAnsiTheme="majorHAnsi"/>
          <w:b/>
        </w:rPr>
        <w:t>= es el porcentaje de recaudación del municipio i en el mes t.</w:t>
      </w:r>
    </w:p>
    <w:p w14:paraId="5D9560F6" w14:textId="2DC82A31" w:rsidR="007E36BB" w:rsidRPr="005A5874" w:rsidRDefault="00FA2446" w:rsidP="007E36BB">
      <w:pPr>
        <w:contextualSpacing/>
        <w:rPr>
          <w:rFonts w:asciiTheme="majorHAnsi" w:hAnsiTheme="majorHAnsi"/>
          <w:b/>
        </w:rPr>
      </w:pPr>
      <m:oMath>
        <m:sSub>
          <m:sSubPr>
            <m:ctrlPr>
              <w:rPr>
                <w:rFonts w:ascii="Cambria Math" w:eastAsiaTheme="minorEastAsia" w:hAnsi="Cambria Math"/>
                <w:b/>
                <w:i/>
              </w:rPr>
            </m:ctrlPr>
          </m:sSubPr>
          <m:e>
            <m:r>
              <m:rPr>
                <m:sty m:val="bi"/>
              </m:rPr>
              <w:rPr>
                <w:rFonts w:ascii="Cambria Math" w:eastAsiaTheme="minorEastAsia" w:hAnsi="Cambria Math"/>
              </w:rPr>
              <m:t>rec</m:t>
            </m:r>
          </m:e>
          <m:sub>
            <m:r>
              <m:rPr>
                <m:sty m:val="bi"/>
              </m:rPr>
              <w:rPr>
                <w:rFonts w:ascii="Cambria Math" w:eastAsiaTheme="minorEastAsia" w:hAnsi="Cambria Math"/>
              </w:rPr>
              <m:t>i,t</m:t>
            </m:r>
          </m:sub>
        </m:sSub>
      </m:oMath>
      <w:r w:rsidR="007E36BB" w:rsidRPr="005A5874">
        <w:rPr>
          <w:rFonts w:asciiTheme="majorHAnsi" w:hAnsiTheme="majorHAnsi"/>
          <w:b/>
        </w:rPr>
        <w:t xml:space="preserve"> = es el monto de recaudación del municipio i en el mes t.</w:t>
      </w:r>
    </w:p>
    <w:p w14:paraId="46B5B687" w14:textId="73F79E73" w:rsidR="007E36BB" w:rsidRPr="005A5874" w:rsidRDefault="00FA2446" w:rsidP="007E36BB">
      <w:pPr>
        <w:contextualSpacing/>
        <w:rPr>
          <w:rFonts w:asciiTheme="majorHAnsi" w:eastAsiaTheme="minorEastAsia" w:hAnsiTheme="majorHAnsi"/>
          <w:b/>
        </w:rPr>
      </w:pPr>
      <m:oMath>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#rec</m:t>
                </m:r>
              </m:e>
              <m:sub>
                <m:r>
                  <m:rPr>
                    <m:sty m:val="bi"/>
                  </m:rPr>
                  <w:rPr>
                    <w:rFonts w:ascii="Cambria Math" w:hAnsi="Cambria Math"/>
                  </w:rPr>
                  <m:t>i,t</m:t>
                </m:r>
              </m:sub>
            </m:sSub>
          </m:e>
        </m:nary>
      </m:oMath>
      <w:r w:rsidR="007E36BB" w:rsidRPr="005A5874">
        <w:rPr>
          <w:rFonts w:asciiTheme="majorHAnsi" w:eastAsiaTheme="minorEastAsia" w:hAnsiTheme="majorHAnsi"/>
          <w:b/>
        </w:rPr>
        <w:t>= es la suma total de la recaudación de los municipios.</w:t>
      </w:r>
    </w:p>
    <w:p w14:paraId="442827DE" w14:textId="35DF927B" w:rsidR="007E36BB" w:rsidRPr="005A5874" w:rsidRDefault="005A5874" w:rsidP="007E36BB">
      <w:pPr>
        <w:contextualSpacing/>
        <w:rPr>
          <w:rFonts w:asciiTheme="majorHAnsi" w:hAnsiTheme="majorHAnsi"/>
          <w:b/>
        </w:rPr>
      </w:pPr>
      <m:oMath>
        <m:r>
          <m:rPr>
            <m:sty m:val="bi"/>
          </m:rPr>
          <w:rPr>
            <w:rFonts w:ascii="Cambria Math" w:hAnsi="Cambria Math"/>
          </w:rPr>
          <m:t>A</m:t>
        </m:r>
        <m:sSub>
          <m:sSubPr>
            <m:ctrlPr>
              <w:rPr>
                <w:rFonts w:ascii="Cambria Math" w:hAnsi="Cambria Math"/>
                <w:b/>
                <w:i/>
              </w:rPr>
            </m:ctrlPr>
          </m:sSubPr>
          <m:e>
            <m:r>
              <m:rPr>
                <m:sty m:val="bi"/>
              </m:rPr>
              <w:rPr>
                <w:rFonts w:ascii="Cambria Math" w:hAnsi="Cambria Math"/>
              </w:rPr>
              <m:t>Pob</m:t>
            </m:r>
          </m:e>
          <m:sub>
            <m:r>
              <m:rPr>
                <m:sty m:val="bi"/>
              </m:rPr>
              <w:rPr>
                <w:rFonts w:ascii="Cambria Math" w:hAnsi="Cambria Math"/>
              </w:rPr>
              <m:t>i</m:t>
            </m:r>
          </m:sub>
        </m:sSub>
      </m:oMath>
      <w:r w:rsidR="007E36BB" w:rsidRPr="005A5874">
        <w:rPr>
          <w:rFonts w:asciiTheme="majorHAnsi" w:hAnsiTheme="majorHAnsi"/>
          <w:b/>
          <w:i/>
        </w:rPr>
        <w:t xml:space="preserve">= </w:t>
      </w:r>
      <w:r w:rsidR="007E36BB" w:rsidRPr="005A5874">
        <w:rPr>
          <w:rFonts w:asciiTheme="majorHAnsi" w:hAnsiTheme="majorHAnsi"/>
          <w:b/>
        </w:rPr>
        <w:t>es la Afectación Poblacional del municipio i.</w:t>
      </w:r>
    </w:p>
    <w:p w14:paraId="538E4CC9" w14:textId="5F995D5B" w:rsidR="007E36BB" w:rsidRPr="005A5874" w:rsidRDefault="005A5874" w:rsidP="007E36BB">
      <w:pPr>
        <w:contextualSpacing/>
        <w:rPr>
          <w:rFonts w:asciiTheme="majorHAnsi" w:eastAsiaTheme="minorEastAsia" w:hAnsiTheme="majorHAnsi"/>
          <w:b/>
        </w:rPr>
      </w:pPr>
      <m:oMath>
        <m:r>
          <m:rPr>
            <m:sty m:val="bi"/>
          </m:rPr>
          <w:rPr>
            <w:rFonts w:ascii="Cambria Math" w:eastAsiaTheme="minorEastAsia" w:hAnsi="Cambria Math"/>
          </w:rPr>
          <m:t>MT</m:t>
        </m:r>
      </m:oMath>
      <w:r w:rsidR="007E36BB" w:rsidRPr="005A5874">
        <w:rPr>
          <w:rFonts w:asciiTheme="majorHAnsi" w:eastAsiaTheme="minorEastAsia" w:hAnsiTheme="majorHAnsi"/>
          <w:b/>
        </w:rPr>
        <w:t>= es el monto del fondo que corresponde a los municipios.</w:t>
      </w:r>
    </w:p>
    <w:p w14:paraId="15248C65" w14:textId="02E7C850" w:rsidR="007E36BB" w:rsidRPr="005A5874" w:rsidRDefault="00FA2446" w:rsidP="007E36BB">
      <w:pPr>
        <w:contextualSpacing/>
        <w:rPr>
          <w:rFonts w:asciiTheme="majorHAnsi" w:eastAsiaTheme="minorEastAsia" w:hAnsiTheme="majorHAnsi"/>
          <w:b/>
        </w:rPr>
      </w:pPr>
      <m:oMath>
        <m:nary>
          <m:naryPr>
            <m:chr m:val="∑"/>
            <m:limLoc m:val="undOvr"/>
            <m:ctrlPr>
              <w:rPr>
                <w:rFonts w:ascii="Cambria Math" w:eastAsiaTheme="minorEastAsia" w:hAnsi="Cambria Math"/>
                <w:b/>
                <w:i/>
              </w:rPr>
            </m:ctrlPr>
          </m:naryPr>
          <m:sub>
            <m:r>
              <m:rPr>
                <m:sty m:val="bi"/>
              </m:rPr>
              <w:rPr>
                <w:rFonts w:ascii="Cambria Math" w:eastAsiaTheme="minorEastAsia" w:hAnsi="Cambria Math"/>
              </w:rPr>
              <m:t>i=1</m:t>
            </m:r>
          </m:sub>
          <m:sup>
            <m:r>
              <m:rPr>
                <m:sty m:val="bi"/>
              </m:rPr>
              <w:rPr>
                <w:rFonts w:ascii="Cambria Math" w:eastAsiaTheme="minorEastAsia" w:hAnsi="Cambria Math"/>
              </w:rPr>
              <m:t>n</m:t>
            </m:r>
          </m:sup>
          <m:e>
            <m:sSub>
              <m:sSubPr>
                <m:ctrlPr>
                  <w:rPr>
                    <w:rFonts w:ascii="Cambria Math" w:eastAsiaTheme="minorEastAsia" w:hAnsi="Cambria Math"/>
                    <w:b/>
                    <w:i/>
                  </w:rPr>
                </m:ctrlPr>
              </m:sSubPr>
              <m:e>
                <m:r>
                  <m:rPr>
                    <m:sty m:val="bi"/>
                  </m:rPr>
                  <w:rPr>
                    <w:rFonts w:ascii="Cambria Math" w:eastAsiaTheme="minorEastAsia" w:hAnsi="Cambria Math"/>
                  </w:rPr>
                  <m:t>Pob</m:t>
                </m:r>
              </m:e>
              <m:sub>
                <m:r>
                  <m:rPr>
                    <m:sty m:val="bi"/>
                  </m:rPr>
                  <w:rPr>
                    <w:rFonts w:ascii="Cambria Math" w:eastAsiaTheme="minorEastAsia" w:hAnsi="Cambria Math"/>
                  </w:rPr>
                  <m:t>i</m:t>
                </m:r>
              </m:sub>
            </m:sSub>
          </m:e>
        </m:nary>
      </m:oMath>
      <w:r w:rsidR="007E36BB" w:rsidRPr="005A5874">
        <w:rPr>
          <w:rFonts w:asciiTheme="majorHAnsi" w:eastAsiaTheme="minorEastAsia" w:hAnsiTheme="majorHAnsi"/>
          <w:b/>
        </w:rPr>
        <w:t>= es la suma total de la Afectación Poblacional de los municipios.</w:t>
      </w:r>
    </w:p>
    <w:p w14:paraId="362ABC35" w14:textId="3BAF79E0" w:rsidR="007E36BB" w:rsidRPr="005A5874" w:rsidRDefault="005A5874" w:rsidP="007E36BB">
      <w:pPr>
        <w:contextualSpacing/>
        <w:rPr>
          <w:rFonts w:asciiTheme="majorHAnsi" w:eastAsiaTheme="minorEastAsia" w:hAnsiTheme="majorHAnsi"/>
          <w:b/>
        </w:rPr>
      </w:pPr>
      <m:oMath>
        <m:r>
          <m:rPr>
            <m:sty m:val="bi"/>
          </m:rPr>
          <w:rPr>
            <w:rFonts w:ascii="Cambria Math" w:eastAsiaTheme="minorEastAsia" w:hAnsi="Cambria Math"/>
          </w:rPr>
          <m:t>APobT</m:t>
        </m:r>
      </m:oMath>
      <w:r w:rsidR="007E36BB" w:rsidRPr="005A5874">
        <w:rPr>
          <w:rFonts w:asciiTheme="majorHAnsi" w:eastAsiaTheme="minorEastAsia" w:hAnsiTheme="majorHAnsi"/>
          <w:b/>
        </w:rPr>
        <w:t>= es la Afectación Poblacional Total.</w:t>
      </w:r>
    </w:p>
    <w:p w14:paraId="20831BF7" w14:textId="77777777" w:rsidR="007E36BB" w:rsidRPr="005A5874" w:rsidRDefault="007E36BB" w:rsidP="007E36BB">
      <w:pPr>
        <w:contextualSpacing/>
        <w:rPr>
          <w:rFonts w:asciiTheme="majorHAnsi" w:eastAsiaTheme="minorEastAsia" w:hAnsiTheme="majorHAnsi"/>
          <w:b/>
        </w:rPr>
      </w:pPr>
    </w:p>
    <w:p w14:paraId="60D49CFC" w14:textId="77777777" w:rsidR="007E36BB" w:rsidRPr="005A5874" w:rsidRDefault="007E36BB" w:rsidP="007E36BB">
      <w:pPr>
        <w:pStyle w:val="Prrafodelista"/>
        <w:ind w:hanging="261"/>
        <w:jc w:val="both"/>
        <w:rPr>
          <w:rFonts w:asciiTheme="majorHAnsi" w:hAnsiTheme="majorHAnsi" w:cs="Arial"/>
          <w:b/>
        </w:rPr>
      </w:pPr>
      <w:r w:rsidRPr="005A5874">
        <w:rPr>
          <w:rFonts w:asciiTheme="majorHAnsi" w:hAnsiTheme="majorHAnsi" w:cs="Arial"/>
          <w:b/>
        </w:rPr>
        <w:t>2. La fórmula para la determinación del 20% en la proporción que representen los daños al entorno social que registre, es la siguiente:</w:t>
      </w:r>
    </w:p>
    <w:p w14:paraId="5797499C" w14:textId="77777777" w:rsidR="007E36BB" w:rsidRPr="005A5874" w:rsidRDefault="007E36BB" w:rsidP="007E36BB">
      <w:pPr>
        <w:contextualSpacing/>
        <w:rPr>
          <w:rFonts w:asciiTheme="majorHAnsi" w:hAnsiTheme="majorHAnsi"/>
          <w:b/>
        </w:rPr>
      </w:pPr>
    </w:p>
    <w:p w14:paraId="61EFCC3F" w14:textId="0C386D39" w:rsidR="007E36BB" w:rsidRPr="005A5874" w:rsidRDefault="00FA2446" w:rsidP="007E36BB">
      <w:pPr>
        <w:contextualSpacing/>
        <w:rPr>
          <w:rFonts w:asciiTheme="majorHAnsi" w:eastAsiaTheme="minorEastAsia" w:hAnsiTheme="majorHAnsi"/>
          <w:b/>
        </w:rPr>
      </w:pPr>
      <m:oMathPara>
        <m:oMath>
          <m:sSub>
            <m:sSubPr>
              <m:ctrlPr>
                <w:rPr>
                  <w:rFonts w:ascii="Cambria Math" w:hAnsi="Cambria Math"/>
                  <w:b/>
                  <w:i/>
                </w:rPr>
              </m:ctrlPr>
            </m:sSubPr>
            <m:e>
              <m:r>
                <m:rPr>
                  <m:sty m:val="bi"/>
                </m:rPr>
                <w:rPr>
                  <w:rFonts w:ascii="Cambria Math" w:hAnsi="Cambria Math"/>
                </w:rPr>
                <m:t>ASoc</m:t>
              </m:r>
            </m:e>
            <m:sub>
              <m:r>
                <m:rPr>
                  <m:sty m:val="bi"/>
                </m:rPr>
                <w:rPr>
                  <w:rFonts w:ascii="Cambria Math" w:hAnsi="Cambria Math"/>
                </w:rPr>
                <m:t>i</m:t>
              </m:r>
            </m:sub>
          </m:sSub>
          <m:r>
            <m:rPr>
              <m:sty m:val="bi"/>
            </m:rPr>
            <w:rPr>
              <w:rFonts w:ascii="Cambria Math" w:hAnsi="Cambria Math"/>
            </w:rPr>
            <m:t xml:space="preserve">= </m:t>
          </m:r>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Des</m:t>
                      </m:r>
                    </m:e>
                    <m:sub>
                      <m:r>
                        <m:rPr>
                          <m:sty m:val="bi"/>
                        </m:rPr>
                        <w:rPr>
                          <w:rFonts w:ascii="Cambria Math" w:hAnsi="Cambria Math"/>
                        </w:rPr>
                        <m:t>i</m:t>
                      </m:r>
                    </m:sub>
                  </m:sSub>
                </m:num>
                <m:den>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Des</m:t>
                          </m:r>
                        </m:e>
                        <m:sub>
                          <m:r>
                            <m:rPr>
                              <m:sty m:val="bi"/>
                            </m:rPr>
                            <w:rPr>
                              <w:rFonts w:ascii="Cambria Math" w:hAnsi="Cambria Math"/>
                            </w:rPr>
                            <m:t>i</m:t>
                          </m:r>
                        </m:sub>
                      </m:sSub>
                      <m:r>
                        <m:rPr>
                          <m:sty m:val="bi"/>
                        </m:rP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CS</m:t>
                              </m:r>
                            </m:e>
                            <m:sub>
                              <m:r>
                                <m:rPr>
                                  <m:sty m:val="bi"/>
                                </m:rPr>
                                <w:rPr>
                                  <w:rFonts w:ascii="Cambria Math" w:hAnsi="Cambria Math"/>
                                </w:rPr>
                                <m:t>i</m:t>
                              </m:r>
                            </m:sub>
                          </m:sSub>
                        </m:e>
                      </m:nary>
                    </m:e>
                  </m:nary>
                </m:den>
              </m:f>
              <m:r>
                <m:rPr>
                  <m:sty m:val="bi"/>
                </m:rPr>
                <w:rPr>
                  <w:rFonts w:ascii="Cambria Math" w:hAnsi="Cambria Math"/>
                </w:rPr>
                <m:t xml:space="preserve">+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CS</m:t>
                      </m:r>
                    </m:e>
                    <m:sub>
                      <m:r>
                        <m:rPr>
                          <m:sty m:val="bi"/>
                        </m:rPr>
                        <w:rPr>
                          <w:rFonts w:ascii="Cambria Math" w:hAnsi="Cambria Math"/>
                        </w:rPr>
                        <m:t>i</m:t>
                      </m:r>
                    </m:sub>
                  </m:sSub>
                </m:num>
                <m:den>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Des</m:t>
                          </m:r>
                        </m:e>
                        <m:sub>
                          <m:r>
                            <m:rPr>
                              <m:sty m:val="bi"/>
                            </m:rPr>
                            <w:rPr>
                              <w:rFonts w:ascii="Cambria Math" w:hAnsi="Cambria Math"/>
                            </w:rPr>
                            <m:t>i</m:t>
                          </m:r>
                        </m:sub>
                      </m:sSub>
                      <m:r>
                        <m:rPr>
                          <m:sty m:val="bi"/>
                        </m:rP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CS</m:t>
                              </m:r>
                            </m:e>
                            <m:sub>
                              <m:r>
                                <m:rPr>
                                  <m:sty m:val="bi"/>
                                </m:rPr>
                                <w:rPr>
                                  <w:rFonts w:ascii="Cambria Math" w:hAnsi="Cambria Math"/>
                                </w:rPr>
                                <m:t>i</m:t>
                              </m:r>
                            </m:sub>
                          </m:sSub>
                        </m:e>
                      </m:nary>
                    </m:e>
                  </m:nary>
                </m:den>
              </m:f>
            </m:e>
          </m:d>
          <m:r>
            <m:rPr>
              <m:sty m:val="bi"/>
            </m:rPr>
            <w:rPr>
              <w:rFonts w:ascii="Cambria Math" w:hAnsi="Cambria Math"/>
            </w:rPr>
            <m:t>*20%MT</m:t>
          </m:r>
        </m:oMath>
      </m:oMathPara>
    </w:p>
    <w:p w14:paraId="477B8047" w14:textId="77777777" w:rsidR="007E36BB" w:rsidRPr="005A5874" w:rsidRDefault="007E36BB" w:rsidP="007E36BB">
      <w:pPr>
        <w:contextualSpacing/>
        <w:rPr>
          <w:rFonts w:asciiTheme="majorHAnsi" w:eastAsiaTheme="minorEastAsia" w:hAnsiTheme="majorHAnsi"/>
          <w:b/>
        </w:rPr>
      </w:pPr>
    </w:p>
    <w:p w14:paraId="67F4F324" w14:textId="685F09BA" w:rsidR="007E36BB" w:rsidRPr="005A5874" w:rsidRDefault="005A5874" w:rsidP="007E36BB">
      <w:pPr>
        <w:contextualSpacing/>
        <w:rPr>
          <w:rFonts w:asciiTheme="majorHAnsi" w:hAnsiTheme="majorHAnsi"/>
          <w:b/>
        </w:rPr>
      </w:pPr>
      <m:oMathPara>
        <m:oMath>
          <m:r>
            <m:rPr>
              <m:sty m:val="bi"/>
            </m:rPr>
            <w:rPr>
              <w:rFonts w:ascii="Cambria Math" w:hAnsi="Cambria Math"/>
            </w:rPr>
            <m:t>ASocT=</m:t>
          </m:r>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ASoc</m:t>
                  </m:r>
                </m:e>
                <m:sub>
                  <m:r>
                    <m:rPr>
                      <m:sty m:val="bi"/>
                    </m:rPr>
                    <w:rPr>
                      <w:rFonts w:ascii="Cambria Math" w:hAnsi="Cambria Math"/>
                    </w:rPr>
                    <m:t>i</m:t>
                  </m:r>
                </m:sub>
              </m:sSub>
            </m:e>
          </m:nary>
        </m:oMath>
      </m:oMathPara>
    </w:p>
    <w:p w14:paraId="3B2093A1" w14:textId="77777777" w:rsidR="007E36BB" w:rsidRPr="005A5874" w:rsidRDefault="007E36BB" w:rsidP="007E36BB">
      <w:pPr>
        <w:contextualSpacing/>
        <w:rPr>
          <w:rFonts w:asciiTheme="majorHAnsi" w:hAnsiTheme="majorHAnsi"/>
          <w:b/>
        </w:rPr>
      </w:pPr>
      <w:r w:rsidRPr="005A5874">
        <w:rPr>
          <w:rFonts w:asciiTheme="majorHAnsi" w:hAnsiTheme="majorHAnsi"/>
          <w:b/>
        </w:rPr>
        <w:t>Dónde:</w:t>
      </w:r>
    </w:p>
    <w:p w14:paraId="6BCC6260" w14:textId="77777777" w:rsidR="007E36BB" w:rsidRPr="005A5874" w:rsidRDefault="007E36BB" w:rsidP="007E36BB">
      <w:pPr>
        <w:contextualSpacing/>
        <w:rPr>
          <w:rFonts w:asciiTheme="majorHAnsi" w:hAnsiTheme="majorHAnsi"/>
          <w:b/>
        </w:rPr>
      </w:pPr>
    </w:p>
    <w:p w14:paraId="1AE6E361" w14:textId="23133FF5" w:rsidR="007E36BB" w:rsidRPr="005A5874" w:rsidRDefault="00FA2446" w:rsidP="007E36BB">
      <w:pPr>
        <w:contextualSpacing/>
        <w:rPr>
          <w:rFonts w:asciiTheme="majorHAnsi" w:eastAsiaTheme="minorEastAsia" w:hAnsiTheme="majorHAnsi"/>
          <w:b/>
        </w:rPr>
      </w:pPr>
      <m:oMath>
        <m:sSub>
          <m:sSubPr>
            <m:ctrlPr>
              <w:rPr>
                <w:rFonts w:ascii="Cambria Math" w:hAnsi="Cambria Math"/>
                <w:b/>
                <w:i/>
              </w:rPr>
            </m:ctrlPr>
          </m:sSubPr>
          <m:e>
            <m:r>
              <m:rPr>
                <m:sty m:val="bi"/>
              </m:rPr>
              <w:rPr>
                <w:rFonts w:ascii="Cambria Math" w:hAnsi="Cambria Math"/>
              </w:rPr>
              <m:t>Des</m:t>
            </m:r>
          </m:e>
          <m:sub>
            <m:r>
              <m:rPr>
                <m:sty m:val="bi"/>
              </m:rPr>
              <w:rPr>
                <w:rFonts w:ascii="Cambria Math" w:hAnsi="Cambria Math"/>
              </w:rPr>
              <m:t>i</m:t>
            </m:r>
          </m:sub>
        </m:sSub>
      </m:oMath>
      <w:r w:rsidR="007E36BB" w:rsidRPr="005A5874">
        <w:rPr>
          <w:rFonts w:asciiTheme="majorHAnsi" w:eastAsiaTheme="minorEastAsia" w:hAnsiTheme="majorHAnsi"/>
          <w:b/>
        </w:rPr>
        <w:t>= es el número de desempleo que registre el municipio i de acuerdo a la publicación más reciente INEGI.</w:t>
      </w:r>
    </w:p>
    <w:p w14:paraId="26ADC64C" w14:textId="27FC0776" w:rsidR="007E36BB" w:rsidRPr="005A5874" w:rsidRDefault="00FA2446" w:rsidP="007E36BB">
      <w:pPr>
        <w:contextualSpacing/>
        <w:rPr>
          <w:rFonts w:asciiTheme="majorHAnsi" w:eastAsiaTheme="minorEastAsia" w:hAnsiTheme="majorHAnsi"/>
          <w:b/>
        </w:rPr>
      </w:pPr>
      <m:oMath>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Des</m:t>
                </m:r>
              </m:e>
              <m:sub>
                <m:r>
                  <m:rPr>
                    <m:sty m:val="bi"/>
                  </m:rPr>
                  <w:rPr>
                    <w:rFonts w:ascii="Cambria Math" w:hAnsi="Cambria Math"/>
                  </w:rPr>
                  <m:t>i</m:t>
                </m:r>
              </m:sub>
            </m:sSub>
          </m:e>
        </m:nary>
      </m:oMath>
      <w:r w:rsidR="007E36BB" w:rsidRPr="005A5874">
        <w:rPr>
          <w:rFonts w:asciiTheme="majorHAnsi" w:eastAsiaTheme="minorEastAsia" w:hAnsiTheme="majorHAnsi"/>
          <w:b/>
        </w:rPr>
        <w:t>= es la suma total de desempleo de los municipios.</w:t>
      </w:r>
    </w:p>
    <w:p w14:paraId="739D2514" w14:textId="3C8DAE8A" w:rsidR="007E36BB" w:rsidRPr="005A5874" w:rsidRDefault="00FA2446" w:rsidP="007E36BB">
      <w:pPr>
        <w:contextualSpacing/>
        <w:rPr>
          <w:rFonts w:asciiTheme="majorHAnsi" w:eastAsiaTheme="minorEastAsia" w:hAnsiTheme="majorHAnsi"/>
          <w:b/>
        </w:rPr>
      </w:pPr>
      <m:oMath>
        <m:sSub>
          <m:sSubPr>
            <m:ctrlPr>
              <w:rPr>
                <w:rFonts w:ascii="Cambria Math" w:hAnsi="Cambria Math"/>
                <w:b/>
                <w:i/>
              </w:rPr>
            </m:ctrlPr>
          </m:sSubPr>
          <m:e>
            <m:r>
              <m:rPr>
                <m:sty m:val="bi"/>
              </m:rPr>
              <w:rPr>
                <w:rFonts w:ascii="Cambria Math" w:hAnsi="Cambria Math"/>
              </w:rPr>
              <m:t>CS</m:t>
            </m:r>
          </m:e>
          <m:sub>
            <m:r>
              <m:rPr>
                <m:sty m:val="bi"/>
              </m:rPr>
              <w:rPr>
                <w:rFonts w:ascii="Cambria Math" w:hAnsi="Cambria Math"/>
              </w:rPr>
              <m:t>i</m:t>
            </m:r>
          </m:sub>
        </m:sSub>
      </m:oMath>
      <w:r w:rsidR="007E36BB" w:rsidRPr="005A5874">
        <w:rPr>
          <w:rFonts w:asciiTheme="majorHAnsi" w:eastAsiaTheme="minorEastAsia" w:hAnsiTheme="majorHAnsi"/>
          <w:b/>
        </w:rPr>
        <w:t xml:space="preserve">= es la población del municipio i con la carencia por acceso a los servicios básicos en la vivienda, de acuerdo </w:t>
      </w:r>
      <w:r w:rsidR="00E62556" w:rsidRPr="005A5874">
        <w:rPr>
          <w:rFonts w:asciiTheme="majorHAnsi" w:eastAsiaTheme="minorEastAsia" w:hAnsiTheme="majorHAnsi"/>
          <w:b/>
        </w:rPr>
        <w:t>con</w:t>
      </w:r>
      <w:r w:rsidR="007E36BB" w:rsidRPr="005A5874">
        <w:rPr>
          <w:rFonts w:asciiTheme="majorHAnsi" w:eastAsiaTheme="minorEastAsia" w:hAnsiTheme="majorHAnsi"/>
          <w:b/>
        </w:rPr>
        <w:t xml:space="preserve"> la publicación más reciente del CONEVAL para la medición de la pobreza municipal.</w:t>
      </w:r>
    </w:p>
    <w:p w14:paraId="6EA45770" w14:textId="7705259E" w:rsidR="007E36BB" w:rsidRPr="005A5874" w:rsidRDefault="00FA2446" w:rsidP="007E36BB">
      <w:pPr>
        <w:contextualSpacing/>
        <w:rPr>
          <w:rFonts w:asciiTheme="majorHAnsi" w:eastAsiaTheme="minorEastAsia" w:hAnsiTheme="majorHAnsi"/>
          <w:b/>
        </w:rPr>
      </w:pPr>
      <m:oMath>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CS</m:t>
                </m:r>
              </m:e>
              <m:sub>
                <m:r>
                  <m:rPr>
                    <m:sty m:val="bi"/>
                  </m:rPr>
                  <w:rPr>
                    <w:rFonts w:ascii="Cambria Math" w:hAnsi="Cambria Math"/>
                  </w:rPr>
                  <m:t>i</m:t>
                </m:r>
              </m:sub>
            </m:sSub>
          </m:e>
        </m:nary>
      </m:oMath>
      <w:r w:rsidR="007E36BB" w:rsidRPr="005A5874">
        <w:rPr>
          <w:rFonts w:asciiTheme="majorHAnsi" w:eastAsiaTheme="minorEastAsia" w:hAnsiTheme="majorHAnsi"/>
          <w:b/>
        </w:rPr>
        <w:t xml:space="preserve">= es la suma total de la población de los municipios con la carencia por acceso a los servicios básicos en la vivienda, de acuerdo </w:t>
      </w:r>
      <w:r w:rsidR="008508F7" w:rsidRPr="005A5874">
        <w:rPr>
          <w:rFonts w:asciiTheme="majorHAnsi" w:eastAsiaTheme="minorEastAsia" w:hAnsiTheme="majorHAnsi"/>
          <w:b/>
        </w:rPr>
        <w:t>con</w:t>
      </w:r>
      <w:r w:rsidR="007E36BB" w:rsidRPr="005A5874">
        <w:rPr>
          <w:rFonts w:asciiTheme="majorHAnsi" w:eastAsiaTheme="minorEastAsia" w:hAnsiTheme="majorHAnsi"/>
          <w:b/>
        </w:rPr>
        <w:t xml:space="preserve"> la publicación más reciente del CONEVAL para la medición de la pobreza municipal.</w:t>
      </w:r>
    </w:p>
    <w:p w14:paraId="31BB6889" w14:textId="3FD0F61C" w:rsidR="007E36BB" w:rsidRPr="005A5874" w:rsidRDefault="005A5874" w:rsidP="007E36BB">
      <w:pPr>
        <w:contextualSpacing/>
        <w:rPr>
          <w:rFonts w:asciiTheme="majorHAnsi" w:eastAsiaTheme="minorEastAsia" w:hAnsiTheme="majorHAnsi"/>
          <w:b/>
        </w:rPr>
      </w:pPr>
      <m:oMath>
        <m:r>
          <m:rPr>
            <m:sty m:val="bi"/>
          </m:rPr>
          <w:rPr>
            <w:rFonts w:ascii="Cambria Math" w:eastAsiaTheme="minorEastAsia" w:hAnsi="Cambria Math"/>
          </w:rPr>
          <m:t>MT</m:t>
        </m:r>
      </m:oMath>
      <w:r w:rsidR="007E36BB" w:rsidRPr="005A5874">
        <w:rPr>
          <w:rFonts w:asciiTheme="majorHAnsi" w:eastAsiaTheme="minorEastAsia" w:hAnsiTheme="majorHAnsi"/>
          <w:b/>
        </w:rPr>
        <w:t>= es el monto del fondo que corresponde a los municipios.</w:t>
      </w:r>
    </w:p>
    <w:p w14:paraId="7DA62B8E" w14:textId="39F8676A" w:rsidR="007E36BB" w:rsidRPr="005A5874" w:rsidRDefault="00FA2446" w:rsidP="007E36BB">
      <w:pPr>
        <w:contextualSpacing/>
        <w:rPr>
          <w:rFonts w:asciiTheme="majorHAnsi" w:eastAsiaTheme="minorEastAsia" w:hAnsiTheme="majorHAnsi"/>
          <w:b/>
        </w:rPr>
      </w:pPr>
      <m:oMath>
        <m:sSub>
          <m:sSubPr>
            <m:ctrlPr>
              <w:rPr>
                <w:rFonts w:ascii="Cambria Math" w:hAnsi="Cambria Math"/>
                <w:b/>
                <w:i/>
              </w:rPr>
            </m:ctrlPr>
          </m:sSubPr>
          <m:e>
            <m:r>
              <m:rPr>
                <m:sty m:val="bi"/>
              </m:rPr>
              <w:rPr>
                <w:rFonts w:ascii="Cambria Math" w:hAnsi="Cambria Math"/>
              </w:rPr>
              <m:t>ASoc</m:t>
            </m:r>
          </m:e>
          <m:sub>
            <m:r>
              <m:rPr>
                <m:sty m:val="bi"/>
              </m:rPr>
              <w:rPr>
                <w:rFonts w:ascii="Cambria Math" w:hAnsi="Cambria Math"/>
              </w:rPr>
              <m:t>i</m:t>
            </m:r>
          </m:sub>
        </m:sSub>
        <m:r>
          <m:rPr>
            <m:sty m:val="bi"/>
          </m:rPr>
          <w:rPr>
            <w:rFonts w:ascii="Cambria Math" w:hAnsi="Cambria Math"/>
          </w:rPr>
          <m:t>=</m:t>
        </m:r>
      </m:oMath>
      <w:r w:rsidR="007E36BB" w:rsidRPr="005A5874">
        <w:rPr>
          <w:rFonts w:asciiTheme="majorHAnsi" w:eastAsiaTheme="minorEastAsia" w:hAnsiTheme="majorHAnsi"/>
          <w:b/>
        </w:rPr>
        <w:t xml:space="preserve"> es la Afectación Social del municipio i.</w:t>
      </w:r>
    </w:p>
    <w:p w14:paraId="6AE1D3FB" w14:textId="5D16D278" w:rsidR="007E36BB" w:rsidRPr="005A5874" w:rsidRDefault="00FA2446" w:rsidP="007E36BB">
      <w:pPr>
        <w:contextualSpacing/>
        <w:rPr>
          <w:rFonts w:asciiTheme="majorHAnsi" w:eastAsiaTheme="minorEastAsia" w:hAnsiTheme="majorHAnsi"/>
          <w:b/>
        </w:rPr>
      </w:pPr>
      <m:oMath>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ASoc</m:t>
                </m:r>
              </m:e>
              <m:sub>
                <m:r>
                  <m:rPr>
                    <m:sty m:val="bi"/>
                  </m:rPr>
                  <w:rPr>
                    <w:rFonts w:ascii="Cambria Math" w:hAnsi="Cambria Math"/>
                  </w:rPr>
                  <m:t>i</m:t>
                </m:r>
              </m:sub>
            </m:sSub>
          </m:e>
        </m:nary>
      </m:oMath>
      <w:r w:rsidR="007E36BB" w:rsidRPr="005A5874">
        <w:rPr>
          <w:rFonts w:asciiTheme="majorHAnsi" w:eastAsiaTheme="minorEastAsia" w:hAnsiTheme="majorHAnsi"/>
          <w:b/>
        </w:rPr>
        <w:t>= es la suma total de la Afectación Social de los municipios.</w:t>
      </w:r>
    </w:p>
    <w:p w14:paraId="748E2583" w14:textId="280900CF" w:rsidR="007E36BB" w:rsidRPr="005A5874" w:rsidRDefault="005A5874" w:rsidP="007E36BB">
      <w:pPr>
        <w:contextualSpacing/>
        <w:rPr>
          <w:rFonts w:asciiTheme="majorHAnsi" w:eastAsiaTheme="minorEastAsia" w:hAnsiTheme="majorHAnsi"/>
          <w:b/>
        </w:rPr>
      </w:pPr>
      <m:oMath>
        <m:r>
          <m:rPr>
            <m:sty m:val="bi"/>
          </m:rPr>
          <w:rPr>
            <w:rFonts w:ascii="Cambria Math" w:hAnsi="Cambria Math"/>
          </w:rPr>
          <m:t>ASocT</m:t>
        </m:r>
      </m:oMath>
      <w:r w:rsidR="007E36BB" w:rsidRPr="005A5874">
        <w:rPr>
          <w:rFonts w:asciiTheme="majorHAnsi" w:eastAsiaTheme="minorEastAsia" w:hAnsiTheme="majorHAnsi"/>
          <w:b/>
        </w:rPr>
        <w:t>= es la Afectación Social Total.</w:t>
      </w:r>
    </w:p>
    <w:p w14:paraId="0C4210FF" w14:textId="77777777" w:rsidR="007E36BB" w:rsidRPr="005A5874" w:rsidRDefault="007E36BB" w:rsidP="007E36BB">
      <w:pPr>
        <w:contextualSpacing/>
        <w:rPr>
          <w:rFonts w:asciiTheme="majorHAnsi" w:hAnsiTheme="majorHAnsi"/>
          <w:b/>
        </w:rPr>
      </w:pPr>
    </w:p>
    <w:p w14:paraId="5D92CA98" w14:textId="77777777" w:rsidR="007E36BB" w:rsidRPr="005A5874" w:rsidRDefault="007E36BB" w:rsidP="007E36BB">
      <w:pPr>
        <w:pStyle w:val="Prrafodelista"/>
        <w:ind w:hanging="261"/>
        <w:jc w:val="both"/>
        <w:rPr>
          <w:rFonts w:asciiTheme="majorHAnsi" w:hAnsiTheme="majorHAnsi" w:cs="Arial"/>
          <w:b/>
        </w:rPr>
      </w:pPr>
      <w:r w:rsidRPr="005A5874">
        <w:rPr>
          <w:rFonts w:asciiTheme="majorHAnsi" w:hAnsiTheme="majorHAnsi" w:cs="Arial"/>
          <w:b/>
        </w:rPr>
        <w:t xml:space="preserve">3. La fórmula para la determinación del 20 % en la proporción que representen los daños al entorno ecológico que registre, es la siguiente: </w:t>
      </w:r>
    </w:p>
    <w:p w14:paraId="63731FC1" w14:textId="77777777" w:rsidR="007E36BB" w:rsidRPr="005A5874" w:rsidRDefault="007E36BB" w:rsidP="007E36BB">
      <w:pPr>
        <w:contextualSpacing/>
        <w:rPr>
          <w:rFonts w:asciiTheme="majorHAnsi" w:hAnsiTheme="majorHAnsi"/>
          <w:b/>
        </w:rPr>
      </w:pPr>
    </w:p>
    <w:p w14:paraId="52961697" w14:textId="67B554FD" w:rsidR="007E36BB" w:rsidRPr="005A5874" w:rsidRDefault="00FA2446" w:rsidP="007E36BB">
      <w:pPr>
        <w:contextualSpacing/>
        <w:rPr>
          <w:rFonts w:asciiTheme="majorHAnsi" w:eastAsiaTheme="minorEastAsia" w:hAnsiTheme="majorHAnsi"/>
          <w:b/>
        </w:rPr>
      </w:pPr>
      <m:oMathPara>
        <m:oMath>
          <m:sSub>
            <m:sSubPr>
              <m:ctrlPr>
                <w:rPr>
                  <w:rFonts w:ascii="Cambria Math" w:hAnsi="Cambria Math"/>
                  <w:b/>
                  <w:i/>
                </w:rPr>
              </m:ctrlPr>
            </m:sSubPr>
            <m:e>
              <m:r>
                <m:rPr>
                  <m:sty m:val="bi"/>
                </m:rPr>
                <w:rPr>
                  <w:rFonts w:ascii="Cambria Math" w:hAnsi="Cambria Math"/>
                </w:rPr>
                <m:t>AEco</m:t>
              </m:r>
            </m:e>
            <m:sub>
              <m:r>
                <m:rPr>
                  <m:sty m:val="bi"/>
                </m:rPr>
                <w:rPr>
                  <w:rFonts w:ascii="Cambria Math" w:hAnsi="Cambria Math"/>
                </w:rPr>
                <m:t>i</m:t>
              </m:r>
            </m:sub>
          </m:sSub>
          <m:r>
            <m:rPr>
              <m:sty m:val="bi"/>
            </m:rPr>
            <w:rPr>
              <w:rFonts w:ascii="Cambria Math" w:hAnsi="Cambria Math"/>
            </w:rPr>
            <m:t xml:space="preserve">= </m:t>
          </m:r>
          <m:d>
            <m:dPr>
              <m:ctrlPr>
                <w:rPr>
                  <w:rFonts w:ascii="Cambria Math" w:hAnsi="Cambria Math"/>
                  <w:b/>
                  <w:i/>
                </w:rPr>
              </m:ctrlPr>
            </m:dPr>
            <m:e>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PP</m:t>
                      </m:r>
                    </m:e>
                    <m:sub>
                      <m:r>
                        <m:rPr>
                          <m:sty m:val="bi"/>
                        </m:rPr>
                        <w:rPr>
                          <w:rFonts w:ascii="Cambria Math" w:hAnsi="Cambria Math"/>
                        </w:rPr>
                        <m:t>i</m:t>
                      </m:r>
                    </m:sub>
                  </m:sSub>
                </m:num>
                <m:den>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PP</m:t>
                          </m:r>
                        </m:e>
                        <m:sub>
                          <m:r>
                            <m:rPr>
                              <m:sty m:val="bi"/>
                            </m:rPr>
                            <w:rPr>
                              <w:rFonts w:ascii="Cambria Math" w:hAnsi="Cambria Math"/>
                            </w:rPr>
                            <m:t>i</m:t>
                          </m:r>
                        </m:sub>
                      </m:sSub>
                      <m:r>
                        <m:rPr>
                          <m:sty m:val="bi"/>
                        </m:rP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ET</m:t>
                              </m:r>
                            </m:e>
                            <m:sub>
                              <m:r>
                                <m:rPr>
                                  <m:sty m:val="bi"/>
                                </m:rPr>
                                <w:rPr>
                                  <w:rFonts w:ascii="Cambria Math" w:hAnsi="Cambria Math"/>
                                </w:rPr>
                                <m:t>i</m:t>
                              </m:r>
                            </m:sub>
                          </m:sSub>
                        </m:e>
                      </m:nary>
                    </m:e>
                  </m:nary>
                </m:den>
              </m:f>
              <m:r>
                <m:rPr>
                  <m:sty m:val="bi"/>
                </m:rPr>
                <w:rPr>
                  <w:rFonts w:ascii="Cambria Math" w:hAnsi="Cambria Math"/>
                </w:rPr>
                <m:t xml:space="preserve">+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ET</m:t>
                      </m:r>
                    </m:e>
                    <m:sub>
                      <m:r>
                        <m:rPr>
                          <m:sty m:val="bi"/>
                        </m:rPr>
                        <w:rPr>
                          <w:rFonts w:ascii="Cambria Math" w:hAnsi="Cambria Math"/>
                        </w:rPr>
                        <m:t>i</m:t>
                      </m:r>
                    </m:sub>
                  </m:sSub>
                </m:num>
                <m:den>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PP</m:t>
                          </m:r>
                        </m:e>
                        <m:sub>
                          <m:r>
                            <m:rPr>
                              <m:sty m:val="bi"/>
                            </m:rPr>
                            <w:rPr>
                              <w:rFonts w:ascii="Cambria Math" w:hAnsi="Cambria Math"/>
                            </w:rPr>
                            <m:t>i</m:t>
                          </m:r>
                        </m:sub>
                      </m:sSub>
                      <m:r>
                        <m:rPr>
                          <m:sty m:val="bi"/>
                        </m:rPr>
                        <w:rPr>
                          <w:rFonts w:ascii="Cambria Math" w:hAnsi="Cambria Math"/>
                        </w:rPr>
                        <m:t>+</m:t>
                      </m:r>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ET</m:t>
                              </m:r>
                            </m:e>
                            <m:sub>
                              <m:r>
                                <m:rPr>
                                  <m:sty m:val="bi"/>
                                </m:rPr>
                                <w:rPr>
                                  <w:rFonts w:ascii="Cambria Math" w:hAnsi="Cambria Math"/>
                                </w:rPr>
                                <m:t>i</m:t>
                              </m:r>
                            </m:sub>
                          </m:sSub>
                        </m:e>
                      </m:nary>
                    </m:e>
                  </m:nary>
                </m:den>
              </m:f>
            </m:e>
          </m:d>
          <m:r>
            <m:rPr>
              <m:sty m:val="bi"/>
            </m:rPr>
            <w:rPr>
              <w:rFonts w:ascii="Cambria Math" w:hAnsi="Cambria Math"/>
            </w:rPr>
            <m:t>*20%MT</m:t>
          </m:r>
        </m:oMath>
      </m:oMathPara>
    </w:p>
    <w:p w14:paraId="62ED72C6" w14:textId="77777777" w:rsidR="007E36BB" w:rsidRPr="005A5874" w:rsidRDefault="007E36BB" w:rsidP="007E36BB">
      <w:pPr>
        <w:contextualSpacing/>
        <w:rPr>
          <w:rFonts w:asciiTheme="majorHAnsi" w:eastAsiaTheme="minorEastAsia" w:hAnsiTheme="majorHAnsi"/>
          <w:b/>
        </w:rPr>
      </w:pPr>
    </w:p>
    <w:p w14:paraId="4A59008D" w14:textId="05544EA0" w:rsidR="007E36BB" w:rsidRPr="005A5874" w:rsidRDefault="005A5874" w:rsidP="007E36BB">
      <w:pPr>
        <w:contextualSpacing/>
        <w:rPr>
          <w:rFonts w:asciiTheme="majorHAnsi" w:hAnsiTheme="majorHAnsi"/>
          <w:b/>
        </w:rPr>
      </w:pPr>
      <m:oMathPara>
        <m:oMath>
          <m:r>
            <m:rPr>
              <m:sty m:val="bi"/>
            </m:rPr>
            <w:rPr>
              <w:rFonts w:ascii="Cambria Math" w:hAnsi="Cambria Math"/>
            </w:rPr>
            <m:t>AEcoT=</m:t>
          </m:r>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AEco</m:t>
                  </m:r>
                </m:e>
                <m:sub>
                  <m:r>
                    <m:rPr>
                      <m:sty m:val="bi"/>
                    </m:rPr>
                    <w:rPr>
                      <w:rFonts w:ascii="Cambria Math" w:hAnsi="Cambria Math"/>
                    </w:rPr>
                    <m:t>i</m:t>
                  </m:r>
                </m:sub>
              </m:sSub>
            </m:e>
          </m:nary>
        </m:oMath>
      </m:oMathPara>
    </w:p>
    <w:p w14:paraId="53770D45" w14:textId="77777777" w:rsidR="007E36BB" w:rsidRPr="005A5874" w:rsidRDefault="007E36BB" w:rsidP="007E36BB">
      <w:pPr>
        <w:contextualSpacing/>
        <w:rPr>
          <w:rFonts w:asciiTheme="majorHAnsi" w:hAnsiTheme="majorHAnsi"/>
          <w:b/>
        </w:rPr>
      </w:pPr>
      <w:r w:rsidRPr="005A5874">
        <w:rPr>
          <w:rFonts w:asciiTheme="majorHAnsi" w:hAnsiTheme="majorHAnsi"/>
          <w:b/>
        </w:rPr>
        <w:t>Dónde:</w:t>
      </w:r>
    </w:p>
    <w:p w14:paraId="1944E710" w14:textId="77777777" w:rsidR="007E36BB" w:rsidRPr="005A5874" w:rsidRDefault="007E36BB" w:rsidP="007E36BB">
      <w:pPr>
        <w:contextualSpacing/>
        <w:rPr>
          <w:rFonts w:asciiTheme="majorHAnsi" w:hAnsiTheme="majorHAnsi"/>
          <w:b/>
        </w:rPr>
      </w:pPr>
    </w:p>
    <w:p w14:paraId="0360FFDF" w14:textId="516FC54B" w:rsidR="007E36BB" w:rsidRPr="005A5874" w:rsidRDefault="00FA2446" w:rsidP="007E36BB">
      <w:pPr>
        <w:contextualSpacing/>
        <w:rPr>
          <w:rFonts w:asciiTheme="majorHAnsi" w:eastAsiaTheme="minorEastAsia" w:hAnsiTheme="majorHAnsi"/>
          <w:b/>
        </w:rPr>
      </w:pPr>
      <m:oMath>
        <m:sSub>
          <m:sSubPr>
            <m:ctrlPr>
              <w:rPr>
                <w:rFonts w:ascii="Cambria Math" w:hAnsi="Cambria Math"/>
                <w:b/>
                <w:i/>
              </w:rPr>
            </m:ctrlPr>
          </m:sSubPr>
          <m:e>
            <m:r>
              <m:rPr>
                <m:sty m:val="bi"/>
              </m:rPr>
              <w:rPr>
                <w:rFonts w:ascii="Cambria Math" w:hAnsi="Cambria Math"/>
              </w:rPr>
              <m:t>PP</m:t>
            </m:r>
          </m:e>
          <m:sub>
            <m:r>
              <m:rPr>
                <m:sty m:val="bi"/>
              </m:rPr>
              <w:rPr>
                <w:rFonts w:ascii="Cambria Math" w:hAnsi="Cambria Math"/>
              </w:rPr>
              <m:t>i</m:t>
            </m:r>
          </m:sub>
        </m:sSub>
      </m:oMath>
      <w:r w:rsidR="007E36BB" w:rsidRPr="005A5874">
        <w:rPr>
          <w:rFonts w:asciiTheme="majorHAnsi" w:eastAsiaTheme="minorEastAsia" w:hAnsiTheme="majorHAnsi"/>
          <w:b/>
        </w:rPr>
        <w:t>= es el número de personas ocupadas en la actividad de la pesca en el municipio i de acuerdo a la publicación más reciente INEGI.</w:t>
      </w:r>
    </w:p>
    <w:p w14:paraId="3B44C42F" w14:textId="3AF91E99" w:rsidR="007E36BB" w:rsidRPr="005A5874" w:rsidRDefault="00FA2446" w:rsidP="007E36BB">
      <w:pPr>
        <w:contextualSpacing/>
        <w:rPr>
          <w:rFonts w:asciiTheme="majorHAnsi" w:eastAsiaTheme="minorEastAsia" w:hAnsiTheme="majorHAnsi"/>
          <w:b/>
        </w:rPr>
      </w:pPr>
      <m:oMath>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PP</m:t>
                </m:r>
              </m:e>
              <m:sub>
                <m:r>
                  <m:rPr>
                    <m:sty m:val="bi"/>
                  </m:rPr>
                  <w:rPr>
                    <w:rFonts w:ascii="Cambria Math" w:hAnsi="Cambria Math"/>
                  </w:rPr>
                  <m:t>i</m:t>
                </m:r>
              </m:sub>
            </m:sSub>
          </m:e>
        </m:nary>
      </m:oMath>
      <w:r w:rsidR="007E36BB" w:rsidRPr="005A5874">
        <w:rPr>
          <w:rFonts w:asciiTheme="majorHAnsi" w:eastAsiaTheme="minorEastAsia" w:hAnsiTheme="majorHAnsi"/>
          <w:b/>
        </w:rPr>
        <w:t>= es la suma total de personas ocupadas en la actividad de la pesca en los municipios.</w:t>
      </w:r>
    </w:p>
    <w:p w14:paraId="5827256D" w14:textId="342ECBED" w:rsidR="007E36BB" w:rsidRPr="005A5874" w:rsidRDefault="00FA2446" w:rsidP="007E36BB">
      <w:pPr>
        <w:contextualSpacing/>
        <w:rPr>
          <w:rFonts w:asciiTheme="majorHAnsi" w:eastAsiaTheme="minorEastAsia" w:hAnsiTheme="majorHAnsi"/>
          <w:b/>
        </w:rPr>
      </w:pPr>
      <m:oMath>
        <m:sSub>
          <m:sSubPr>
            <m:ctrlPr>
              <w:rPr>
                <w:rFonts w:ascii="Cambria Math" w:hAnsi="Cambria Math"/>
                <w:b/>
                <w:i/>
              </w:rPr>
            </m:ctrlPr>
          </m:sSubPr>
          <m:e>
            <m:r>
              <m:rPr>
                <m:sty m:val="bi"/>
              </m:rPr>
              <w:rPr>
                <w:rFonts w:ascii="Cambria Math" w:hAnsi="Cambria Math"/>
              </w:rPr>
              <m:t>ET</m:t>
            </m:r>
          </m:e>
          <m:sub>
            <m:r>
              <m:rPr>
                <m:sty m:val="bi"/>
              </m:rPr>
              <w:rPr>
                <w:rFonts w:ascii="Cambria Math" w:hAnsi="Cambria Math"/>
              </w:rPr>
              <m:t>i</m:t>
            </m:r>
          </m:sub>
        </m:sSub>
      </m:oMath>
      <w:r w:rsidR="007E36BB" w:rsidRPr="005A5874">
        <w:rPr>
          <w:rFonts w:asciiTheme="majorHAnsi" w:eastAsiaTheme="minorEastAsia" w:hAnsiTheme="majorHAnsi"/>
          <w:b/>
        </w:rPr>
        <w:t>= es la extensión territorial del municipio i de acuerdo a la publicación más reciente INEGI.</w:t>
      </w:r>
    </w:p>
    <w:p w14:paraId="70D3A514" w14:textId="658CE1D6" w:rsidR="007E36BB" w:rsidRPr="005A5874" w:rsidRDefault="00FA2446" w:rsidP="007E36BB">
      <w:pPr>
        <w:contextualSpacing/>
        <w:rPr>
          <w:rFonts w:asciiTheme="majorHAnsi" w:eastAsiaTheme="minorEastAsia" w:hAnsiTheme="majorHAnsi"/>
          <w:b/>
        </w:rPr>
      </w:pPr>
      <m:oMath>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
              <m:sSubPr>
                <m:ctrlPr>
                  <w:rPr>
                    <w:rFonts w:ascii="Cambria Math" w:hAnsi="Cambria Math"/>
                    <w:b/>
                    <w:i/>
                  </w:rPr>
                </m:ctrlPr>
              </m:sSubPr>
              <m:e>
                <m:r>
                  <m:rPr>
                    <m:sty m:val="bi"/>
                  </m:rPr>
                  <w:rPr>
                    <w:rFonts w:ascii="Cambria Math" w:hAnsi="Cambria Math"/>
                  </w:rPr>
                  <m:t>ET</m:t>
                </m:r>
              </m:e>
              <m:sub>
                <m:r>
                  <m:rPr>
                    <m:sty m:val="bi"/>
                  </m:rPr>
                  <w:rPr>
                    <w:rFonts w:ascii="Cambria Math" w:hAnsi="Cambria Math"/>
                  </w:rPr>
                  <m:t>i</m:t>
                </m:r>
              </m:sub>
            </m:sSub>
          </m:e>
        </m:nary>
      </m:oMath>
      <w:r w:rsidR="007E36BB" w:rsidRPr="005A5874">
        <w:rPr>
          <w:rFonts w:asciiTheme="majorHAnsi" w:eastAsiaTheme="minorEastAsia" w:hAnsiTheme="majorHAnsi"/>
          <w:b/>
        </w:rPr>
        <w:t>= es la suma total de extensión territorial de los municipios.</w:t>
      </w:r>
    </w:p>
    <w:p w14:paraId="0270F258" w14:textId="465D1C45" w:rsidR="007E36BB" w:rsidRPr="005A5874" w:rsidRDefault="005A5874" w:rsidP="007E36BB">
      <w:pPr>
        <w:contextualSpacing/>
        <w:rPr>
          <w:rFonts w:asciiTheme="majorHAnsi" w:eastAsiaTheme="minorEastAsia" w:hAnsiTheme="majorHAnsi"/>
          <w:b/>
        </w:rPr>
      </w:pPr>
      <m:oMath>
        <m:r>
          <m:rPr>
            <m:sty m:val="bi"/>
          </m:rPr>
          <w:rPr>
            <w:rFonts w:ascii="Cambria Math" w:eastAsiaTheme="minorEastAsia" w:hAnsi="Cambria Math"/>
          </w:rPr>
          <m:t>MT</m:t>
        </m:r>
      </m:oMath>
      <w:r w:rsidR="007E36BB" w:rsidRPr="005A5874">
        <w:rPr>
          <w:rFonts w:asciiTheme="majorHAnsi" w:eastAsiaTheme="minorEastAsia" w:hAnsiTheme="majorHAnsi"/>
          <w:b/>
        </w:rPr>
        <w:t>= es el monto del fondo que corresponde a los municipios.</w:t>
      </w:r>
    </w:p>
    <w:p w14:paraId="420DDA08" w14:textId="0ECC6BFD" w:rsidR="007E36BB" w:rsidRPr="005A5874" w:rsidRDefault="00FA2446" w:rsidP="007E36BB">
      <w:pPr>
        <w:contextualSpacing/>
        <w:rPr>
          <w:rFonts w:asciiTheme="majorHAnsi" w:eastAsiaTheme="minorEastAsia" w:hAnsiTheme="majorHAnsi"/>
          <w:b/>
        </w:rPr>
      </w:pPr>
      <m:oMath>
        <m:sSub>
          <m:sSubPr>
            <m:ctrlPr>
              <w:rPr>
                <w:rFonts w:ascii="Cambria Math" w:hAnsi="Cambria Math"/>
                <w:b/>
                <w:i/>
              </w:rPr>
            </m:ctrlPr>
          </m:sSubPr>
          <m:e>
            <m:r>
              <m:rPr>
                <m:sty m:val="bi"/>
              </m:rPr>
              <w:rPr>
                <w:rFonts w:ascii="Cambria Math" w:hAnsi="Cambria Math"/>
              </w:rPr>
              <m:t>AEco</m:t>
            </m:r>
          </m:e>
          <m:sub>
            <m:r>
              <m:rPr>
                <m:sty m:val="bi"/>
              </m:rPr>
              <w:rPr>
                <w:rFonts w:ascii="Cambria Math" w:hAnsi="Cambria Math"/>
              </w:rPr>
              <m:t>i</m:t>
            </m:r>
          </m:sub>
        </m:sSub>
      </m:oMath>
      <w:r w:rsidR="007E36BB" w:rsidRPr="005A5874">
        <w:rPr>
          <w:rFonts w:asciiTheme="majorHAnsi" w:eastAsiaTheme="minorEastAsia" w:hAnsiTheme="majorHAnsi"/>
          <w:b/>
        </w:rPr>
        <w:t>= es la Afectación Ecológica del municipio i.</w:t>
      </w:r>
    </w:p>
    <w:p w14:paraId="28724A5D" w14:textId="0FEDCF16" w:rsidR="007E36BB" w:rsidRPr="005A5874" w:rsidRDefault="00FA2446" w:rsidP="007E36BB">
      <w:pPr>
        <w:contextualSpacing/>
        <w:rPr>
          <w:rFonts w:asciiTheme="majorHAnsi" w:eastAsiaTheme="minorEastAsia" w:hAnsiTheme="majorHAnsi"/>
          <w:b/>
        </w:rPr>
      </w:pPr>
      <m:oMath>
        <m:nary>
          <m:naryPr>
            <m:chr m:val="∑"/>
            <m:limLoc m:val="undOvr"/>
            <m:ctrlPr>
              <w:rPr>
                <w:rFonts w:ascii="Cambria Math" w:eastAsiaTheme="minorEastAsia" w:hAnsi="Cambria Math"/>
                <w:b/>
              </w:rPr>
            </m:ctrlPr>
          </m:naryPr>
          <m:sub>
            <m:r>
              <m:rPr>
                <m:sty m:val="b"/>
              </m:rPr>
              <w:rPr>
                <w:rFonts w:ascii="Cambria Math" w:eastAsiaTheme="minorEastAsia" w:hAnsi="Cambria Math"/>
              </w:rPr>
              <m:t>i=1</m:t>
            </m:r>
          </m:sub>
          <m:sup>
            <m:r>
              <m:rPr>
                <m:sty m:val="b"/>
              </m:rPr>
              <w:rPr>
                <w:rFonts w:ascii="Cambria Math" w:eastAsiaTheme="minorEastAsia" w:hAnsi="Cambria Math"/>
              </w:rPr>
              <m:t>n</m:t>
            </m:r>
          </m:sup>
          <m:e>
            <m:r>
              <m:rPr>
                <m:sty m:val="b"/>
              </m:rPr>
              <w:rPr>
                <w:rFonts w:ascii="Cambria Math" w:eastAsiaTheme="minorEastAsia" w:hAnsi="Cambria Math"/>
              </w:rPr>
              <m:t>A</m:t>
            </m:r>
            <m:sSub>
              <m:sSubPr>
                <m:ctrlPr>
                  <w:rPr>
                    <w:rFonts w:ascii="Cambria Math" w:eastAsiaTheme="minorEastAsia" w:hAnsi="Cambria Math"/>
                    <w:b/>
                  </w:rPr>
                </m:ctrlPr>
              </m:sSubPr>
              <m:e>
                <m:r>
                  <m:rPr>
                    <m:sty m:val="b"/>
                  </m:rPr>
                  <w:rPr>
                    <w:rFonts w:ascii="Cambria Math" w:eastAsiaTheme="minorEastAsia" w:hAnsi="Cambria Math"/>
                  </w:rPr>
                  <m:t>Eco</m:t>
                </m:r>
              </m:e>
              <m:sub>
                <m:r>
                  <m:rPr>
                    <m:sty m:val="b"/>
                  </m:rPr>
                  <w:rPr>
                    <w:rFonts w:ascii="Cambria Math" w:eastAsiaTheme="minorEastAsia" w:hAnsi="Cambria Math"/>
                  </w:rPr>
                  <m:t>i</m:t>
                </m:r>
              </m:sub>
            </m:sSub>
          </m:e>
        </m:nary>
      </m:oMath>
      <w:r w:rsidR="007E36BB" w:rsidRPr="005A5874">
        <w:rPr>
          <w:rFonts w:asciiTheme="majorHAnsi" w:eastAsiaTheme="minorEastAsia" w:hAnsiTheme="majorHAnsi"/>
          <w:b/>
        </w:rPr>
        <w:t>= es la suma total de la Afectación Ecológica de los municipios.</w:t>
      </w:r>
    </w:p>
    <w:p w14:paraId="439B9A04" w14:textId="12FA0695" w:rsidR="007E36BB" w:rsidRPr="005A5874" w:rsidRDefault="005A5874" w:rsidP="007E36BB">
      <w:pPr>
        <w:contextualSpacing/>
        <w:rPr>
          <w:rFonts w:asciiTheme="majorHAnsi" w:eastAsiaTheme="minorEastAsia" w:hAnsiTheme="majorHAnsi"/>
          <w:b/>
        </w:rPr>
      </w:pPr>
      <m:oMath>
        <m:r>
          <m:rPr>
            <m:sty m:val="bi"/>
          </m:rPr>
          <w:rPr>
            <w:rFonts w:ascii="Cambria Math" w:hAnsi="Cambria Math"/>
          </w:rPr>
          <m:t>AEcoT</m:t>
        </m:r>
      </m:oMath>
      <w:r w:rsidR="007E36BB" w:rsidRPr="005A5874">
        <w:rPr>
          <w:rFonts w:asciiTheme="majorHAnsi" w:eastAsiaTheme="minorEastAsia" w:hAnsiTheme="majorHAnsi"/>
          <w:b/>
        </w:rPr>
        <w:t>= es la Afectación Ecológica Total.</w:t>
      </w:r>
    </w:p>
    <w:p w14:paraId="43706930" w14:textId="77777777" w:rsidR="007E36BB" w:rsidRPr="005A5874" w:rsidRDefault="007E36BB" w:rsidP="007E36BB">
      <w:pPr>
        <w:contextualSpacing/>
        <w:rPr>
          <w:rFonts w:asciiTheme="majorHAnsi" w:hAnsiTheme="majorHAnsi"/>
          <w:b/>
        </w:rPr>
      </w:pPr>
    </w:p>
    <w:p w14:paraId="4A803931" w14:textId="77777777" w:rsidR="007E36BB" w:rsidRPr="005A5874" w:rsidRDefault="007E36BB" w:rsidP="007E36BB">
      <w:pPr>
        <w:contextualSpacing/>
        <w:rPr>
          <w:rFonts w:asciiTheme="majorHAnsi" w:hAnsiTheme="majorHAnsi"/>
          <w:b/>
        </w:rPr>
      </w:pPr>
      <w:r w:rsidRPr="005A5874">
        <w:rPr>
          <w:rFonts w:asciiTheme="majorHAnsi" w:hAnsiTheme="majorHAnsi"/>
          <w:b/>
        </w:rPr>
        <w:t>Para su desarrollo se establecen las siguientes reglas:</w:t>
      </w:r>
    </w:p>
    <w:p w14:paraId="341EF613" w14:textId="77777777" w:rsidR="007E36BB" w:rsidRPr="005A5874" w:rsidRDefault="007E36BB" w:rsidP="007E36BB">
      <w:pPr>
        <w:contextualSpacing/>
        <w:rPr>
          <w:rFonts w:asciiTheme="majorHAnsi" w:hAnsiTheme="majorHAnsi"/>
          <w:b/>
        </w:rPr>
      </w:pPr>
    </w:p>
    <w:p w14:paraId="22D3189C" w14:textId="77777777" w:rsidR="007E36BB" w:rsidRPr="005A5874" w:rsidRDefault="007E36BB" w:rsidP="007E36BB">
      <w:pPr>
        <w:pStyle w:val="Prrafodelista"/>
        <w:numPr>
          <w:ilvl w:val="0"/>
          <w:numId w:val="45"/>
        </w:numPr>
        <w:spacing w:after="0" w:line="240" w:lineRule="auto"/>
        <w:jc w:val="both"/>
        <w:rPr>
          <w:rFonts w:asciiTheme="majorHAnsi" w:hAnsiTheme="majorHAnsi" w:cs="Arial"/>
          <w:b/>
        </w:rPr>
      </w:pPr>
      <w:r w:rsidRPr="005A5874">
        <w:rPr>
          <w:rFonts w:asciiTheme="majorHAnsi" w:hAnsiTheme="majorHAnsi" w:cs="Arial"/>
          <w:b/>
        </w:rPr>
        <w:t xml:space="preserve">Del total de los recursos otorgados en el ejercicio fiscal correspondiente, los municipios beneficiados solo podrán destinar hasta el 30%, para el rubro de pavimentación que establece la Regla Décima Cuarta, fracción IV del Capítulo III, de las Reglas de Operación para la distribución y aplicación del Fondo para Entidades Federativas y Municipios Productores de Hidrocarburos. De este porcentaje, se utilizará el 70% para Zonas de Atención Prioritaria (ZAP) vigentes, determinadas por el Consejo Nacional de Evaluación de la Política de Desarrollo Social (CONEVAL). </w:t>
      </w:r>
    </w:p>
    <w:p w14:paraId="1763ED1E" w14:textId="77777777" w:rsidR="007E36BB" w:rsidRPr="005A5874" w:rsidRDefault="007E36BB" w:rsidP="007E36BB">
      <w:pPr>
        <w:pStyle w:val="Prrafodelista"/>
        <w:jc w:val="both"/>
        <w:rPr>
          <w:rFonts w:asciiTheme="majorHAnsi" w:hAnsiTheme="majorHAnsi" w:cs="Arial"/>
          <w:b/>
        </w:rPr>
      </w:pPr>
    </w:p>
    <w:p w14:paraId="6F8C6692" w14:textId="77777777" w:rsidR="007E36BB" w:rsidRPr="005A5874" w:rsidRDefault="007E36BB" w:rsidP="007E36BB">
      <w:pPr>
        <w:pStyle w:val="Prrafodelista"/>
        <w:numPr>
          <w:ilvl w:val="0"/>
          <w:numId w:val="45"/>
        </w:numPr>
        <w:spacing w:after="0" w:line="240" w:lineRule="auto"/>
        <w:jc w:val="both"/>
        <w:rPr>
          <w:rFonts w:asciiTheme="majorHAnsi" w:hAnsiTheme="majorHAnsi" w:cs="Arial"/>
          <w:b/>
        </w:rPr>
      </w:pPr>
      <w:r w:rsidRPr="005A5874">
        <w:rPr>
          <w:rFonts w:asciiTheme="majorHAnsi" w:hAnsiTheme="majorHAnsi" w:cs="Arial"/>
          <w:b/>
        </w:rPr>
        <w:t>En el ejercicio de los Recursos se deberá dar prioridad a aquellas acciones encaminadas, a garantizar el desarrollo de un ambiente saludable y equilibrado, así como a mejorar las condiciones sociales en las que se desarrollan los habitantes.</w:t>
      </w:r>
    </w:p>
    <w:p w14:paraId="01F768CB" w14:textId="77777777" w:rsidR="007E36BB" w:rsidRPr="001133F6" w:rsidRDefault="007E36BB" w:rsidP="001133F6">
      <w:pPr>
        <w:spacing w:line="360" w:lineRule="auto"/>
        <w:ind w:right="-232"/>
        <w:rPr>
          <w:rFonts w:asciiTheme="majorHAnsi" w:hAnsiTheme="majorHAnsi" w:cstheme="majorHAnsi"/>
          <w:b/>
          <w:szCs w:val="24"/>
          <w:lang w:val="es-MX"/>
        </w:rPr>
      </w:pPr>
    </w:p>
    <w:p w14:paraId="024C99F0" w14:textId="3B99CCDA" w:rsidR="00754A03" w:rsidRPr="007E36BB" w:rsidRDefault="007E36BB" w:rsidP="0069677C">
      <w:pPr>
        <w:pStyle w:val="Prrafodelista"/>
        <w:numPr>
          <w:ilvl w:val="0"/>
          <w:numId w:val="44"/>
        </w:numPr>
        <w:spacing w:line="360" w:lineRule="auto"/>
        <w:ind w:left="426" w:right="-232" w:hanging="426"/>
        <w:jc w:val="both"/>
        <w:rPr>
          <w:rFonts w:asciiTheme="majorHAnsi" w:hAnsiTheme="majorHAnsi" w:cstheme="majorHAnsi"/>
          <w:szCs w:val="24"/>
          <w:lang w:val="es-MX"/>
        </w:rPr>
      </w:pPr>
      <w:r w:rsidRPr="007E36BB">
        <w:rPr>
          <w:rFonts w:asciiTheme="majorHAnsi" w:hAnsiTheme="majorHAnsi" w:cstheme="majorHAnsi"/>
          <w:szCs w:val="24"/>
          <w:lang w:val="es-MX"/>
        </w:rPr>
        <w:t>…</w:t>
      </w:r>
    </w:p>
    <w:p w14:paraId="16549AE5" w14:textId="3C543816" w:rsidR="007E36BB" w:rsidRPr="007E36BB" w:rsidRDefault="007E36BB" w:rsidP="0069677C">
      <w:pPr>
        <w:pStyle w:val="Prrafodelista"/>
        <w:numPr>
          <w:ilvl w:val="0"/>
          <w:numId w:val="44"/>
        </w:numPr>
        <w:spacing w:line="360" w:lineRule="auto"/>
        <w:ind w:left="426" w:right="-232" w:hanging="426"/>
        <w:jc w:val="both"/>
        <w:rPr>
          <w:rFonts w:asciiTheme="majorHAnsi" w:hAnsiTheme="majorHAnsi" w:cstheme="majorHAnsi"/>
          <w:szCs w:val="24"/>
          <w:lang w:val="es-MX"/>
        </w:rPr>
      </w:pPr>
      <w:r w:rsidRPr="007E36BB">
        <w:rPr>
          <w:rFonts w:asciiTheme="majorHAnsi" w:hAnsiTheme="majorHAnsi" w:cstheme="majorHAnsi"/>
          <w:szCs w:val="24"/>
          <w:lang w:val="es-MX"/>
        </w:rPr>
        <w:t>…</w:t>
      </w:r>
    </w:p>
    <w:p w14:paraId="5FC20D4F" w14:textId="19F7065C" w:rsidR="000D7809" w:rsidRPr="00C37645" w:rsidRDefault="00026517" w:rsidP="000D7809">
      <w:pPr>
        <w:spacing w:line="360" w:lineRule="auto"/>
        <w:ind w:right="-232"/>
        <w:rPr>
          <w:rFonts w:asciiTheme="majorHAnsi" w:hAnsiTheme="majorHAnsi" w:cstheme="majorHAnsi"/>
          <w:szCs w:val="24"/>
          <w:lang w:val="es-MX"/>
        </w:rPr>
      </w:pPr>
      <w:r>
        <w:rPr>
          <w:rFonts w:asciiTheme="majorHAnsi" w:hAnsiTheme="majorHAnsi" w:cstheme="majorHAnsi"/>
          <w:b/>
          <w:szCs w:val="24"/>
          <w:lang w:val="es-MX"/>
        </w:rPr>
        <w:t xml:space="preserve">ARTÍCULO TERCERO. Se reforman </w:t>
      </w:r>
      <w:r w:rsidRPr="00026517">
        <w:rPr>
          <w:rFonts w:asciiTheme="majorHAnsi" w:hAnsiTheme="majorHAnsi" w:cstheme="majorHAnsi"/>
          <w:szCs w:val="24"/>
          <w:lang w:val="es-MX"/>
        </w:rPr>
        <w:t>las fraccio</w:t>
      </w:r>
      <w:r w:rsidR="007D2B66">
        <w:rPr>
          <w:rFonts w:asciiTheme="majorHAnsi" w:hAnsiTheme="majorHAnsi" w:cstheme="majorHAnsi"/>
          <w:szCs w:val="24"/>
          <w:lang w:val="es-MX"/>
        </w:rPr>
        <w:t>nes I, II y III del artículo 75</w:t>
      </w:r>
      <w:r w:rsidR="001519F9">
        <w:rPr>
          <w:rFonts w:asciiTheme="majorHAnsi" w:hAnsiTheme="majorHAnsi" w:cstheme="majorHAnsi"/>
          <w:szCs w:val="24"/>
          <w:lang w:val="es-MX"/>
        </w:rPr>
        <w:t xml:space="preserve">; la fracción VI, X, XI, XIII, XVI, XXIII del </w:t>
      </w:r>
      <w:r w:rsidR="00652580">
        <w:rPr>
          <w:rFonts w:asciiTheme="majorHAnsi" w:hAnsiTheme="majorHAnsi" w:cstheme="majorHAnsi"/>
          <w:szCs w:val="24"/>
          <w:lang w:val="es-MX"/>
        </w:rPr>
        <w:t>artículo</w:t>
      </w:r>
      <w:r w:rsidR="001519F9">
        <w:rPr>
          <w:rFonts w:asciiTheme="majorHAnsi" w:hAnsiTheme="majorHAnsi" w:cstheme="majorHAnsi"/>
          <w:szCs w:val="24"/>
          <w:lang w:val="es-MX"/>
        </w:rPr>
        <w:t xml:space="preserve"> </w:t>
      </w:r>
      <w:r w:rsidR="00652580" w:rsidRPr="00652580">
        <w:rPr>
          <w:rFonts w:asciiTheme="majorHAnsi" w:hAnsiTheme="majorHAnsi" w:cstheme="majorHAnsi"/>
          <w:szCs w:val="24"/>
          <w:lang w:val="es-MX"/>
        </w:rPr>
        <w:t>sexto</w:t>
      </w:r>
      <w:r w:rsidR="001519F9">
        <w:rPr>
          <w:rFonts w:asciiTheme="majorHAnsi" w:hAnsiTheme="majorHAnsi" w:cstheme="majorHAnsi"/>
          <w:szCs w:val="24"/>
          <w:lang w:val="es-MX"/>
        </w:rPr>
        <w:t xml:space="preserve"> del anexo primero</w:t>
      </w:r>
      <w:r w:rsidR="00EA6027">
        <w:rPr>
          <w:rFonts w:asciiTheme="majorHAnsi" w:hAnsiTheme="majorHAnsi" w:cstheme="majorHAnsi"/>
          <w:szCs w:val="24"/>
          <w:lang w:val="es-MX"/>
        </w:rPr>
        <w:t xml:space="preserve">; la fracción XXXII y XXXVI al </w:t>
      </w:r>
      <w:r w:rsidR="00652580">
        <w:rPr>
          <w:rFonts w:asciiTheme="majorHAnsi" w:hAnsiTheme="majorHAnsi" w:cstheme="majorHAnsi"/>
          <w:szCs w:val="24"/>
          <w:lang w:val="es-MX"/>
        </w:rPr>
        <w:t>artículo</w:t>
      </w:r>
      <w:r w:rsidR="00EA6027">
        <w:rPr>
          <w:rFonts w:asciiTheme="majorHAnsi" w:hAnsiTheme="majorHAnsi" w:cstheme="majorHAnsi"/>
          <w:szCs w:val="24"/>
          <w:lang w:val="es-MX"/>
        </w:rPr>
        <w:t xml:space="preserve"> décimo segundo del anexo primero; la fracción XXIII del </w:t>
      </w:r>
      <w:r w:rsidR="00652580">
        <w:rPr>
          <w:rFonts w:asciiTheme="majorHAnsi" w:hAnsiTheme="majorHAnsi" w:cstheme="majorHAnsi"/>
          <w:szCs w:val="24"/>
          <w:lang w:val="es-MX"/>
        </w:rPr>
        <w:t>artículo</w:t>
      </w:r>
      <w:r w:rsidR="00EA6027">
        <w:rPr>
          <w:rFonts w:asciiTheme="majorHAnsi" w:hAnsiTheme="majorHAnsi" w:cstheme="majorHAnsi"/>
          <w:szCs w:val="24"/>
          <w:lang w:val="es-MX"/>
        </w:rPr>
        <w:t xml:space="preserve"> décimo noveno</w:t>
      </w:r>
      <w:r w:rsidR="00652580">
        <w:rPr>
          <w:rFonts w:asciiTheme="majorHAnsi" w:hAnsiTheme="majorHAnsi" w:cstheme="majorHAnsi"/>
          <w:szCs w:val="24"/>
          <w:lang w:val="es-MX"/>
        </w:rPr>
        <w:t xml:space="preserve"> del anexo primero</w:t>
      </w:r>
      <w:r w:rsidR="001B7199">
        <w:rPr>
          <w:rFonts w:asciiTheme="majorHAnsi" w:hAnsiTheme="majorHAnsi" w:cstheme="majorHAnsi"/>
          <w:szCs w:val="24"/>
          <w:lang w:val="es-MX"/>
        </w:rPr>
        <w:t xml:space="preserve">; </w:t>
      </w:r>
      <w:r w:rsidR="00286C51">
        <w:rPr>
          <w:rFonts w:asciiTheme="majorHAnsi" w:hAnsiTheme="majorHAnsi" w:cstheme="majorHAnsi"/>
          <w:szCs w:val="24"/>
          <w:lang w:val="es-MX"/>
        </w:rPr>
        <w:t xml:space="preserve">los </w:t>
      </w:r>
      <w:r w:rsidR="00652580">
        <w:rPr>
          <w:rFonts w:asciiTheme="majorHAnsi" w:hAnsiTheme="majorHAnsi" w:cstheme="majorHAnsi"/>
          <w:szCs w:val="24"/>
          <w:lang w:val="es-MX"/>
        </w:rPr>
        <w:t>numerales</w:t>
      </w:r>
      <w:r w:rsidR="00286C51">
        <w:rPr>
          <w:rFonts w:asciiTheme="majorHAnsi" w:hAnsiTheme="majorHAnsi" w:cstheme="majorHAnsi"/>
          <w:szCs w:val="24"/>
          <w:lang w:val="es-MX"/>
        </w:rPr>
        <w:t xml:space="preserve"> 2.4.1., 7.3.6. y 7.5.1. del </w:t>
      </w:r>
      <w:r w:rsidR="00652580">
        <w:rPr>
          <w:rFonts w:asciiTheme="majorHAnsi" w:hAnsiTheme="majorHAnsi" w:cstheme="majorHAnsi"/>
          <w:szCs w:val="24"/>
          <w:lang w:val="es-MX"/>
        </w:rPr>
        <w:t>artículo</w:t>
      </w:r>
      <w:r w:rsidR="00286C51">
        <w:rPr>
          <w:rFonts w:asciiTheme="majorHAnsi" w:hAnsiTheme="majorHAnsi" w:cstheme="majorHAnsi"/>
          <w:szCs w:val="24"/>
          <w:lang w:val="es-MX"/>
        </w:rPr>
        <w:t xml:space="preserve"> vigésimo tercero del anexo prim</w:t>
      </w:r>
      <w:r w:rsidR="00652580">
        <w:rPr>
          <w:rFonts w:asciiTheme="majorHAnsi" w:hAnsiTheme="majorHAnsi" w:cstheme="majorHAnsi"/>
          <w:szCs w:val="24"/>
          <w:lang w:val="es-MX"/>
        </w:rPr>
        <w:t>er</w:t>
      </w:r>
      <w:r w:rsidR="00286C51">
        <w:rPr>
          <w:rFonts w:asciiTheme="majorHAnsi" w:hAnsiTheme="majorHAnsi" w:cstheme="majorHAnsi"/>
          <w:szCs w:val="24"/>
          <w:lang w:val="es-MX"/>
        </w:rPr>
        <w:t xml:space="preserve">o; </w:t>
      </w:r>
      <w:r w:rsidR="00192E66">
        <w:rPr>
          <w:rFonts w:asciiTheme="majorHAnsi" w:hAnsiTheme="majorHAnsi" w:cstheme="majorHAnsi"/>
          <w:b/>
          <w:szCs w:val="24"/>
          <w:lang w:val="es-MX"/>
        </w:rPr>
        <w:t>s</w:t>
      </w:r>
      <w:r>
        <w:rPr>
          <w:rFonts w:asciiTheme="majorHAnsi" w:hAnsiTheme="majorHAnsi" w:cstheme="majorHAnsi"/>
          <w:b/>
          <w:szCs w:val="24"/>
          <w:lang w:val="es-MX"/>
        </w:rPr>
        <w:t xml:space="preserve">e adiciona </w:t>
      </w:r>
      <w:r w:rsidRPr="00026517">
        <w:rPr>
          <w:rFonts w:asciiTheme="majorHAnsi" w:hAnsiTheme="majorHAnsi" w:cstheme="majorHAnsi"/>
          <w:szCs w:val="24"/>
          <w:lang w:val="es-MX"/>
        </w:rPr>
        <w:t>la fracción XI, al artículo 75</w:t>
      </w:r>
      <w:r w:rsidR="0054698C">
        <w:rPr>
          <w:rFonts w:asciiTheme="majorHAnsi" w:hAnsiTheme="majorHAnsi" w:cstheme="majorHAnsi"/>
          <w:szCs w:val="24"/>
          <w:lang w:val="es-MX"/>
        </w:rPr>
        <w:t xml:space="preserve">; las fracciones XI, </w:t>
      </w:r>
      <w:r w:rsidR="00C37645">
        <w:rPr>
          <w:rFonts w:asciiTheme="majorHAnsi" w:hAnsiTheme="majorHAnsi" w:cstheme="majorHAnsi"/>
          <w:szCs w:val="24"/>
          <w:lang w:val="es-MX"/>
        </w:rPr>
        <w:t>XII</w:t>
      </w:r>
      <w:r w:rsidR="0054698C">
        <w:rPr>
          <w:rFonts w:asciiTheme="majorHAnsi" w:hAnsiTheme="majorHAnsi" w:cstheme="majorHAnsi"/>
          <w:szCs w:val="24"/>
          <w:lang w:val="es-MX"/>
        </w:rPr>
        <w:t>, XIII y XIV</w:t>
      </w:r>
      <w:r w:rsidR="00C37645">
        <w:rPr>
          <w:rFonts w:asciiTheme="majorHAnsi" w:hAnsiTheme="majorHAnsi" w:cstheme="majorHAnsi"/>
          <w:szCs w:val="24"/>
          <w:lang w:val="es-MX"/>
        </w:rPr>
        <w:t xml:space="preserve"> al artículo 116</w:t>
      </w:r>
      <w:r w:rsidR="00EA6027">
        <w:rPr>
          <w:rFonts w:asciiTheme="majorHAnsi" w:hAnsiTheme="majorHAnsi" w:cstheme="majorHAnsi"/>
          <w:szCs w:val="24"/>
          <w:lang w:val="es-MX"/>
        </w:rPr>
        <w:t xml:space="preserve">; las fracciones XX, XXI, XXII, XXIII, XXIV, XXV, XXVI, XXVII, XXVIII, XXIX, XXX y XXXI, del </w:t>
      </w:r>
      <w:r w:rsidR="00652580">
        <w:rPr>
          <w:rFonts w:asciiTheme="majorHAnsi" w:hAnsiTheme="majorHAnsi" w:cstheme="majorHAnsi"/>
          <w:szCs w:val="24"/>
          <w:lang w:val="es-MX"/>
        </w:rPr>
        <w:t>artículo</w:t>
      </w:r>
      <w:r w:rsidR="00EA6027">
        <w:rPr>
          <w:rFonts w:asciiTheme="majorHAnsi" w:hAnsiTheme="majorHAnsi" w:cstheme="majorHAnsi"/>
          <w:szCs w:val="24"/>
          <w:lang w:val="es-MX"/>
        </w:rPr>
        <w:t xml:space="preserve"> s</w:t>
      </w:r>
      <w:r w:rsidR="00286C51">
        <w:rPr>
          <w:rFonts w:asciiTheme="majorHAnsi" w:hAnsiTheme="majorHAnsi" w:cstheme="majorHAnsi"/>
          <w:szCs w:val="24"/>
          <w:lang w:val="es-MX"/>
        </w:rPr>
        <w:t xml:space="preserve">éptimo del anexo primero; los </w:t>
      </w:r>
      <w:r w:rsidR="00652580">
        <w:rPr>
          <w:rFonts w:asciiTheme="majorHAnsi" w:hAnsiTheme="majorHAnsi" w:cstheme="majorHAnsi"/>
          <w:szCs w:val="24"/>
          <w:lang w:val="es-MX"/>
        </w:rPr>
        <w:t xml:space="preserve">numerales </w:t>
      </w:r>
      <w:r w:rsidR="00286C51">
        <w:rPr>
          <w:rFonts w:asciiTheme="majorHAnsi" w:hAnsiTheme="majorHAnsi" w:cstheme="majorHAnsi"/>
          <w:szCs w:val="24"/>
          <w:lang w:val="es-MX"/>
        </w:rPr>
        <w:t xml:space="preserve">9.1.1. y 9.1.2. al </w:t>
      </w:r>
      <w:r w:rsidR="00652580">
        <w:rPr>
          <w:rFonts w:asciiTheme="majorHAnsi" w:hAnsiTheme="majorHAnsi" w:cstheme="majorHAnsi"/>
          <w:szCs w:val="24"/>
          <w:lang w:val="es-MX"/>
        </w:rPr>
        <w:t>artículo</w:t>
      </w:r>
      <w:r w:rsidR="00286C51" w:rsidRPr="00652580">
        <w:rPr>
          <w:rFonts w:asciiTheme="majorHAnsi" w:hAnsiTheme="majorHAnsi" w:cstheme="majorHAnsi"/>
          <w:szCs w:val="24"/>
          <w:lang w:val="es-MX"/>
        </w:rPr>
        <w:t xml:space="preserve"> vigésimo tercero</w:t>
      </w:r>
      <w:r w:rsidR="00652580">
        <w:rPr>
          <w:rFonts w:asciiTheme="majorHAnsi" w:hAnsiTheme="majorHAnsi" w:cstheme="majorHAnsi"/>
          <w:szCs w:val="24"/>
          <w:lang w:val="es-MX"/>
        </w:rPr>
        <w:t xml:space="preserve"> del anexo primero</w:t>
      </w:r>
      <w:r w:rsidR="001B7199">
        <w:rPr>
          <w:rFonts w:asciiTheme="majorHAnsi" w:hAnsiTheme="majorHAnsi" w:cstheme="majorHAnsi"/>
          <w:szCs w:val="24"/>
          <w:lang w:val="es-MX"/>
        </w:rPr>
        <w:t xml:space="preserve">; </w:t>
      </w:r>
      <w:r w:rsidR="001B7199" w:rsidRPr="001B7199">
        <w:rPr>
          <w:rFonts w:asciiTheme="majorHAnsi" w:hAnsiTheme="majorHAnsi" w:cstheme="majorHAnsi"/>
          <w:b/>
          <w:szCs w:val="24"/>
          <w:lang w:val="es-MX"/>
        </w:rPr>
        <w:t>se derogan</w:t>
      </w:r>
      <w:r w:rsidR="001B7199">
        <w:rPr>
          <w:rFonts w:asciiTheme="majorHAnsi" w:hAnsiTheme="majorHAnsi" w:cstheme="majorHAnsi"/>
          <w:b/>
          <w:szCs w:val="24"/>
          <w:lang w:val="es-MX"/>
        </w:rPr>
        <w:t xml:space="preserve"> </w:t>
      </w:r>
      <w:r w:rsidR="001B7199" w:rsidRPr="001B7199">
        <w:rPr>
          <w:rFonts w:asciiTheme="majorHAnsi" w:hAnsiTheme="majorHAnsi" w:cstheme="majorHAnsi"/>
          <w:szCs w:val="24"/>
          <w:lang w:val="es-MX"/>
        </w:rPr>
        <w:t xml:space="preserve">las </w:t>
      </w:r>
      <w:r w:rsidR="001B7199">
        <w:rPr>
          <w:rFonts w:asciiTheme="majorHAnsi" w:hAnsiTheme="majorHAnsi" w:cstheme="majorHAnsi"/>
          <w:szCs w:val="24"/>
          <w:lang w:val="es-MX"/>
        </w:rPr>
        <w:t xml:space="preserve">fracciones I, II del </w:t>
      </w:r>
      <w:r w:rsidR="00652580">
        <w:rPr>
          <w:rFonts w:asciiTheme="majorHAnsi" w:hAnsiTheme="majorHAnsi" w:cstheme="majorHAnsi"/>
          <w:szCs w:val="24"/>
          <w:lang w:val="es-MX"/>
        </w:rPr>
        <w:t>artículo</w:t>
      </w:r>
      <w:r w:rsidR="001B7199">
        <w:rPr>
          <w:rFonts w:asciiTheme="majorHAnsi" w:hAnsiTheme="majorHAnsi" w:cstheme="majorHAnsi"/>
          <w:szCs w:val="24"/>
          <w:lang w:val="es-MX"/>
        </w:rPr>
        <w:t xml:space="preserve"> sexto del anexo primero</w:t>
      </w:r>
      <w:r w:rsidR="00EA6027">
        <w:rPr>
          <w:rFonts w:asciiTheme="majorHAnsi" w:hAnsiTheme="majorHAnsi" w:cstheme="majorHAnsi"/>
          <w:szCs w:val="24"/>
          <w:lang w:val="es-MX"/>
        </w:rPr>
        <w:t>; los incisos d), e), f), g), h), i), j), k), l), m), n), o), p), q), r), s), t), u), v), w), x), y), z), aa), bb), cc), dd), ee), ff) y gg) de la fracción</w:t>
      </w:r>
      <w:r w:rsidR="00594277">
        <w:rPr>
          <w:rFonts w:asciiTheme="majorHAnsi" w:hAnsiTheme="majorHAnsi" w:cstheme="majorHAnsi"/>
          <w:szCs w:val="24"/>
          <w:lang w:val="es-MX"/>
        </w:rPr>
        <w:t xml:space="preserve"> </w:t>
      </w:r>
      <w:r w:rsidR="00EA6027">
        <w:rPr>
          <w:rFonts w:asciiTheme="majorHAnsi" w:hAnsiTheme="majorHAnsi" w:cstheme="majorHAnsi"/>
          <w:szCs w:val="24"/>
          <w:lang w:val="es-MX"/>
        </w:rPr>
        <w:t xml:space="preserve">XXXVI del </w:t>
      </w:r>
      <w:r w:rsidR="00652580">
        <w:rPr>
          <w:rFonts w:asciiTheme="majorHAnsi" w:hAnsiTheme="majorHAnsi" w:cstheme="majorHAnsi"/>
          <w:szCs w:val="24"/>
          <w:lang w:val="es-MX"/>
        </w:rPr>
        <w:t>artículo</w:t>
      </w:r>
      <w:r w:rsidR="00EA6027">
        <w:rPr>
          <w:rFonts w:asciiTheme="majorHAnsi" w:hAnsiTheme="majorHAnsi" w:cstheme="majorHAnsi"/>
          <w:szCs w:val="24"/>
          <w:lang w:val="es-MX"/>
        </w:rPr>
        <w:t xml:space="preserve"> décimo segundo</w:t>
      </w:r>
      <w:r w:rsidR="00652580">
        <w:rPr>
          <w:rFonts w:asciiTheme="majorHAnsi" w:hAnsiTheme="majorHAnsi" w:cstheme="majorHAnsi"/>
          <w:szCs w:val="24"/>
          <w:lang w:val="es-MX"/>
        </w:rPr>
        <w:t xml:space="preserve"> del anexo</w:t>
      </w:r>
      <w:r w:rsidR="00617D37">
        <w:rPr>
          <w:rFonts w:asciiTheme="majorHAnsi" w:hAnsiTheme="majorHAnsi" w:cstheme="majorHAnsi"/>
          <w:szCs w:val="24"/>
          <w:lang w:val="es-MX"/>
        </w:rPr>
        <w:t xml:space="preserve"> primero</w:t>
      </w:r>
      <w:r w:rsidR="00C37645">
        <w:rPr>
          <w:rFonts w:asciiTheme="majorHAnsi" w:hAnsiTheme="majorHAnsi" w:cstheme="majorHAnsi"/>
          <w:szCs w:val="24"/>
          <w:lang w:val="es-MX"/>
        </w:rPr>
        <w:t>, todos</w:t>
      </w:r>
      <w:r w:rsidRPr="00026517">
        <w:rPr>
          <w:rFonts w:asciiTheme="majorHAnsi" w:hAnsiTheme="majorHAnsi" w:cstheme="majorHAnsi"/>
          <w:szCs w:val="24"/>
          <w:lang w:val="es-MX"/>
        </w:rPr>
        <w:t xml:space="preserve"> de la</w:t>
      </w:r>
      <w:r>
        <w:rPr>
          <w:rFonts w:asciiTheme="majorHAnsi" w:hAnsiTheme="majorHAnsi" w:cstheme="majorHAnsi"/>
          <w:b/>
          <w:szCs w:val="24"/>
          <w:lang w:val="es-MX"/>
        </w:rPr>
        <w:t xml:space="preserve"> Ley de Hacienda del Estado de Tabasco</w:t>
      </w:r>
      <w:r w:rsidRPr="00C37645">
        <w:rPr>
          <w:rFonts w:asciiTheme="majorHAnsi" w:hAnsiTheme="majorHAnsi" w:cstheme="majorHAnsi"/>
          <w:szCs w:val="24"/>
          <w:lang w:val="es-MX"/>
        </w:rPr>
        <w:t>, para quedar como sigue:</w:t>
      </w:r>
    </w:p>
    <w:p w14:paraId="6C326A1D" w14:textId="77777777" w:rsidR="00026517" w:rsidRDefault="00026517" w:rsidP="000D7809">
      <w:pPr>
        <w:spacing w:line="360" w:lineRule="auto"/>
        <w:ind w:right="-232"/>
        <w:rPr>
          <w:rFonts w:asciiTheme="majorHAnsi" w:hAnsiTheme="majorHAnsi" w:cstheme="majorHAnsi"/>
          <w:b/>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782"/>
      </w:tblGrid>
      <w:tr w:rsidR="00026517" w:rsidRPr="00026517" w14:paraId="4E281D63" w14:textId="77777777" w:rsidTr="00815673">
        <w:trPr>
          <w:trHeight w:val="552"/>
        </w:trPr>
        <w:tc>
          <w:tcPr>
            <w:tcW w:w="8978" w:type="dxa"/>
            <w:gridSpan w:val="2"/>
          </w:tcPr>
          <w:p w14:paraId="1571E9EE" w14:textId="37475967" w:rsidR="00026517" w:rsidRPr="00FD5F35" w:rsidRDefault="00026517" w:rsidP="00FD5F35">
            <w:pPr>
              <w:pStyle w:val="Default"/>
              <w:spacing w:line="276" w:lineRule="auto"/>
              <w:jc w:val="both"/>
              <w:rPr>
                <w:rFonts w:asciiTheme="majorHAnsi" w:hAnsiTheme="majorHAnsi" w:cstheme="minorHAnsi"/>
                <w:color w:val="auto"/>
              </w:rPr>
            </w:pPr>
            <w:r w:rsidRPr="00026517">
              <w:rPr>
                <w:rFonts w:asciiTheme="majorHAnsi" w:hAnsiTheme="majorHAnsi" w:cstheme="minorHAnsi"/>
                <w:b/>
                <w:color w:val="auto"/>
              </w:rPr>
              <w:t>Artículo 75.</w:t>
            </w:r>
            <w:r w:rsidRPr="00026517">
              <w:rPr>
                <w:rFonts w:asciiTheme="majorHAnsi" w:hAnsiTheme="majorHAnsi" w:cstheme="minorHAnsi"/>
              </w:rPr>
              <w:t xml:space="preserve"> </w:t>
            </w:r>
            <w:r w:rsidRPr="00610B26">
              <w:rPr>
                <w:rFonts w:asciiTheme="majorHAnsi" w:hAnsiTheme="majorHAnsi" w:cstheme="minorHAnsi"/>
                <w:color w:val="auto"/>
                <w:sz w:val="22"/>
                <w:szCs w:val="22"/>
              </w:rPr>
              <w:t>…</w:t>
            </w:r>
          </w:p>
        </w:tc>
      </w:tr>
      <w:tr w:rsidR="00026517" w:rsidRPr="00026517" w14:paraId="574B6203" w14:textId="77777777" w:rsidTr="00FD5F35">
        <w:trPr>
          <w:trHeight w:val="400"/>
        </w:trPr>
        <w:tc>
          <w:tcPr>
            <w:tcW w:w="8978" w:type="dxa"/>
            <w:gridSpan w:val="2"/>
          </w:tcPr>
          <w:p w14:paraId="2D920EB8" w14:textId="43D75792" w:rsidR="00026517" w:rsidRPr="00FD5F35" w:rsidRDefault="00026517" w:rsidP="00FD5F35">
            <w:pPr>
              <w:pStyle w:val="Estilo"/>
              <w:rPr>
                <w:rFonts w:asciiTheme="majorHAnsi" w:hAnsiTheme="majorHAnsi" w:cstheme="minorHAnsi"/>
                <w:b/>
                <w:szCs w:val="24"/>
              </w:rPr>
            </w:pPr>
            <w:r w:rsidRPr="00026517">
              <w:rPr>
                <w:rFonts w:asciiTheme="majorHAnsi" w:hAnsiTheme="majorHAnsi" w:cstheme="minorHAnsi"/>
                <w:b/>
                <w:szCs w:val="24"/>
              </w:rPr>
              <w:t>I. Por expedición de lice</w:t>
            </w:r>
            <w:r w:rsidR="00FD5F35">
              <w:rPr>
                <w:rFonts w:asciiTheme="majorHAnsi" w:hAnsiTheme="majorHAnsi" w:cstheme="minorHAnsi"/>
                <w:b/>
                <w:szCs w:val="24"/>
              </w:rPr>
              <w:t>ncia para conducir de dos años:</w:t>
            </w:r>
          </w:p>
        </w:tc>
      </w:tr>
      <w:tr w:rsidR="00026517" w:rsidRPr="00026517" w14:paraId="3B3E02F3" w14:textId="77777777" w:rsidTr="00815673">
        <w:trPr>
          <w:trHeight w:val="552"/>
        </w:trPr>
        <w:tc>
          <w:tcPr>
            <w:tcW w:w="8978" w:type="dxa"/>
            <w:gridSpan w:val="2"/>
          </w:tcPr>
          <w:p w14:paraId="01FBFDA3" w14:textId="77777777" w:rsidR="00026517" w:rsidRPr="00A66AD3" w:rsidRDefault="00026517" w:rsidP="00E61371">
            <w:pPr>
              <w:pStyle w:val="Estilo"/>
              <w:rPr>
                <w:rFonts w:asciiTheme="majorHAnsi" w:eastAsia="Meiryo UI" w:hAnsiTheme="majorHAnsi" w:cstheme="minorHAnsi"/>
                <w:szCs w:val="24"/>
                <w:lang w:bidi="es-ES_tradnl"/>
              </w:rPr>
            </w:pPr>
            <w:r w:rsidRPr="00A66AD3">
              <w:rPr>
                <w:rFonts w:asciiTheme="majorHAnsi" w:hAnsiTheme="majorHAnsi" w:cstheme="minorHAnsi"/>
                <w:szCs w:val="24"/>
              </w:rPr>
              <w:t xml:space="preserve">a. a c. </w:t>
            </w:r>
            <w:r w:rsidRPr="00A66AD3">
              <w:rPr>
                <w:rFonts w:asciiTheme="majorHAnsi" w:hAnsiTheme="majorHAnsi" w:cstheme="minorHAnsi"/>
                <w:sz w:val="22"/>
              </w:rPr>
              <w:t>…</w:t>
            </w:r>
          </w:p>
        </w:tc>
      </w:tr>
      <w:tr w:rsidR="00026517" w:rsidRPr="00026517" w14:paraId="1976FA1C" w14:textId="77777777" w:rsidTr="00815673">
        <w:trPr>
          <w:trHeight w:val="552"/>
        </w:trPr>
        <w:tc>
          <w:tcPr>
            <w:tcW w:w="8978" w:type="dxa"/>
            <w:gridSpan w:val="2"/>
          </w:tcPr>
          <w:p w14:paraId="11FFB2B1" w14:textId="44CF856E" w:rsidR="00026517" w:rsidRPr="00FD5F35" w:rsidRDefault="00026517" w:rsidP="00FD5F35">
            <w:pPr>
              <w:pStyle w:val="Estilo"/>
              <w:rPr>
                <w:rFonts w:asciiTheme="majorHAnsi" w:hAnsiTheme="majorHAnsi" w:cstheme="minorHAnsi"/>
                <w:b/>
                <w:szCs w:val="24"/>
              </w:rPr>
            </w:pPr>
            <w:r w:rsidRPr="00026517">
              <w:rPr>
                <w:rFonts w:asciiTheme="majorHAnsi" w:hAnsiTheme="majorHAnsi" w:cstheme="minorHAnsi"/>
                <w:b/>
                <w:szCs w:val="24"/>
              </w:rPr>
              <w:t>II. Por expedición de licenc</w:t>
            </w:r>
            <w:r w:rsidR="00FD5F35">
              <w:rPr>
                <w:rFonts w:asciiTheme="majorHAnsi" w:hAnsiTheme="majorHAnsi" w:cstheme="minorHAnsi"/>
                <w:b/>
                <w:szCs w:val="24"/>
              </w:rPr>
              <w:t>ia para conducir de cinco años:</w:t>
            </w:r>
          </w:p>
        </w:tc>
      </w:tr>
      <w:tr w:rsidR="00026517" w:rsidRPr="00026517" w14:paraId="1F4D82EA" w14:textId="77777777" w:rsidTr="00815673">
        <w:trPr>
          <w:trHeight w:val="552"/>
        </w:trPr>
        <w:tc>
          <w:tcPr>
            <w:tcW w:w="8978" w:type="dxa"/>
            <w:gridSpan w:val="2"/>
          </w:tcPr>
          <w:p w14:paraId="0465B46E" w14:textId="77777777" w:rsidR="00026517" w:rsidRPr="00A66AD3" w:rsidRDefault="00026517" w:rsidP="00E61371">
            <w:pPr>
              <w:pStyle w:val="Estilo"/>
              <w:rPr>
                <w:rFonts w:asciiTheme="majorHAnsi" w:hAnsiTheme="majorHAnsi" w:cstheme="minorHAnsi"/>
                <w:szCs w:val="24"/>
              </w:rPr>
            </w:pPr>
            <w:r w:rsidRPr="00A66AD3">
              <w:rPr>
                <w:rFonts w:asciiTheme="majorHAnsi" w:hAnsiTheme="majorHAnsi" w:cstheme="minorHAnsi"/>
                <w:szCs w:val="24"/>
              </w:rPr>
              <w:t xml:space="preserve">a. a c. </w:t>
            </w:r>
            <w:r w:rsidRPr="00A66AD3">
              <w:rPr>
                <w:rFonts w:asciiTheme="majorHAnsi" w:hAnsiTheme="majorHAnsi" w:cstheme="minorHAnsi"/>
                <w:sz w:val="22"/>
              </w:rPr>
              <w:t>…</w:t>
            </w:r>
          </w:p>
          <w:p w14:paraId="4CC79289" w14:textId="77777777" w:rsidR="00026517" w:rsidRPr="00026517" w:rsidRDefault="00026517" w:rsidP="00E61371">
            <w:pPr>
              <w:pStyle w:val="Estilo"/>
              <w:jc w:val="right"/>
              <w:rPr>
                <w:rFonts w:asciiTheme="majorHAnsi" w:hAnsiTheme="majorHAnsi" w:cstheme="minorHAnsi"/>
                <w:szCs w:val="24"/>
              </w:rPr>
            </w:pPr>
          </w:p>
        </w:tc>
      </w:tr>
      <w:tr w:rsidR="00026517" w:rsidRPr="00026517" w14:paraId="720BA4B4" w14:textId="77777777" w:rsidTr="00815673">
        <w:trPr>
          <w:trHeight w:val="552"/>
        </w:trPr>
        <w:tc>
          <w:tcPr>
            <w:tcW w:w="8978" w:type="dxa"/>
            <w:gridSpan w:val="2"/>
          </w:tcPr>
          <w:p w14:paraId="5EFEDA5A" w14:textId="0FF5C27A" w:rsidR="00026517" w:rsidRPr="00FD5F35" w:rsidRDefault="00026517" w:rsidP="00FD5F35">
            <w:pPr>
              <w:pStyle w:val="Estilo"/>
              <w:rPr>
                <w:rFonts w:asciiTheme="majorHAnsi" w:hAnsiTheme="majorHAnsi" w:cstheme="minorHAnsi"/>
                <w:b/>
                <w:szCs w:val="24"/>
              </w:rPr>
            </w:pPr>
            <w:r w:rsidRPr="00026517">
              <w:rPr>
                <w:rFonts w:asciiTheme="majorHAnsi" w:hAnsiTheme="majorHAnsi" w:cstheme="minorHAnsi"/>
                <w:b/>
                <w:szCs w:val="24"/>
              </w:rPr>
              <w:lastRenderedPageBreak/>
              <w:t>III. Por expedición de licen</w:t>
            </w:r>
            <w:r w:rsidR="00FD5F35">
              <w:rPr>
                <w:rFonts w:asciiTheme="majorHAnsi" w:hAnsiTheme="majorHAnsi" w:cstheme="minorHAnsi"/>
                <w:b/>
                <w:szCs w:val="24"/>
              </w:rPr>
              <w:t>cia para conducir de diez años:</w:t>
            </w:r>
          </w:p>
        </w:tc>
      </w:tr>
      <w:tr w:rsidR="00026517" w:rsidRPr="00026517" w14:paraId="60187A41" w14:textId="77777777" w:rsidTr="00815673">
        <w:trPr>
          <w:trHeight w:val="552"/>
        </w:trPr>
        <w:tc>
          <w:tcPr>
            <w:tcW w:w="8978" w:type="dxa"/>
            <w:gridSpan w:val="2"/>
          </w:tcPr>
          <w:p w14:paraId="43BA90D1" w14:textId="77777777" w:rsidR="00026517" w:rsidRPr="00A66AD3" w:rsidRDefault="00026517" w:rsidP="00E61371">
            <w:pPr>
              <w:pStyle w:val="Estilo"/>
              <w:rPr>
                <w:rFonts w:asciiTheme="majorHAnsi" w:hAnsiTheme="majorHAnsi" w:cstheme="minorHAnsi"/>
                <w:szCs w:val="24"/>
              </w:rPr>
            </w:pPr>
            <w:r w:rsidRPr="00A66AD3">
              <w:rPr>
                <w:rFonts w:asciiTheme="majorHAnsi" w:hAnsiTheme="majorHAnsi" w:cstheme="minorHAnsi"/>
                <w:szCs w:val="24"/>
              </w:rPr>
              <w:t xml:space="preserve">a. a c. </w:t>
            </w:r>
            <w:r w:rsidRPr="00A66AD3">
              <w:rPr>
                <w:rFonts w:asciiTheme="majorHAnsi" w:hAnsiTheme="majorHAnsi" w:cstheme="minorHAnsi"/>
                <w:sz w:val="22"/>
              </w:rPr>
              <w:t>…</w:t>
            </w:r>
          </w:p>
          <w:p w14:paraId="67526C7A" w14:textId="77777777" w:rsidR="00026517" w:rsidRPr="00026517" w:rsidRDefault="00026517" w:rsidP="00E61371">
            <w:pPr>
              <w:pStyle w:val="Estilo"/>
              <w:jc w:val="right"/>
              <w:rPr>
                <w:rFonts w:asciiTheme="majorHAnsi" w:hAnsiTheme="majorHAnsi" w:cstheme="minorHAnsi"/>
                <w:szCs w:val="24"/>
              </w:rPr>
            </w:pPr>
          </w:p>
        </w:tc>
      </w:tr>
      <w:tr w:rsidR="00026517" w:rsidRPr="00026517" w14:paraId="2FBB3EE1" w14:textId="77777777" w:rsidTr="00815673">
        <w:trPr>
          <w:trHeight w:val="552"/>
        </w:trPr>
        <w:tc>
          <w:tcPr>
            <w:tcW w:w="7196" w:type="dxa"/>
          </w:tcPr>
          <w:p w14:paraId="5D36DD10" w14:textId="539AB417" w:rsidR="00026517" w:rsidRPr="00A66AD3" w:rsidRDefault="00A66AD3" w:rsidP="00E61371">
            <w:pPr>
              <w:pStyle w:val="Estilo"/>
              <w:rPr>
                <w:rFonts w:asciiTheme="majorHAnsi" w:hAnsiTheme="majorHAnsi" w:cstheme="minorHAnsi"/>
                <w:szCs w:val="24"/>
              </w:rPr>
            </w:pPr>
            <w:r w:rsidRPr="00A66AD3">
              <w:rPr>
                <w:rFonts w:asciiTheme="majorHAnsi" w:hAnsiTheme="majorHAnsi" w:cstheme="minorHAnsi"/>
                <w:szCs w:val="24"/>
              </w:rPr>
              <w:t>De la IV</w:t>
            </w:r>
            <w:r w:rsidR="00026517" w:rsidRPr="00A66AD3">
              <w:rPr>
                <w:rFonts w:asciiTheme="majorHAnsi" w:hAnsiTheme="majorHAnsi" w:cstheme="minorHAnsi"/>
                <w:szCs w:val="24"/>
              </w:rPr>
              <w:t xml:space="preserve"> a </w:t>
            </w:r>
            <w:r w:rsidR="00CA771A">
              <w:rPr>
                <w:rFonts w:asciiTheme="majorHAnsi" w:hAnsiTheme="majorHAnsi" w:cstheme="minorHAnsi"/>
                <w:szCs w:val="24"/>
              </w:rPr>
              <w:t xml:space="preserve">la </w:t>
            </w:r>
            <w:r w:rsidR="00026517" w:rsidRPr="00A66AD3">
              <w:rPr>
                <w:rFonts w:asciiTheme="majorHAnsi" w:hAnsiTheme="majorHAnsi" w:cstheme="minorHAnsi"/>
                <w:szCs w:val="24"/>
              </w:rPr>
              <w:t xml:space="preserve">X. </w:t>
            </w:r>
            <w:r w:rsidR="00026517" w:rsidRPr="00A66AD3">
              <w:rPr>
                <w:rFonts w:asciiTheme="majorHAnsi" w:hAnsiTheme="majorHAnsi" w:cstheme="minorHAnsi"/>
                <w:sz w:val="22"/>
              </w:rPr>
              <w:t>…</w:t>
            </w:r>
          </w:p>
          <w:p w14:paraId="1CCB9671" w14:textId="77777777" w:rsidR="00026517" w:rsidRPr="00026517" w:rsidRDefault="00026517" w:rsidP="00E61371">
            <w:pPr>
              <w:pStyle w:val="Estilo"/>
              <w:rPr>
                <w:rFonts w:asciiTheme="majorHAnsi" w:hAnsiTheme="majorHAnsi" w:cstheme="minorHAnsi"/>
                <w:szCs w:val="24"/>
              </w:rPr>
            </w:pPr>
          </w:p>
        </w:tc>
        <w:tc>
          <w:tcPr>
            <w:tcW w:w="1782" w:type="dxa"/>
          </w:tcPr>
          <w:p w14:paraId="4957288B" w14:textId="77777777" w:rsidR="00026517" w:rsidRPr="00026517" w:rsidRDefault="00026517" w:rsidP="00E61371">
            <w:pPr>
              <w:ind w:left="284" w:right="33" w:hanging="284"/>
              <w:rPr>
                <w:rFonts w:asciiTheme="majorHAnsi" w:eastAsia="Meiryo UI" w:hAnsiTheme="majorHAnsi" w:cstheme="minorHAnsi"/>
                <w:b/>
                <w:szCs w:val="24"/>
                <w:lang w:bidi="es-ES_tradnl"/>
              </w:rPr>
            </w:pPr>
          </w:p>
        </w:tc>
      </w:tr>
      <w:tr w:rsidR="00026517" w:rsidRPr="00026517" w14:paraId="50263265" w14:textId="77777777" w:rsidTr="00815673">
        <w:trPr>
          <w:trHeight w:val="552"/>
        </w:trPr>
        <w:tc>
          <w:tcPr>
            <w:tcW w:w="7196" w:type="dxa"/>
          </w:tcPr>
          <w:p w14:paraId="3D68042C" w14:textId="77777777" w:rsidR="00026517" w:rsidRPr="00026517" w:rsidRDefault="00026517" w:rsidP="00E61371">
            <w:pPr>
              <w:pStyle w:val="Estilo"/>
              <w:ind w:left="426" w:hanging="426"/>
              <w:rPr>
                <w:rFonts w:asciiTheme="majorHAnsi" w:hAnsiTheme="majorHAnsi" w:cstheme="minorHAnsi"/>
                <w:szCs w:val="24"/>
              </w:rPr>
            </w:pPr>
            <w:r w:rsidRPr="00026517">
              <w:rPr>
                <w:rFonts w:asciiTheme="majorHAnsi" w:eastAsia="Meiryo UI" w:hAnsiTheme="majorHAnsi" w:cstheme="minorHAnsi"/>
                <w:b/>
                <w:szCs w:val="24"/>
                <w:lang w:bidi="es-ES_tradnl"/>
              </w:rPr>
              <w:t>XI. Duplicado de licencia de conducir, en caso de robo, extravío o deterioro</w:t>
            </w:r>
          </w:p>
        </w:tc>
        <w:tc>
          <w:tcPr>
            <w:tcW w:w="1782" w:type="dxa"/>
          </w:tcPr>
          <w:p w14:paraId="5A74DBEE" w14:textId="77777777" w:rsidR="00026517" w:rsidRPr="00026517" w:rsidRDefault="00026517" w:rsidP="00E61371">
            <w:pPr>
              <w:ind w:left="284" w:right="33" w:hanging="284"/>
              <w:jc w:val="right"/>
              <w:rPr>
                <w:rFonts w:asciiTheme="majorHAnsi" w:eastAsia="Meiryo UI" w:hAnsiTheme="majorHAnsi" w:cstheme="minorHAnsi"/>
                <w:b/>
                <w:szCs w:val="24"/>
                <w:lang w:bidi="es-ES_tradnl"/>
              </w:rPr>
            </w:pPr>
            <w:r w:rsidRPr="00026517">
              <w:rPr>
                <w:rFonts w:asciiTheme="majorHAnsi" w:eastAsia="Meiryo UI" w:hAnsiTheme="majorHAnsi" w:cstheme="minorHAnsi"/>
                <w:b/>
                <w:szCs w:val="24"/>
                <w:lang w:bidi="es-ES_tradnl"/>
              </w:rPr>
              <w:t>3.0 UMA</w:t>
            </w:r>
          </w:p>
        </w:tc>
      </w:tr>
    </w:tbl>
    <w:p w14:paraId="74236338" w14:textId="77777777" w:rsidR="00817E45" w:rsidRPr="000C7B55" w:rsidRDefault="00817E45" w:rsidP="00C37645">
      <w:pPr>
        <w:autoSpaceDE w:val="0"/>
        <w:autoSpaceDN w:val="0"/>
        <w:adjustRightInd w:val="0"/>
        <w:rPr>
          <w:rFonts w:asciiTheme="majorHAnsi" w:hAnsiTheme="majorHAnsi" w:cstheme="minorHAnsi"/>
          <w:b/>
          <w:sz w:val="14"/>
          <w:szCs w:val="24"/>
        </w:rPr>
      </w:pPr>
    </w:p>
    <w:p w14:paraId="54453E8F" w14:textId="46F62FA8" w:rsidR="00C37645" w:rsidRPr="00C37645" w:rsidRDefault="00C37645" w:rsidP="00C37645">
      <w:pPr>
        <w:autoSpaceDE w:val="0"/>
        <w:autoSpaceDN w:val="0"/>
        <w:adjustRightInd w:val="0"/>
        <w:rPr>
          <w:rFonts w:asciiTheme="majorHAnsi" w:hAnsiTheme="majorHAnsi" w:cstheme="minorHAnsi"/>
          <w:b/>
          <w:szCs w:val="24"/>
        </w:rPr>
      </w:pPr>
      <w:r w:rsidRPr="00C37645">
        <w:rPr>
          <w:rFonts w:asciiTheme="majorHAnsi" w:hAnsiTheme="majorHAnsi" w:cstheme="minorHAnsi"/>
          <w:b/>
          <w:szCs w:val="24"/>
        </w:rPr>
        <w:t>Artículo 116.</w:t>
      </w:r>
      <w:r w:rsidR="008F6F8B">
        <w:rPr>
          <w:rFonts w:asciiTheme="majorHAnsi" w:hAnsiTheme="majorHAnsi" w:cstheme="minorHAnsi"/>
          <w:b/>
          <w:szCs w:val="24"/>
        </w:rPr>
        <w:t xml:space="preserve"> </w:t>
      </w:r>
      <w:r w:rsidRPr="00610B26">
        <w:rPr>
          <w:rFonts w:asciiTheme="majorHAnsi" w:hAnsiTheme="majorHAnsi" w:cstheme="minorHAnsi"/>
          <w:sz w:val="22"/>
          <w:szCs w:val="22"/>
        </w:rPr>
        <w:t>…</w:t>
      </w:r>
    </w:p>
    <w:p w14:paraId="7F7DD43B" w14:textId="77777777" w:rsidR="00C37645" w:rsidRPr="000C7B55" w:rsidRDefault="00C37645" w:rsidP="00C37645">
      <w:pPr>
        <w:autoSpaceDE w:val="0"/>
        <w:autoSpaceDN w:val="0"/>
        <w:adjustRightInd w:val="0"/>
        <w:rPr>
          <w:rFonts w:asciiTheme="majorHAnsi" w:hAnsiTheme="majorHAnsi" w:cstheme="minorHAnsi"/>
          <w:sz w:val="6"/>
          <w:szCs w:val="24"/>
        </w:rPr>
      </w:pPr>
    </w:p>
    <w:p w14:paraId="1943C4EF" w14:textId="77777777" w:rsidR="00C37645" w:rsidRDefault="00C37645" w:rsidP="00C37645">
      <w:pPr>
        <w:autoSpaceDE w:val="0"/>
        <w:autoSpaceDN w:val="0"/>
        <w:adjustRightInd w:val="0"/>
        <w:rPr>
          <w:rFonts w:asciiTheme="majorHAnsi" w:hAnsiTheme="majorHAnsi" w:cstheme="minorHAnsi"/>
          <w:sz w:val="22"/>
          <w:szCs w:val="22"/>
        </w:rPr>
      </w:pPr>
      <w:r w:rsidRPr="00C37645">
        <w:rPr>
          <w:rFonts w:asciiTheme="majorHAnsi" w:hAnsiTheme="majorHAnsi" w:cstheme="minorHAnsi"/>
          <w:szCs w:val="24"/>
        </w:rPr>
        <w:t xml:space="preserve">De la I a la X. </w:t>
      </w:r>
      <w:r w:rsidRPr="00A56EC1">
        <w:rPr>
          <w:rFonts w:asciiTheme="majorHAnsi" w:hAnsiTheme="majorHAnsi" w:cstheme="minorHAnsi"/>
          <w:sz w:val="22"/>
          <w:szCs w:val="22"/>
        </w:rPr>
        <w:t>…</w:t>
      </w:r>
    </w:p>
    <w:p w14:paraId="43513808" w14:textId="77777777" w:rsidR="000C7B55" w:rsidRPr="000C7B55" w:rsidRDefault="000C7B55" w:rsidP="00C37645">
      <w:pPr>
        <w:autoSpaceDE w:val="0"/>
        <w:autoSpaceDN w:val="0"/>
        <w:adjustRightInd w:val="0"/>
        <w:rPr>
          <w:rFonts w:asciiTheme="majorHAnsi" w:hAnsiTheme="majorHAnsi" w:cstheme="minorHAnsi"/>
          <w:sz w:val="8"/>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560"/>
      </w:tblGrid>
      <w:tr w:rsidR="00C37645" w:rsidRPr="00C37645" w14:paraId="439A4AF7" w14:textId="77777777" w:rsidTr="0054698C">
        <w:trPr>
          <w:trHeight w:val="269"/>
        </w:trPr>
        <w:tc>
          <w:tcPr>
            <w:tcW w:w="7479" w:type="dxa"/>
          </w:tcPr>
          <w:p w14:paraId="4D8901FC" w14:textId="1374F727" w:rsidR="00C37645" w:rsidRPr="000C7B55" w:rsidRDefault="00C37645" w:rsidP="0054698C">
            <w:pPr>
              <w:rPr>
                <w:rFonts w:asciiTheme="majorHAnsi" w:hAnsiTheme="majorHAnsi" w:cstheme="minorHAnsi"/>
                <w:b/>
                <w:sz w:val="18"/>
                <w:szCs w:val="24"/>
                <w:lang w:bidi="es-ES_tradnl"/>
              </w:rPr>
            </w:pPr>
            <w:r w:rsidRPr="00C37645">
              <w:rPr>
                <w:rFonts w:asciiTheme="majorHAnsi" w:hAnsiTheme="majorHAnsi" w:cstheme="minorHAnsi"/>
                <w:b/>
                <w:szCs w:val="24"/>
                <w:lang w:bidi="es-ES_tradnl"/>
              </w:rPr>
              <w:t xml:space="preserve">XI. Expedición de constancia </w:t>
            </w:r>
            <w:r w:rsidR="00AB1DB5">
              <w:rPr>
                <w:rFonts w:asciiTheme="majorHAnsi" w:hAnsiTheme="majorHAnsi" w:cstheme="minorHAnsi"/>
                <w:b/>
                <w:szCs w:val="24"/>
                <w:lang w:bidi="es-ES_tradnl"/>
              </w:rPr>
              <w:t xml:space="preserve">de no inhabilitación </w:t>
            </w:r>
          </w:p>
        </w:tc>
        <w:tc>
          <w:tcPr>
            <w:tcW w:w="1560" w:type="dxa"/>
          </w:tcPr>
          <w:p w14:paraId="1C1DF059" w14:textId="77777777" w:rsidR="00C37645" w:rsidRPr="00C37645" w:rsidRDefault="00C37645" w:rsidP="00E61371">
            <w:pPr>
              <w:jc w:val="right"/>
              <w:rPr>
                <w:rFonts w:asciiTheme="majorHAnsi" w:eastAsia="Meiryo UI" w:hAnsiTheme="majorHAnsi" w:cstheme="minorHAnsi"/>
                <w:szCs w:val="24"/>
                <w:lang w:bidi="es-ES_tradnl"/>
              </w:rPr>
            </w:pPr>
            <w:r w:rsidRPr="00C37645">
              <w:rPr>
                <w:rFonts w:asciiTheme="majorHAnsi" w:eastAsia="Meiryo UI" w:hAnsiTheme="majorHAnsi" w:cstheme="minorHAnsi"/>
                <w:b/>
                <w:szCs w:val="24"/>
                <w:lang w:bidi="es-ES_tradnl"/>
              </w:rPr>
              <w:t>2.00</w:t>
            </w:r>
            <w:r w:rsidRPr="00C37645">
              <w:rPr>
                <w:rFonts w:asciiTheme="majorHAnsi" w:eastAsia="Meiryo UI" w:hAnsiTheme="majorHAnsi" w:cstheme="minorHAnsi"/>
                <w:szCs w:val="24"/>
                <w:lang w:bidi="es-ES_tradnl"/>
              </w:rPr>
              <w:t xml:space="preserve"> </w:t>
            </w:r>
            <w:r w:rsidRPr="0054698C">
              <w:rPr>
                <w:rFonts w:asciiTheme="majorHAnsi" w:eastAsia="Meiryo UI" w:hAnsiTheme="majorHAnsi" w:cstheme="minorHAnsi"/>
                <w:b/>
                <w:szCs w:val="24"/>
                <w:lang w:bidi="es-ES_tradnl"/>
              </w:rPr>
              <w:t>UMA</w:t>
            </w:r>
          </w:p>
        </w:tc>
      </w:tr>
      <w:tr w:rsidR="00C37645" w:rsidRPr="00C37645" w14:paraId="723AD313" w14:textId="77777777" w:rsidTr="0054698C">
        <w:tc>
          <w:tcPr>
            <w:tcW w:w="7479" w:type="dxa"/>
          </w:tcPr>
          <w:p w14:paraId="113ACE42" w14:textId="093A4B85" w:rsidR="00C37645" w:rsidRPr="00C37645" w:rsidRDefault="00C37645" w:rsidP="0054698C">
            <w:pPr>
              <w:rPr>
                <w:rFonts w:asciiTheme="majorHAnsi" w:hAnsiTheme="majorHAnsi" w:cstheme="minorHAnsi"/>
                <w:b/>
                <w:szCs w:val="24"/>
                <w:lang w:bidi="es-ES_tradnl"/>
              </w:rPr>
            </w:pPr>
            <w:r w:rsidRPr="00C37645">
              <w:rPr>
                <w:rFonts w:asciiTheme="majorHAnsi" w:hAnsiTheme="majorHAnsi" w:cstheme="minorHAnsi"/>
                <w:b/>
                <w:szCs w:val="24"/>
                <w:lang w:bidi="es-ES_tradnl"/>
              </w:rPr>
              <w:t>XII. Reimpresión de constancia</w:t>
            </w:r>
            <w:r w:rsidR="00AB1DB5">
              <w:t xml:space="preserve"> </w:t>
            </w:r>
            <w:r w:rsidR="00AB1DB5">
              <w:rPr>
                <w:rFonts w:asciiTheme="majorHAnsi" w:hAnsiTheme="majorHAnsi" w:cstheme="minorHAnsi"/>
                <w:b/>
                <w:szCs w:val="24"/>
                <w:lang w:bidi="es-ES_tradnl"/>
              </w:rPr>
              <w:t xml:space="preserve">de no inhabilitación </w:t>
            </w:r>
          </w:p>
        </w:tc>
        <w:tc>
          <w:tcPr>
            <w:tcW w:w="1560" w:type="dxa"/>
          </w:tcPr>
          <w:p w14:paraId="18077C5E" w14:textId="77777777" w:rsidR="00C37645" w:rsidRPr="0054698C" w:rsidRDefault="00C37645" w:rsidP="00E61371">
            <w:pPr>
              <w:jc w:val="right"/>
              <w:rPr>
                <w:rFonts w:asciiTheme="majorHAnsi" w:eastAsia="Meiryo UI" w:hAnsiTheme="majorHAnsi" w:cstheme="minorHAnsi"/>
                <w:b/>
                <w:szCs w:val="24"/>
                <w:lang w:bidi="es-ES_tradnl"/>
              </w:rPr>
            </w:pPr>
            <w:r w:rsidRPr="0054698C">
              <w:rPr>
                <w:rFonts w:asciiTheme="majorHAnsi" w:eastAsia="Meiryo UI" w:hAnsiTheme="majorHAnsi" w:cstheme="minorHAnsi"/>
                <w:b/>
                <w:szCs w:val="24"/>
                <w:lang w:bidi="es-ES_tradnl"/>
              </w:rPr>
              <w:t>1.00 UMA</w:t>
            </w:r>
          </w:p>
        </w:tc>
      </w:tr>
      <w:tr w:rsidR="0054698C" w:rsidRPr="00C37645" w14:paraId="7F4D84AC" w14:textId="77777777" w:rsidTr="0054698C">
        <w:tc>
          <w:tcPr>
            <w:tcW w:w="7479" w:type="dxa"/>
          </w:tcPr>
          <w:p w14:paraId="57E0E200" w14:textId="01F88C91" w:rsidR="0054698C" w:rsidRPr="00C37645" w:rsidRDefault="0054698C" w:rsidP="0054698C">
            <w:pPr>
              <w:rPr>
                <w:rFonts w:asciiTheme="majorHAnsi" w:hAnsiTheme="majorHAnsi" w:cstheme="minorHAnsi"/>
                <w:b/>
                <w:szCs w:val="24"/>
                <w:lang w:bidi="es-ES_tradnl"/>
              </w:rPr>
            </w:pPr>
            <w:r>
              <w:rPr>
                <w:rFonts w:asciiTheme="majorHAnsi" w:hAnsiTheme="majorHAnsi" w:cstheme="minorHAnsi"/>
                <w:b/>
                <w:szCs w:val="24"/>
                <w:lang w:bidi="es-ES_tradnl"/>
              </w:rPr>
              <w:t>XIII. Expedición de constancia de no existencia de sanción</w:t>
            </w:r>
          </w:p>
        </w:tc>
        <w:tc>
          <w:tcPr>
            <w:tcW w:w="1560" w:type="dxa"/>
          </w:tcPr>
          <w:p w14:paraId="694B0D63" w14:textId="2E3BE632" w:rsidR="0054698C" w:rsidRPr="0054698C" w:rsidRDefault="0054698C" w:rsidP="00E61371">
            <w:pPr>
              <w:jc w:val="right"/>
              <w:rPr>
                <w:rFonts w:asciiTheme="majorHAnsi" w:eastAsia="Meiryo UI" w:hAnsiTheme="majorHAnsi" w:cstheme="minorHAnsi"/>
                <w:b/>
                <w:szCs w:val="24"/>
                <w:lang w:bidi="es-ES_tradnl"/>
              </w:rPr>
            </w:pPr>
            <w:r w:rsidRPr="0054698C">
              <w:rPr>
                <w:rFonts w:asciiTheme="majorHAnsi" w:eastAsia="Meiryo UI" w:hAnsiTheme="majorHAnsi" w:cstheme="minorHAnsi"/>
                <w:b/>
                <w:szCs w:val="24"/>
                <w:lang w:bidi="es-ES_tradnl"/>
              </w:rPr>
              <w:t>2.00 UMA</w:t>
            </w:r>
          </w:p>
        </w:tc>
      </w:tr>
      <w:tr w:rsidR="0054698C" w:rsidRPr="00C37645" w14:paraId="2C2368D1" w14:textId="77777777" w:rsidTr="0054698C">
        <w:tc>
          <w:tcPr>
            <w:tcW w:w="7479" w:type="dxa"/>
          </w:tcPr>
          <w:p w14:paraId="36745F66" w14:textId="65855F2A" w:rsidR="0054698C" w:rsidRDefault="0054698C" w:rsidP="0054698C">
            <w:pPr>
              <w:rPr>
                <w:rFonts w:asciiTheme="majorHAnsi" w:hAnsiTheme="majorHAnsi" w:cstheme="minorHAnsi"/>
                <w:b/>
                <w:szCs w:val="24"/>
                <w:lang w:bidi="es-ES_tradnl"/>
              </w:rPr>
            </w:pPr>
            <w:r>
              <w:rPr>
                <w:rFonts w:asciiTheme="majorHAnsi" w:hAnsiTheme="majorHAnsi" w:cstheme="minorHAnsi"/>
                <w:b/>
                <w:szCs w:val="24"/>
                <w:lang w:bidi="es-ES_tradnl"/>
              </w:rPr>
              <w:t>XIV. Reimpresión de constancia de no existencia de sanción</w:t>
            </w:r>
          </w:p>
        </w:tc>
        <w:tc>
          <w:tcPr>
            <w:tcW w:w="1560" w:type="dxa"/>
          </w:tcPr>
          <w:p w14:paraId="297C99C2" w14:textId="4774870D" w:rsidR="0054698C" w:rsidRPr="0054698C" w:rsidRDefault="0054698C" w:rsidP="00E61371">
            <w:pPr>
              <w:jc w:val="right"/>
              <w:rPr>
                <w:rFonts w:asciiTheme="majorHAnsi" w:eastAsia="Meiryo UI" w:hAnsiTheme="majorHAnsi" w:cstheme="minorHAnsi"/>
                <w:b/>
                <w:szCs w:val="24"/>
                <w:lang w:bidi="es-ES_tradnl"/>
              </w:rPr>
            </w:pPr>
            <w:r w:rsidRPr="0054698C">
              <w:rPr>
                <w:rFonts w:asciiTheme="majorHAnsi" w:eastAsia="Meiryo UI" w:hAnsiTheme="majorHAnsi" w:cstheme="minorHAnsi"/>
                <w:b/>
                <w:szCs w:val="24"/>
                <w:lang w:bidi="es-ES_tradnl"/>
              </w:rPr>
              <w:t>1.00 UMA</w:t>
            </w:r>
          </w:p>
        </w:tc>
      </w:tr>
    </w:tbl>
    <w:p w14:paraId="55C07131" w14:textId="77777777" w:rsidR="00C37645" w:rsidRPr="00F91543" w:rsidRDefault="00C37645" w:rsidP="00C37645">
      <w:pPr>
        <w:autoSpaceDE w:val="0"/>
        <w:autoSpaceDN w:val="0"/>
        <w:adjustRightInd w:val="0"/>
        <w:rPr>
          <w:rFonts w:cstheme="minorHAnsi"/>
          <w:b/>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560"/>
      </w:tblGrid>
      <w:tr w:rsidR="001D5B02" w:rsidRPr="00F91543" w14:paraId="669A0BC9" w14:textId="77777777" w:rsidTr="00815673">
        <w:trPr>
          <w:trHeight w:val="516"/>
        </w:trPr>
        <w:tc>
          <w:tcPr>
            <w:tcW w:w="7479" w:type="dxa"/>
          </w:tcPr>
          <w:p w14:paraId="2EE421A5" w14:textId="77777777" w:rsidR="001D5B02" w:rsidRPr="00F91543" w:rsidRDefault="001D5B02" w:rsidP="00E61371">
            <w:pPr>
              <w:rPr>
                <w:rFonts w:cstheme="minorHAnsi"/>
                <w:b/>
                <w:szCs w:val="24"/>
                <w:lang w:bidi="es-ES_tradnl"/>
              </w:rPr>
            </w:pPr>
            <w:r w:rsidRPr="00F91543">
              <w:rPr>
                <w:rFonts w:cstheme="minorHAnsi"/>
                <w:b/>
                <w:szCs w:val="24"/>
                <w:lang w:bidi="es-ES_tradnl"/>
              </w:rPr>
              <w:t xml:space="preserve">SEXTO.- </w:t>
            </w:r>
            <w:r w:rsidRPr="00F91543">
              <w:rPr>
                <w:rFonts w:cstheme="minorHAnsi"/>
                <w:szCs w:val="24"/>
                <w:lang w:bidi="es-ES_tradnl"/>
              </w:rPr>
              <w:t>…</w:t>
            </w:r>
          </w:p>
        </w:tc>
        <w:tc>
          <w:tcPr>
            <w:tcW w:w="1560" w:type="dxa"/>
          </w:tcPr>
          <w:p w14:paraId="00EB86AB" w14:textId="77777777" w:rsidR="001D5B02" w:rsidRPr="00F91543" w:rsidRDefault="001D5B02" w:rsidP="00E61371">
            <w:pPr>
              <w:jc w:val="right"/>
              <w:rPr>
                <w:rFonts w:eastAsia="Meiryo UI" w:cstheme="minorHAnsi"/>
                <w:szCs w:val="24"/>
                <w:lang w:bidi="es-ES_tradnl"/>
              </w:rPr>
            </w:pPr>
          </w:p>
        </w:tc>
      </w:tr>
      <w:tr w:rsidR="001D5B02" w:rsidRPr="00F91543" w14:paraId="1FDBDF11" w14:textId="77777777" w:rsidTr="00815673">
        <w:trPr>
          <w:trHeight w:val="448"/>
        </w:trPr>
        <w:tc>
          <w:tcPr>
            <w:tcW w:w="7479" w:type="dxa"/>
          </w:tcPr>
          <w:p w14:paraId="3EC30AAB" w14:textId="77777777" w:rsidR="001D5B02" w:rsidRPr="00F91543" w:rsidRDefault="001D5B02" w:rsidP="00E61371">
            <w:pPr>
              <w:rPr>
                <w:rFonts w:cstheme="minorHAnsi"/>
                <w:b/>
                <w:szCs w:val="24"/>
                <w:lang w:bidi="es-ES_tradnl"/>
              </w:rPr>
            </w:pPr>
            <w:r w:rsidRPr="00F91543">
              <w:rPr>
                <w:rFonts w:cstheme="minorHAnsi"/>
                <w:b/>
                <w:szCs w:val="24"/>
                <w:lang w:bidi="es-ES_tradnl"/>
              </w:rPr>
              <w:t>I. Se deroga</w:t>
            </w:r>
          </w:p>
          <w:p w14:paraId="5B7D0F98" w14:textId="77777777" w:rsidR="001D5B02" w:rsidRPr="00F91543" w:rsidRDefault="001D5B02" w:rsidP="00E61371">
            <w:pPr>
              <w:rPr>
                <w:rFonts w:cstheme="minorHAnsi"/>
                <w:b/>
                <w:szCs w:val="24"/>
                <w:lang w:bidi="es-ES_tradnl"/>
              </w:rPr>
            </w:pPr>
          </w:p>
        </w:tc>
        <w:tc>
          <w:tcPr>
            <w:tcW w:w="1560" w:type="dxa"/>
          </w:tcPr>
          <w:p w14:paraId="67CC3360" w14:textId="77777777" w:rsidR="001D5B02" w:rsidRPr="00F91543" w:rsidRDefault="001D5B02" w:rsidP="00E61371">
            <w:pPr>
              <w:jc w:val="right"/>
              <w:rPr>
                <w:rFonts w:eastAsia="Meiryo UI" w:cstheme="minorHAnsi"/>
                <w:szCs w:val="24"/>
                <w:lang w:bidi="es-ES_tradnl"/>
              </w:rPr>
            </w:pPr>
          </w:p>
        </w:tc>
      </w:tr>
      <w:tr w:rsidR="001D5B02" w:rsidRPr="00F91543" w14:paraId="3E02602F" w14:textId="77777777" w:rsidTr="00815673">
        <w:trPr>
          <w:trHeight w:val="375"/>
        </w:trPr>
        <w:tc>
          <w:tcPr>
            <w:tcW w:w="7479" w:type="dxa"/>
          </w:tcPr>
          <w:p w14:paraId="510945F3" w14:textId="77777777" w:rsidR="001D5B02" w:rsidRPr="00F91543" w:rsidRDefault="001D5B02" w:rsidP="00E61371">
            <w:pPr>
              <w:rPr>
                <w:rFonts w:cstheme="minorHAnsi"/>
                <w:b/>
                <w:szCs w:val="24"/>
                <w:lang w:bidi="es-ES_tradnl"/>
              </w:rPr>
            </w:pPr>
            <w:r w:rsidRPr="00F91543">
              <w:rPr>
                <w:rFonts w:cstheme="minorHAnsi"/>
                <w:b/>
                <w:szCs w:val="24"/>
                <w:lang w:bidi="es-ES_tradnl"/>
              </w:rPr>
              <w:t>II. Se deroga</w:t>
            </w:r>
          </w:p>
        </w:tc>
        <w:tc>
          <w:tcPr>
            <w:tcW w:w="1560" w:type="dxa"/>
          </w:tcPr>
          <w:p w14:paraId="6BCD4CA6" w14:textId="77777777" w:rsidR="001D5B02" w:rsidRPr="00F91543" w:rsidRDefault="001D5B02" w:rsidP="00E61371">
            <w:pPr>
              <w:jc w:val="right"/>
              <w:rPr>
                <w:rFonts w:eastAsia="Meiryo UI" w:cstheme="minorHAnsi"/>
                <w:szCs w:val="24"/>
                <w:lang w:bidi="es-ES_tradnl"/>
              </w:rPr>
            </w:pPr>
          </w:p>
        </w:tc>
      </w:tr>
      <w:tr w:rsidR="001D5B02" w:rsidRPr="00F91543" w14:paraId="443D3762" w14:textId="77777777" w:rsidTr="00815673">
        <w:trPr>
          <w:trHeight w:val="409"/>
        </w:trPr>
        <w:tc>
          <w:tcPr>
            <w:tcW w:w="7479" w:type="dxa"/>
          </w:tcPr>
          <w:p w14:paraId="7C30C9DB" w14:textId="77777777" w:rsidR="001D5B02" w:rsidRPr="00F91543" w:rsidRDefault="001D5B02" w:rsidP="00E61371">
            <w:pPr>
              <w:rPr>
                <w:rFonts w:cstheme="minorHAnsi"/>
                <w:b/>
                <w:szCs w:val="24"/>
                <w:lang w:bidi="es-ES_tradnl"/>
              </w:rPr>
            </w:pPr>
            <w:r w:rsidRPr="00F91543">
              <w:rPr>
                <w:rFonts w:cstheme="minorHAnsi"/>
                <w:szCs w:val="24"/>
                <w:lang w:bidi="es-ES_tradnl"/>
              </w:rPr>
              <w:t>De la III a la V.</w:t>
            </w:r>
            <w:r w:rsidRPr="00F91543">
              <w:rPr>
                <w:rFonts w:cstheme="minorHAnsi"/>
                <w:b/>
                <w:szCs w:val="24"/>
                <w:lang w:bidi="es-ES_tradnl"/>
              </w:rPr>
              <w:t xml:space="preserve"> </w:t>
            </w:r>
            <w:r w:rsidRPr="00F91543">
              <w:rPr>
                <w:rFonts w:cstheme="minorHAnsi"/>
                <w:szCs w:val="24"/>
                <w:lang w:bidi="es-ES_tradnl"/>
              </w:rPr>
              <w:t>…</w:t>
            </w:r>
          </w:p>
        </w:tc>
        <w:tc>
          <w:tcPr>
            <w:tcW w:w="1560" w:type="dxa"/>
          </w:tcPr>
          <w:p w14:paraId="76BCCE24" w14:textId="77777777" w:rsidR="001D5B02" w:rsidRPr="00F91543" w:rsidRDefault="001D5B02" w:rsidP="00E61371">
            <w:pPr>
              <w:jc w:val="right"/>
              <w:rPr>
                <w:rFonts w:eastAsia="Meiryo UI" w:cstheme="minorHAnsi"/>
                <w:szCs w:val="24"/>
                <w:lang w:bidi="es-ES_tradnl"/>
              </w:rPr>
            </w:pPr>
          </w:p>
        </w:tc>
      </w:tr>
      <w:tr w:rsidR="001D5B02" w:rsidRPr="00F91543" w14:paraId="00CDC382" w14:textId="77777777" w:rsidTr="00815673">
        <w:trPr>
          <w:trHeight w:val="428"/>
        </w:trPr>
        <w:tc>
          <w:tcPr>
            <w:tcW w:w="7479" w:type="dxa"/>
          </w:tcPr>
          <w:p w14:paraId="7B8291A0" w14:textId="77777777" w:rsidR="001D5B02" w:rsidRPr="00F91543" w:rsidRDefault="001D5B02" w:rsidP="00E61371">
            <w:pPr>
              <w:rPr>
                <w:rFonts w:cstheme="minorHAnsi"/>
                <w:b/>
                <w:szCs w:val="24"/>
                <w:lang w:bidi="es-ES_tradnl"/>
              </w:rPr>
            </w:pPr>
            <w:r w:rsidRPr="00F91543">
              <w:rPr>
                <w:rFonts w:cstheme="minorHAnsi"/>
                <w:b/>
                <w:szCs w:val="24"/>
                <w:lang w:bidi="es-ES_tradnl"/>
              </w:rPr>
              <w:t xml:space="preserve">VI. </w:t>
            </w:r>
            <w:r w:rsidRPr="002E48C8">
              <w:rPr>
                <w:rFonts w:cstheme="minorHAnsi"/>
                <w:szCs w:val="24"/>
                <w:lang w:bidi="es-ES_tradnl"/>
              </w:rPr>
              <w:t>Cambio de plantel o turno en planteles oficiales</w:t>
            </w:r>
          </w:p>
        </w:tc>
        <w:tc>
          <w:tcPr>
            <w:tcW w:w="1560" w:type="dxa"/>
          </w:tcPr>
          <w:p w14:paraId="5B199DF6" w14:textId="77777777" w:rsidR="001D5B02" w:rsidRPr="00F91543" w:rsidRDefault="001D5B02" w:rsidP="00E61371">
            <w:pPr>
              <w:jc w:val="right"/>
              <w:rPr>
                <w:rFonts w:eastAsia="Meiryo UI" w:cstheme="minorHAnsi"/>
                <w:szCs w:val="24"/>
                <w:lang w:bidi="es-ES_tradnl"/>
              </w:rPr>
            </w:pPr>
            <w:r w:rsidRPr="00F91543">
              <w:rPr>
                <w:rFonts w:eastAsia="Meiryo UI" w:cstheme="minorHAnsi"/>
                <w:b/>
                <w:szCs w:val="24"/>
                <w:lang w:bidi="es-ES_tradnl"/>
              </w:rPr>
              <w:t>4.0</w:t>
            </w:r>
            <w:r>
              <w:rPr>
                <w:rFonts w:eastAsia="Meiryo UI" w:cstheme="minorHAnsi"/>
                <w:b/>
                <w:szCs w:val="24"/>
                <w:lang w:bidi="es-ES_tradnl"/>
              </w:rPr>
              <w:t>0</w:t>
            </w:r>
            <w:r w:rsidRPr="00F91543">
              <w:rPr>
                <w:rFonts w:eastAsia="Meiryo UI" w:cstheme="minorHAnsi"/>
                <w:szCs w:val="24"/>
                <w:lang w:bidi="es-ES_tradnl"/>
              </w:rPr>
              <w:t xml:space="preserve"> UMA</w:t>
            </w:r>
          </w:p>
        </w:tc>
      </w:tr>
      <w:tr w:rsidR="001D5B02" w:rsidRPr="00F91543" w14:paraId="1128392D" w14:textId="77777777" w:rsidTr="00815673">
        <w:trPr>
          <w:trHeight w:val="406"/>
        </w:trPr>
        <w:tc>
          <w:tcPr>
            <w:tcW w:w="7479" w:type="dxa"/>
          </w:tcPr>
          <w:p w14:paraId="70D1FD3C" w14:textId="77777777" w:rsidR="001D5B02" w:rsidRPr="00F91543" w:rsidRDefault="001D5B02" w:rsidP="00E61371">
            <w:pPr>
              <w:rPr>
                <w:rFonts w:cstheme="minorHAnsi"/>
                <w:b/>
                <w:szCs w:val="24"/>
                <w:lang w:bidi="es-ES_tradnl"/>
              </w:rPr>
            </w:pPr>
            <w:r w:rsidRPr="00F91543">
              <w:rPr>
                <w:rFonts w:cstheme="minorHAnsi"/>
                <w:szCs w:val="24"/>
                <w:lang w:bidi="es-ES_tradnl"/>
              </w:rPr>
              <w:t>De la VII a la IX.</w:t>
            </w:r>
            <w:r w:rsidRPr="00F91543">
              <w:rPr>
                <w:rFonts w:cstheme="minorHAnsi"/>
                <w:b/>
                <w:szCs w:val="24"/>
                <w:lang w:bidi="es-ES_tradnl"/>
              </w:rPr>
              <w:t xml:space="preserve"> </w:t>
            </w:r>
            <w:r w:rsidRPr="00F91543">
              <w:rPr>
                <w:rFonts w:cstheme="minorHAnsi"/>
                <w:szCs w:val="24"/>
                <w:lang w:bidi="es-ES_tradnl"/>
              </w:rPr>
              <w:t>…</w:t>
            </w:r>
          </w:p>
        </w:tc>
        <w:tc>
          <w:tcPr>
            <w:tcW w:w="1560" w:type="dxa"/>
          </w:tcPr>
          <w:p w14:paraId="42ECCAAD" w14:textId="77777777" w:rsidR="001D5B02" w:rsidRPr="00F91543" w:rsidRDefault="001D5B02" w:rsidP="00E61371">
            <w:pPr>
              <w:jc w:val="right"/>
              <w:rPr>
                <w:rFonts w:eastAsia="Meiryo UI" w:cstheme="minorHAnsi"/>
                <w:b/>
                <w:szCs w:val="24"/>
                <w:lang w:bidi="es-ES_tradnl"/>
              </w:rPr>
            </w:pPr>
          </w:p>
        </w:tc>
      </w:tr>
      <w:tr w:rsidR="001D5B02" w:rsidRPr="00F91543" w14:paraId="2A6473A6" w14:textId="77777777" w:rsidTr="007E5D2E">
        <w:trPr>
          <w:trHeight w:val="402"/>
        </w:trPr>
        <w:tc>
          <w:tcPr>
            <w:tcW w:w="7479" w:type="dxa"/>
          </w:tcPr>
          <w:p w14:paraId="4F261D28" w14:textId="77777777" w:rsidR="001D5B02" w:rsidRPr="00F91543" w:rsidRDefault="001D5B02" w:rsidP="00E61371">
            <w:pPr>
              <w:rPr>
                <w:rFonts w:cstheme="minorHAnsi"/>
                <w:b/>
                <w:szCs w:val="24"/>
                <w:lang w:bidi="es-ES_tradnl"/>
              </w:rPr>
            </w:pPr>
            <w:r w:rsidRPr="00F91543">
              <w:rPr>
                <w:rFonts w:cstheme="minorHAnsi"/>
                <w:b/>
                <w:szCs w:val="24"/>
                <w:lang w:bidi="es-ES_tradnl"/>
              </w:rPr>
              <w:t>X. Por el uso de espacio mensual para cafetería</w:t>
            </w:r>
          </w:p>
        </w:tc>
        <w:tc>
          <w:tcPr>
            <w:tcW w:w="1560" w:type="dxa"/>
          </w:tcPr>
          <w:p w14:paraId="04396F03" w14:textId="77777777" w:rsidR="001D5B02" w:rsidRPr="00F91543" w:rsidRDefault="001D5B02" w:rsidP="00E61371">
            <w:pPr>
              <w:jc w:val="right"/>
              <w:rPr>
                <w:rFonts w:eastAsia="Meiryo UI" w:cstheme="minorHAnsi"/>
                <w:szCs w:val="24"/>
                <w:lang w:bidi="es-ES_tradnl"/>
              </w:rPr>
            </w:pPr>
          </w:p>
        </w:tc>
      </w:tr>
      <w:tr w:rsidR="001D5B02" w:rsidRPr="00F91543" w14:paraId="2313236A" w14:textId="77777777" w:rsidTr="00815673">
        <w:tc>
          <w:tcPr>
            <w:tcW w:w="7479" w:type="dxa"/>
          </w:tcPr>
          <w:p w14:paraId="6AB56B90" w14:textId="77777777" w:rsidR="001D5B02" w:rsidRPr="00F91543" w:rsidRDefault="001D5B02" w:rsidP="00E61371">
            <w:pPr>
              <w:rPr>
                <w:rFonts w:cstheme="minorHAnsi"/>
                <w:b/>
                <w:szCs w:val="24"/>
                <w:lang w:bidi="es-ES_tradnl"/>
              </w:rPr>
            </w:pPr>
            <w:r w:rsidRPr="00F91543">
              <w:rPr>
                <w:rFonts w:cstheme="minorHAnsi"/>
                <w:b/>
                <w:szCs w:val="24"/>
                <w:lang w:bidi="es-ES_tradnl"/>
              </w:rPr>
              <w:t>a) Por cada 100 alumnos en zonas consideradas de alta marginación según el Instituto Nacional de Estadística, Geografía e Informática.</w:t>
            </w:r>
          </w:p>
        </w:tc>
        <w:tc>
          <w:tcPr>
            <w:tcW w:w="1560" w:type="dxa"/>
          </w:tcPr>
          <w:p w14:paraId="4CEC5F5C" w14:textId="77777777" w:rsidR="001D5B02" w:rsidRPr="003A7F17" w:rsidRDefault="001D5B02" w:rsidP="00E61371">
            <w:pPr>
              <w:jc w:val="right"/>
              <w:rPr>
                <w:rFonts w:eastAsia="Meiryo UI" w:cstheme="minorHAnsi"/>
                <w:b/>
                <w:szCs w:val="24"/>
                <w:lang w:bidi="es-ES_tradnl"/>
              </w:rPr>
            </w:pPr>
            <w:r w:rsidRPr="003A7F17">
              <w:rPr>
                <w:rFonts w:eastAsia="Meiryo UI" w:cstheme="minorHAnsi"/>
                <w:b/>
                <w:szCs w:val="24"/>
                <w:lang w:bidi="es-ES_tradnl"/>
              </w:rPr>
              <w:t>4.00 UMA</w:t>
            </w:r>
          </w:p>
        </w:tc>
      </w:tr>
      <w:tr w:rsidR="001D5B02" w:rsidRPr="00F91543" w14:paraId="2B566B35" w14:textId="77777777" w:rsidTr="00815673">
        <w:tc>
          <w:tcPr>
            <w:tcW w:w="7479" w:type="dxa"/>
          </w:tcPr>
          <w:p w14:paraId="30426EED" w14:textId="77777777" w:rsidR="001D5B02" w:rsidRPr="00F91543" w:rsidRDefault="001D5B02" w:rsidP="00E61371">
            <w:pPr>
              <w:rPr>
                <w:rFonts w:cstheme="minorHAnsi"/>
                <w:b/>
                <w:szCs w:val="24"/>
                <w:lang w:bidi="es-ES_tradnl"/>
              </w:rPr>
            </w:pPr>
            <w:r w:rsidRPr="00F91543">
              <w:rPr>
                <w:rFonts w:cstheme="minorHAnsi"/>
                <w:b/>
                <w:szCs w:val="24"/>
                <w:lang w:bidi="es-ES_tradnl"/>
              </w:rPr>
              <w:t>b) Por cada 100 alumnos en zonas consideradas de media marginación según el Instituto Nacional de Estadística, Geografía e Informática.</w:t>
            </w:r>
          </w:p>
        </w:tc>
        <w:tc>
          <w:tcPr>
            <w:tcW w:w="1560" w:type="dxa"/>
          </w:tcPr>
          <w:p w14:paraId="7FA656A1" w14:textId="77777777" w:rsidR="001D5B02" w:rsidRPr="003A7F17" w:rsidRDefault="001D5B02" w:rsidP="00E61371">
            <w:pPr>
              <w:jc w:val="right"/>
              <w:rPr>
                <w:rFonts w:eastAsia="Meiryo UI" w:cstheme="minorHAnsi"/>
                <w:b/>
                <w:szCs w:val="24"/>
                <w:lang w:bidi="es-ES_tradnl"/>
              </w:rPr>
            </w:pPr>
            <w:r w:rsidRPr="003A7F17">
              <w:rPr>
                <w:rFonts w:eastAsia="Meiryo UI" w:cstheme="minorHAnsi"/>
                <w:b/>
                <w:szCs w:val="24"/>
                <w:lang w:bidi="es-ES_tradnl"/>
              </w:rPr>
              <w:t>5.00 UMA</w:t>
            </w:r>
          </w:p>
        </w:tc>
      </w:tr>
      <w:tr w:rsidR="001D5B02" w:rsidRPr="00F91543" w14:paraId="040F82B4" w14:textId="77777777" w:rsidTr="00815673">
        <w:trPr>
          <w:trHeight w:val="812"/>
        </w:trPr>
        <w:tc>
          <w:tcPr>
            <w:tcW w:w="7479" w:type="dxa"/>
          </w:tcPr>
          <w:p w14:paraId="2D5B8887" w14:textId="77777777" w:rsidR="001D5B02" w:rsidRPr="00F91543" w:rsidRDefault="001D5B02" w:rsidP="00E61371">
            <w:pPr>
              <w:ind w:right="34"/>
              <w:rPr>
                <w:rFonts w:cstheme="minorHAnsi"/>
                <w:szCs w:val="24"/>
                <w:lang w:bidi="es-ES_tradnl"/>
              </w:rPr>
            </w:pPr>
            <w:r w:rsidRPr="00F91543">
              <w:rPr>
                <w:rFonts w:cstheme="minorHAnsi"/>
                <w:b/>
                <w:szCs w:val="24"/>
                <w:lang w:bidi="es-ES_tradnl"/>
              </w:rPr>
              <w:t>c) Por cada 100 alumnos en zonas consideradas de baja marginación según el Instituto Nacional de Estadística, Geografía e Informática.</w:t>
            </w:r>
          </w:p>
        </w:tc>
        <w:tc>
          <w:tcPr>
            <w:tcW w:w="1560" w:type="dxa"/>
            <w:vAlign w:val="center"/>
          </w:tcPr>
          <w:p w14:paraId="2B916655" w14:textId="77777777" w:rsidR="001D5B02" w:rsidRPr="003A7F17" w:rsidRDefault="001D5B02" w:rsidP="00E61371">
            <w:pPr>
              <w:ind w:left="34" w:hanging="34"/>
              <w:jc w:val="right"/>
              <w:rPr>
                <w:rFonts w:eastAsia="Meiryo UI" w:cstheme="minorHAnsi"/>
                <w:b/>
                <w:szCs w:val="24"/>
                <w:lang w:bidi="es-ES_tradnl"/>
              </w:rPr>
            </w:pPr>
            <w:r w:rsidRPr="003A7F17">
              <w:rPr>
                <w:rFonts w:eastAsia="Meiryo UI" w:cstheme="minorHAnsi"/>
                <w:b/>
                <w:szCs w:val="24"/>
                <w:lang w:bidi="es-ES_tradnl"/>
              </w:rPr>
              <w:t xml:space="preserve">      7.00 UMA</w:t>
            </w:r>
          </w:p>
        </w:tc>
      </w:tr>
      <w:tr w:rsidR="001D5B02" w:rsidRPr="00F91543" w14:paraId="2D7CF724" w14:textId="77777777" w:rsidTr="007E5D2E">
        <w:trPr>
          <w:trHeight w:val="392"/>
        </w:trPr>
        <w:tc>
          <w:tcPr>
            <w:tcW w:w="7479" w:type="dxa"/>
          </w:tcPr>
          <w:p w14:paraId="6215F33A" w14:textId="77777777" w:rsidR="001D5B02" w:rsidRPr="00F91543" w:rsidRDefault="001D5B02" w:rsidP="00E61371">
            <w:pPr>
              <w:ind w:right="34"/>
              <w:rPr>
                <w:rFonts w:cstheme="minorHAnsi"/>
                <w:b/>
                <w:szCs w:val="24"/>
                <w:lang w:bidi="es-ES_tradnl"/>
              </w:rPr>
            </w:pPr>
            <w:r w:rsidRPr="00F91543">
              <w:rPr>
                <w:rFonts w:cstheme="minorHAnsi"/>
                <w:b/>
                <w:szCs w:val="24"/>
                <w:lang w:bidi="es-ES_tradnl"/>
              </w:rPr>
              <w:t>XI. Por el uso de espacio mensual para fotocopiadora.</w:t>
            </w:r>
          </w:p>
        </w:tc>
        <w:tc>
          <w:tcPr>
            <w:tcW w:w="1560" w:type="dxa"/>
            <w:vAlign w:val="center"/>
          </w:tcPr>
          <w:p w14:paraId="7F20EEFA" w14:textId="77777777" w:rsidR="001D5B02" w:rsidRPr="003A7F17" w:rsidRDefault="001D5B02" w:rsidP="00E61371">
            <w:pPr>
              <w:ind w:left="459" w:hanging="141"/>
              <w:jc w:val="center"/>
              <w:rPr>
                <w:rFonts w:eastAsia="Meiryo UI" w:cstheme="minorHAnsi"/>
                <w:b/>
                <w:szCs w:val="24"/>
                <w:lang w:bidi="es-ES_tradnl"/>
              </w:rPr>
            </w:pPr>
          </w:p>
        </w:tc>
      </w:tr>
      <w:tr w:rsidR="001D5B02" w:rsidRPr="00F91543" w14:paraId="1087ABE0" w14:textId="77777777" w:rsidTr="00815673">
        <w:tc>
          <w:tcPr>
            <w:tcW w:w="7479" w:type="dxa"/>
          </w:tcPr>
          <w:p w14:paraId="2E21DF8B" w14:textId="77777777" w:rsidR="001D5B02" w:rsidRPr="00F91543" w:rsidRDefault="001D5B02" w:rsidP="00E61371">
            <w:pPr>
              <w:ind w:right="34"/>
              <w:rPr>
                <w:rFonts w:cstheme="minorHAnsi"/>
                <w:szCs w:val="24"/>
                <w:lang w:bidi="es-ES_tradnl"/>
              </w:rPr>
            </w:pPr>
            <w:r w:rsidRPr="00F91543">
              <w:rPr>
                <w:rFonts w:cstheme="minorHAnsi"/>
                <w:b/>
                <w:szCs w:val="24"/>
                <w:lang w:bidi="es-ES_tradnl"/>
              </w:rPr>
              <w:t xml:space="preserve">a) Por cada </w:t>
            </w:r>
            <w:r>
              <w:rPr>
                <w:rFonts w:cstheme="minorHAnsi"/>
                <w:b/>
                <w:szCs w:val="24"/>
                <w:lang w:bidi="es-ES_tradnl"/>
              </w:rPr>
              <w:t>2</w:t>
            </w:r>
            <w:r w:rsidRPr="00F91543">
              <w:rPr>
                <w:rFonts w:cstheme="minorHAnsi"/>
                <w:b/>
                <w:szCs w:val="24"/>
                <w:lang w:bidi="es-ES_tradnl"/>
              </w:rPr>
              <w:t>00 alumnos en zonas consideradas de alta marginación según el Instituto Nacional de Estadística, Geografía e Informática.</w:t>
            </w:r>
          </w:p>
        </w:tc>
        <w:tc>
          <w:tcPr>
            <w:tcW w:w="1560" w:type="dxa"/>
            <w:vAlign w:val="center"/>
          </w:tcPr>
          <w:p w14:paraId="6489AB90" w14:textId="77777777" w:rsidR="001D5B02" w:rsidRPr="003A7F17" w:rsidRDefault="001D5B02" w:rsidP="00E61371">
            <w:pPr>
              <w:ind w:left="459" w:hanging="141"/>
              <w:jc w:val="center"/>
              <w:rPr>
                <w:rFonts w:eastAsia="Meiryo UI" w:cstheme="minorHAnsi"/>
                <w:b/>
                <w:szCs w:val="24"/>
                <w:lang w:bidi="es-ES_tradnl"/>
              </w:rPr>
            </w:pPr>
            <w:r w:rsidRPr="003A7F17">
              <w:rPr>
                <w:rFonts w:eastAsia="Meiryo UI" w:cstheme="minorHAnsi"/>
                <w:b/>
                <w:szCs w:val="24"/>
                <w:lang w:bidi="es-ES_tradnl"/>
              </w:rPr>
              <w:t>1.00 UMA</w:t>
            </w:r>
          </w:p>
        </w:tc>
      </w:tr>
      <w:tr w:rsidR="001D5B02" w:rsidRPr="00F91543" w14:paraId="0276E880" w14:textId="77777777" w:rsidTr="00815673">
        <w:tc>
          <w:tcPr>
            <w:tcW w:w="7479" w:type="dxa"/>
          </w:tcPr>
          <w:p w14:paraId="3FD96DD1" w14:textId="77777777" w:rsidR="001D5B02" w:rsidRPr="00F91543" w:rsidRDefault="001D5B02" w:rsidP="00E61371">
            <w:pPr>
              <w:ind w:right="34"/>
              <w:rPr>
                <w:rFonts w:cstheme="minorHAnsi"/>
                <w:b/>
                <w:szCs w:val="24"/>
                <w:lang w:bidi="es-ES_tradnl"/>
              </w:rPr>
            </w:pPr>
            <w:r w:rsidRPr="00F91543">
              <w:rPr>
                <w:rFonts w:cstheme="minorHAnsi"/>
                <w:b/>
                <w:szCs w:val="24"/>
                <w:lang w:bidi="es-ES_tradnl"/>
              </w:rPr>
              <w:t xml:space="preserve">b) Por cada </w:t>
            </w:r>
            <w:r>
              <w:rPr>
                <w:rFonts w:cstheme="minorHAnsi"/>
                <w:b/>
                <w:szCs w:val="24"/>
                <w:lang w:bidi="es-ES_tradnl"/>
              </w:rPr>
              <w:t>2</w:t>
            </w:r>
            <w:r w:rsidRPr="00F91543">
              <w:rPr>
                <w:rFonts w:cstheme="minorHAnsi"/>
                <w:b/>
                <w:szCs w:val="24"/>
                <w:lang w:bidi="es-ES_tradnl"/>
              </w:rPr>
              <w:t xml:space="preserve">00 alumnos en zonas consideradas de </w:t>
            </w:r>
            <w:r>
              <w:rPr>
                <w:rFonts w:cstheme="minorHAnsi"/>
                <w:b/>
                <w:szCs w:val="24"/>
                <w:lang w:bidi="es-ES_tradnl"/>
              </w:rPr>
              <w:t>m</w:t>
            </w:r>
            <w:r w:rsidRPr="00F91543">
              <w:rPr>
                <w:rFonts w:cstheme="minorHAnsi"/>
                <w:b/>
                <w:szCs w:val="24"/>
                <w:lang w:bidi="es-ES_tradnl"/>
              </w:rPr>
              <w:t>edia marginación según el Instituto Nacional de Estadística, Geografía e Informática.</w:t>
            </w:r>
          </w:p>
        </w:tc>
        <w:tc>
          <w:tcPr>
            <w:tcW w:w="1560" w:type="dxa"/>
            <w:vAlign w:val="center"/>
          </w:tcPr>
          <w:p w14:paraId="1356C2AB" w14:textId="77777777" w:rsidR="001D5B02" w:rsidRPr="003A7F17" w:rsidRDefault="001D5B02" w:rsidP="00E61371">
            <w:pPr>
              <w:ind w:left="459" w:hanging="141"/>
              <w:jc w:val="center"/>
              <w:rPr>
                <w:rFonts w:eastAsia="Meiryo UI" w:cstheme="minorHAnsi"/>
                <w:b/>
                <w:szCs w:val="24"/>
                <w:lang w:bidi="es-ES_tradnl"/>
              </w:rPr>
            </w:pPr>
            <w:r w:rsidRPr="003A7F17">
              <w:rPr>
                <w:rFonts w:eastAsia="Meiryo UI" w:cstheme="minorHAnsi"/>
                <w:b/>
                <w:szCs w:val="24"/>
                <w:lang w:bidi="es-ES_tradnl"/>
              </w:rPr>
              <w:t>2.00 UMA</w:t>
            </w:r>
          </w:p>
        </w:tc>
      </w:tr>
      <w:tr w:rsidR="001D5B02" w:rsidRPr="00F91543" w14:paraId="743E5762" w14:textId="77777777" w:rsidTr="00815673">
        <w:trPr>
          <w:trHeight w:val="774"/>
        </w:trPr>
        <w:tc>
          <w:tcPr>
            <w:tcW w:w="7479" w:type="dxa"/>
          </w:tcPr>
          <w:p w14:paraId="26C229D4" w14:textId="77777777" w:rsidR="001D5B02" w:rsidRPr="00F91543" w:rsidRDefault="001D5B02" w:rsidP="00E61371">
            <w:pPr>
              <w:ind w:right="34"/>
              <w:rPr>
                <w:rFonts w:cstheme="minorHAnsi"/>
                <w:szCs w:val="24"/>
                <w:lang w:bidi="es-ES_tradnl"/>
              </w:rPr>
            </w:pPr>
            <w:r w:rsidRPr="00F91543">
              <w:rPr>
                <w:rFonts w:cstheme="minorHAnsi"/>
                <w:b/>
                <w:szCs w:val="24"/>
                <w:lang w:bidi="es-ES_tradnl"/>
              </w:rPr>
              <w:t xml:space="preserve">c) Por cada </w:t>
            </w:r>
            <w:r>
              <w:rPr>
                <w:rFonts w:cstheme="minorHAnsi"/>
                <w:b/>
                <w:szCs w:val="24"/>
                <w:lang w:bidi="es-ES_tradnl"/>
              </w:rPr>
              <w:t>2</w:t>
            </w:r>
            <w:r w:rsidRPr="00F91543">
              <w:rPr>
                <w:rFonts w:cstheme="minorHAnsi"/>
                <w:b/>
                <w:szCs w:val="24"/>
                <w:lang w:bidi="es-ES_tradnl"/>
              </w:rPr>
              <w:t xml:space="preserve">00 alumnos en zonas consideradas de </w:t>
            </w:r>
            <w:r>
              <w:rPr>
                <w:rFonts w:cstheme="minorHAnsi"/>
                <w:b/>
                <w:szCs w:val="24"/>
                <w:lang w:bidi="es-ES_tradnl"/>
              </w:rPr>
              <w:t>b</w:t>
            </w:r>
            <w:r w:rsidRPr="00F91543">
              <w:rPr>
                <w:rFonts w:cstheme="minorHAnsi"/>
                <w:b/>
                <w:szCs w:val="24"/>
                <w:lang w:bidi="es-ES_tradnl"/>
              </w:rPr>
              <w:t>aja marginación según el Instituto Nacional de Estadística, Geografía e Informática.</w:t>
            </w:r>
          </w:p>
        </w:tc>
        <w:tc>
          <w:tcPr>
            <w:tcW w:w="1560" w:type="dxa"/>
            <w:vAlign w:val="center"/>
          </w:tcPr>
          <w:p w14:paraId="01CB6DC2" w14:textId="77777777" w:rsidR="001D5B02" w:rsidRPr="003A7F17" w:rsidRDefault="001D5B02" w:rsidP="00E61371">
            <w:pPr>
              <w:ind w:left="459" w:hanging="141"/>
              <w:jc w:val="center"/>
              <w:rPr>
                <w:rFonts w:eastAsia="Meiryo UI" w:cstheme="minorHAnsi"/>
                <w:b/>
                <w:szCs w:val="24"/>
                <w:lang w:bidi="es-ES_tradnl"/>
              </w:rPr>
            </w:pPr>
            <w:r w:rsidRPr="003A7F17">
              <w:rPr>
                <w:rFonts w:eastAsia="Meiryo UI" w:cstheme="minorHAnsi"/>
                <w:b/>
                <w:szCs w:val="24"/>
                <w:lang w:bidi="es-ES_tradnl"/>
              </w:rPr>
              <w:t>3.00 UMA</w:t>
            </w:r>
          </w:p>
        </w:tc>
      </w:tr>
      <w:tr w:rsidR="001D5B02" w:rsidRPr="00F91543" w14:paraId="3F068A2F" w14:textId="77777777" w:rsidTr="007E5D2E">
        <w:trPr>
          <w:trHeight w:val="424"/>
        </w:trPr>
        <w:tc>
          <w:tcPr>
            <w:tcW w:w="7479" w:type="dxa"/>
          </w:tcPr>
          <w:p w14:paraId="16AB3561" w14:textId="77777777" w:rsidR="001D5B02" w:rsidRPr="001519F9" w:rsidRDefault="001D5B02" w:rsidP="00E61371">
            <w:pPr>
              <w:ind w:right="34"/>
              <w:rPr>
                <w:rFonts w:cstheme="minorHAnsi"/>
                <w:szCs w:val="24"/>
                <w:lang w:bidi="es-ES_tradnl"/>
              </w:rPr>
            </w:pPr>
            <w:r w:rsidRPr="001519F9">
              <w:rPr>
                <w:rFonts w:cstheme="minorHAnsi"/>
                <w:szCs w:val="24"/>
                <w:lang w:bidi="es-ES_tradnl"/>
              </w:rPr>
              <w:t xml:space="preserve">XII. </w:t>
            </w:r>
            <w:r w:rsidRPr="001519F9">
              <w:rPr>
                <w:rFonts w:cstheme="minorHAnsi"/>
                <w:sz w:val="22"/>
                <w:szCs w:val="22"/>
                <w:lang w:bidi="es-ES_tradnl"/>
              </w:rPr>
              <w:t>…</w:t>
            </w:r>
          </w:p>
        </w:tc>
        <w:tc>
          <w:tcPr>
            <w:tcW w:w="1560" w:type="dxa"/>
            <w:vAlign w:val="center"/>
          </w:tcPr>
          <w:p w14:paraId="412B8E80" w14:textId="77777777" w:rsidR="001D5B02" w:rsidRPr="00F91543" w:rsidRDefault="001D5B02" w:rsidP="00E61371">
            <w:pPr>
              <w:ind w:left="459" w:hanging="141"/>
              <w:jc w:val="center"/>
              <w:rPr>
                <w:rFonts w:eastAsia="Meiryo UI" w:cstheme="minorHAnsi"/>
                <w:b/>
                <w:szCs w:val="24"/>
                <w:lang w:bidi="es-ES_tradnl"/>
              </w:rPr>
            </w:pPr>
          </w:p>
        </w:tc>
      </w:tr>
      <w:tr w:rsidR="001D5B02" w:rsidRPr="00F91543" w14:paraId="5B8704C1" w14:textId="77777777" w:rsidTr="00FF7EC5">
        <w:trPr>
          <w:trHeight w:val="981"/>
        </w:trPr>
        <w:tc>
          <w:tcPr>
            <w:tcW w:w="7479" w:type="dxa"/>
            <w:shd w:val="clear" w:color="auto" w:fill="auto"/>
          </w:tcPr>
          <w:p w14:paraId="78F00410" w14:textId="10C61B08" w:rsidR="001D5B02" w:rsidRPr="004D4261" w:rsidRDefault="001D5B02" w:rsidP="00540AA5">
            <w:pPr>
              <w:ind w:right="34"/>
              <w:rPr>
                <w:rFonts w:cstheme="minorHAnsi"/>
                <w:b/>
                <w:szCs w:val="24"/>
                <w:highlight w:val="yellow"/>
                <w:lang w:bidi="es-ES_tradnl"/>
              </w:rPr>
            </w:pPr>
            <w:r w:rsidRPr="00FF7EC5">
              <w:rPr>
                <w:rFonts w:cstheme="minorHAnsi"/>
                <w:b/>
                <w:szCs w:val="24"/>
                <w:lang w:bidi="es-ES_tradnl"/>
              </w:rPr>
              <w:lastRenderedPageBreak/>
              <w:t xml:space="preserve">XIII. Cuota </w:t>
            </w:r>
            <w:r w:rsidR="007E5D2E" w:rsidRPr="00FF7EC5">
              <w:rPr>
                <w:rFonts w:cstheme="minorHAnsi"/>
                <w:b/>
                <w:szCs w:val="24"/>
                <w:lang w:bidi="es-ES_tradnl"/>
              </w:rPr>
              <w:t xml:space="preserve">por </w:t>
            </w:r>
            <w:r w:rsidRPr="00FF7EC5">
              <w:rPr>
                <w:rFonts w:cstheme="minorHAnsi"/>
                <w:b/>
                <w:szCs w:val="24"/>
                <w:lang w:bidi="es-ES_tradnl"/>
              </w:rPr>
              <w:t xml:space="preserve">inscripción o reinscripción </w:t>
            </w:r>
            <w:r w:rsidR="007E5D2E" w:rsidRPr="00FF7EC5">
              <w:rPr>
                <w:rFonts w:cstheme="minorHAnsi"/>
                <w:b/>
                <w:szCs w:val="24"/>
                <w:lang w:bidi="es-ES_tradnl"/>
              </w:rPr>
              <w:t>en</w:t>
            </w:r>
            <w:r w:rsidRPr="00FF7EC5">
              <w:rPr>
                <w:rFonts w:cstheme="minorHAnsi"/>
                <w:b/>
                <w:szCs w:val="24"/>
                <w:lang w:bidi="es-ES_tradnl"/>
              </w:rPr>
              <w:t xml:space="preserve"> instituciones educativas particulares adheridas al sistema del Co</w:t>
            </w:r>
            <w:r w:rsidR="007E5D2E" w:rsidRPr="00FF7EC5">
              <w:rPr>
                <w:rFonts w:cstheme="minorHAnsi"/>
                <w:b/>
                <w:szCs w:val="24"/>
                <w:lang w:bidi="es-ES_tradnl"/>
              </w:rPr>
              <w:t>legio de Bachilleres de Tabasco</w:t>
            </w:r>
            <w:r w:rsidR="00540AA5" w:rsidRPr="00FF7EC5">
              <w:rPr>
                <w:rFonts w:cstheme="minorHAnsi"/>
                <w:b/>
                <w:szCs w:val="24"/>
                <w:lang w:bidi="es-ES_tradnl"/>
              </w:rPr>
              <w:t xml:space="preserve"> por cada mil pesos que ingresen por dicho</w:t>
            </w:r>
            <w:r w:rsidR="00B865E5" w:rsidRPr="00FF7EC5">
              <w:rPr>
                <w:rFonts w:cstheme="minorHAnsi"/>
                <w:b/>
                <w:szCs w:val="24"/>
                <w:lang w:bidi="es-ES_tradnl"/>
              </w:rPr>
              <w:t>s</w:t>
            </w:r>
            <w:r w:rsidR="00540AA5" w:rsidRPr="00FF7EC5">
              <w:rPr>
                <w:rFonts w:cstheme="minorHAnsi"/>
                <w:b/>
                <w:szCs w:val="24"/>
                <w:lang w:bidi="es-ES_tradnl"/>
              </w:rPr>
              <w:t xml:space="preserve"> concepto</w:t>
            </w:r>
            <w:r w:rsidR="00B865E5" w:rsidRPr="00FF7EC5">
              <w:rPr>
                <w:rFonts w:cstheme="minorHAnsi"/>
                <w:b/>
                <w:szCs w:val="24"/>
                <w:lang w:bidi="es-ES_tradnl"/>
              </w:rPr>
              <w:t>s</w:t>
            </w:r>
            <w:r w:rsidRPr="00FF7EC5">
              <w:rPr>
                <w:rFonts w:cstheme="minorHAnsi"/>
                <w:b/>
                <w:szCs w:val="24"/>
                <w:lang w:bidi="es-ES_tradnl"/>
              </w:rPr>
              <w:t>.</w:t>
            </w:r>
          </w:p>
        </w:tc>
        <w:tc>
          <w:tcPr>
            <w:tcW w:w="1560" w:type="dxa"/>
            <w:vAlign w:val="center"/>
          </w:tcPr>
          <w:p w14:paraId="2AD8D598" w14:textId="77777777" w:rsidR="001D5B02" w:rsidRPr="00F91543" w:rsidRDefault="001D5B02" w:rsidP="00E61371">
            <w:pPr>
              <w:ind w:left="459" w:hanging="141"/>
              <w:jc w:val="center"/>
              <w:rPr>
                <w:rFonts w:eastAsia="Meiryo UI" w:cstheme="minorHAnsi"/>
                <w:b/>
                <w:szCs w:val="24"/>
                <w:lang w:bidi="es-ES_tradnl"/>
              </w:rPr>
            </w:pPr>
            <w:r w:rsidRPr="00F91543">
              <w:rPr>
                <w:rFonts w:eastAsia="Meiryo UI" w:cstheme="minorHAnsi"/>
                <w:b/>
                <w:szCs w:val="24"/>
                <w:lang w:bidi="es-ES_tradnl"/>
              </w:rPr>
              <w:t xml:space="preserve">        $115.00</w:t>
            </w:r>
          </w:p>
        </w:tc>
      </w:tr>
      <w:tr w:rsidR="001D5B02" w:rsidRPr="00F91543" w14:paraId="76844531" w14:textId="77777777" w:rsidTr="007E5D2E">
        <w:trPr>
          <w:trHeight w:val="414"/>
        </w:trPr>
        <w:tc>
          <w:tcPr>
            <w:tcW w:w="7479" w:type="dxa"/>
          </w:tcPr>
          <w:p w14:paraId="65CE4677" w14:textId="77777777" w:rsidR="001D5B02" w:rsidRPr="00F91543" w:rsidRDefault="001D5B02" w:rsidP="00E61371">
            <w:pPr>
              <w:ind w:right="34"/>
              <w:rPr>
                <w:rFonts w:cstheme="minorHAnsi"/>
                <w:b/>
                <w:szCs w:val="24"/>
                <w:lang w:bidi="es-ES_tradnl"/>
              </w:rPr>
            </w:pPr>
            <w:r w:rsidRPr="00F91543">
              <w:rPr>
                <w:rFonts w:cstheme="minorHAnsi"/>
                <w:szCs w:val="24"/>
                <w:lang w:bidi="es-ES_tradnl"/>
              </w:rPr>
              <w:t>De la XIV a la XV.</w:t>
            </w:r>
            <w:r w:rsidRPr="00F91543">
              <w:rPr>
                <w:rFonts w:cstheme="minorHAnsi"/>
                <w:b/>
                <w:szCs w:val="24"/>
                <w:lang w:bidi="es-ES_tradnl"/>
              </w:rPr>
              <w:t xml:space="preserve"> </w:t>
            </w:r>
            <w:r w:rsidRPr="00F91543">
              <w:rPr>
                <w:rFonts w:cstheme="minorHAnsi"/>
                <w:szCs w:val="24"/>
                <w:lang w:bidi="es-ES_tradnl"/>
              </w:rPr>
              <w:t>…</w:t>
            </w:r>
          </w:p>
        </w:tc>
        <w:tc>
          <w:tcPr>
            <w:tcW w:w="1560" w:type="dxa"/>
            <w:vAlign w:val="center"/>
          </w:tcPr>
          <w:p w14:paraId="357221B7" w14:textId="77777777" w:rsidR="001D5B02" w:rsidRPr="00F91543" w:rsidRDefault="001D5B02" w:rsidP="00E61371">
            <w:pPr>
              <w:ind w:left="459" w:hanging="141"/>
              <w:jc w:val="center"/>
              <w:rPr>
                <w:rFonts w:eastAsia="Meiryo UI" w:cstheme="minorHAnsi"/>
                <w:b/>
                <w:szCs w:val="24"/>
                <w:lang w:bidi="es-ES_tradnl"/>
              </w:rPr>
            </w:pPr>
          </w:p>
        </w:tc>
      </w:tr>
      <w:tr w:rsidR="001D5B02" w:rsidRPr="00F91543" w14:paraId="22675125" w14:textId="77777777" w:rsidTr="007E5D2E">
        <w:trPr>
          <w:trHeight w:val="434"/>
        </w:trPr>
        <w:tc>
          <w:tcPr>
            <w:tcW w:w="7479" w:type="dxa"/>
          </w:tcPr>
          <w:p w14:paraId="4B5F4F3A" w14:textId="77777777" w:rsidR="001D5B02" w:rsidRPr="00F91543" w:rsidRDefault="001D5B02" w:rsidP="00E61371">
            <w:pPr>
              <w:ind w:right="34"/>
              <w:rPr>
                <w:rFonts w:cstheme="minorHAnsi"/>
                <w:b/>
                <w:szCs w:val="24"/>
                <w:lang w:bidi="es-ES_tradnl"/>
              </w:rPr>
            </w:pPr>
            <w:r w:rsidRPr="00F91543">
              <w:rPr>
                <w:rFonts w:cstheme="minorHAnsi"/>
                <w:b/>
                <w:szCs w:val="24"/>
                <w:lang w:bidi="es-ES_tradnl"/>
              </w:rPr>
              <w:t xml:space="preserve">XVI. Diploma </w:t>
            </w:r>
            <w:r w:rsidRPr="00F91543">
              <w:rPr>
                <w:rFonts w:cstheme="minorHAnsi"/>
                <w:szCs w:val="24"/>
                <w:lang w:bidi="es-ES_tradnl"/>
              </w:rPr>
              <w:t>de bachillerato y capacitación</w:t>
            </w:r>
          </w:p>
        </w:tc>
        <w:tc>
          <w:tcPr>
            <w:tcW w:w="1560" w:type="dxa"/>
            <w:vAlign w:val="center"/>
          </w:tcPr>
          <w:p w14:paraId="226F499A" w14:textId="77777777" w:rsidR="001D5B02" w:rsidRPr="005C390F" w:rsidRDefault="001D5B02" w:rsidP="00E61371">
            <w:pPr>
              <w:ind w:left="459" w:hanging="141"/>
              <w:jc w:val="center"/>
              <w:rPr>
                <w:rFonts w:eastAsia="Meiryo UI" w:cstheme="minorHAnsi"/>
                <w:szCs w:val="24"/>
                <w:lang w:bidi="es-ES_tradnl"/>
              </w:rPr>
            </w:pPr>
            <w:r w:rsidRPr="005C390F">
              <w:rPr>
                <w:rFonts w:eastAsia="Meiryo UI" w:cstheme="minorHAnsi"/>
                <w:szCs w:val="24"/>
                <w:lang w:bidi="es-ES_tradnl"/>
              </w:rPr>
              <w:t>3.13 UMA</w:t>
            </w:r>
          </w:p>
        </w:tc>
      </w:tr>
      <w:tr w:rsidR="001D5B02" w:rsidRPr="00F91543" w14:paraId="12B1D67D" w14:textId="77777777" w:rsidTr="007E5D2E">
        <w:trPr>
          <w:trHeight w:val="412"/>
        </w:trPr>
        <w:tc>
          <w:tcPr>
            <w:tcW w:w="7479" w:type="dxa"/>
          </w:tcPr>
          <w:p w14:paraId="70A0B4C2" w14:textId="77777777" w:rsidR="001D5B02" w:rsidRPr="00F91543" w:rsidRDefault="001D5B02" w:rsidP="00E61371">
            <w:pPr>
              <w:ind w:right="34"/>
              <w:rPr>
                <w:rFonts w:cstheme="minorHAnsi"/>
                <w:b/>
                <w:szCs w:val="24"/>
                <w:lang w:bidi="es-ES_tradnl"/>
              </w:rPr>
            </w:pPr>
            <w:r w:rsidRPr="00F91543">
              <w:rPr>
                <w:rFonts w:cstheme="minorHAnsi"/>
                <w:szCs w:val="24"/>
                <w:lang w:bidi="es-ES_tradnl"/>
              </w:rPr>
              <w:t>De la XVI a la XXII.</w:t>
            </w:r>
            <w:r w:rsidRPr="00F91543">
              <w:rPr>
                <w:rFonts w:cstheme="minorHAnsi"/>
                <w:b/>
                <w:szCs w:val="24"/>
                <w:lang w:bidi="es-ES_tradnl"/>
              </w:rPr>
              <w:t xml:space="preserve"> </w:t>
            </w:r>
            <w:r w:rsidRPr="00F91543">
              <w:rPr>
                <w:rFonts w:cstheme="minorHAnsi"/>
                <w:szCs w:val="24"/>
                <w:lang w:bidi="es-ES_tradnl"/>
              </w:rPr>
              <w:t>…</w:t>
            </w:r>
          </w:p>
        </w:tc>
        <w:tc>
          <w:tcPr>
            <w:tcW w:w="1560" w:type="dxa"/>
            <w:vAlign w:val="center"/>
          </w:tcPr>
          <w:p w14:paraId="604358C8" w14:textId="77777777" w:rsidR="001D5B02" w:rsidRPr="00F91543" w:rsidRDefault="001D5B02" w:rsidP="00E61371">
            <w:pPr>
              <w:ind w:left="459" w:hanging="141"/>
              <w:jc w:val="center"/>
              <w:rPr>
                <w:rFonts w:eastAsia="Meiryo UI" w:cstheme="minorHAnsi"/>
                <w:b/>
                <w:szCs w:val="24"/>
                <w:lang w:bidi="es-ES_tradnl"/>
              </w:rPr>
            </w:pPr>
          </w:p>
        </w:tc>
      </w:tr>
      <w:tr w:rsidR="001D5B02" w:rsidRPr="00F91543" w14:paraId="04388887" w14:textId="77777777" w:rsidTr="00815673">
        <w:tc>
          <w:tcPr>
            <w:tcW w:w="7479" w:type="dxa"/>
          </w:tcPr>
          <w:p w14:paraId="4B7E271E" w14:textId="77777777" w:rsidR="001D5B02" w:rsidRPr="00F91543" w:rsidRDefault="001D5B02" w:rsidP="00E61371">
            <w:pPr>
              <w:ind w:right="34"/>
              <w:rPr>
                <w:rFonts w:cstheme="minorHAnsi"/>
                <w:b/>
                <w:szCs w:val="24"/>
                <w:lang w:bidi="es-ES_tradnl"/>
              </w:rPr>
            </w:pPr>
            <w:r w:rsidRPr="00F91543">
              <w:rPr>
                <w:rFonts w:cstheme="minorHAnsi"/>
                <w:b/>
                <w:szCs w:val="24"/>
                <w:lang w:bidi="es-ES_tradnl"/>
              </w:rPr>
              <w:t xml:space="preserve">XXIII. </w:t>
            </w:r>
            <w:r w:rsidRPr="00F91543">
              <w:rPr>
                <w:rFonts w:cstheme="minorHAnsi"/>
                <w:szCs w:val="24"/>
                <w:lang w:bidi="es-ES_tradnl"/>
              </w:rPr>
              <w:t>Regularización especial</w:t>
            </w:r>
          </w:p>
        </w:tc>
        <w:tc>
          <w:tcPr>
            <w:tcW w:w="1560" w:type="dxa"/>
            <w:vAlign w:val="center"/>
          </w:tcPr>
          <w:p w14:paraId="41AF7C18" w14:textId="77777777" w:rsidR="001D5B02" w:rsidRPr="00F91543" w:rsidRDefault="001D5B02" w:rsidP="00E61371">
            <w:pPr>
              <w:ind w:left="459" w:hanging="141"/>
              <w:jc w:val="center"/>
              <w:rPr>
                <w:rFonts w:eastAsia="Meiryo UI" w:cstheme="minorHAnsi"/>
                <w:b/>
                <w:szCs w:val="24"/>
                <w:lang w:bidi="es-ES_tradnl"/>
              </w:rPr>
            </w:pPr>
            <w:r w:rsidRPr="00F91543">
              <w:rPr>
                <w:rFonts w:eastAsia="Meiryo UI" w:cstheme="minorHAnsi"/>
                <w:b/>
                <w:szCs w:val="24"/>
                <w:lang w:bidi="es-ES_tradnl"/>
              </w:rPr>
              <w:t>3.56</w:t>
            </w:r>
            <w:r w:rsidRPr="00F91543">
              <w:rPr>
                <w:rFonts w:eastAsia="Meiryo UI" w:cstheme="minorHAnsi"/>
                <w:szCs w:val="24"/>
                <w:lang w:bidi="es-ES_tradnl"/>
              </w:rPr>
              <w:t xml:space="preserve"> UMA</w:t>
            </w:r>
          </w:p>
        </w:tc>
      </w:tr>
    </w:tbl>
    <w:p w14:paraId="29D015E1" w14:textId="77777777" w:rsidR="001D5B02" w:rsidRDefault="001D5B02" w:rsidP="000545CF">
      <w:pPr>
        <w:spacing w:line="360" w:lineRule="auto"/>
        <w:ind w:right="-232"/>
        <w:jc w:val="center"/>
        <w:rPr>
          <w:rFonts w:asciiTheme="majorHAnsi" w:hAnsiTheme="majorHAnsi" w:cstheme="majorHAnsi"/>
          <w:b/>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560"/>
      </w:tblGrid>
      <w:tr w:rsidR="001D5B02" w:rsidRPr="001D5B02" w14:paraId="5899F505" w14:textId="77777777" w:rsidTr="00656E9E">
        <w:trPr>
          <w:trHeight w:val="763"/>
        </w:trPr>
        <w:tc>
          <w:tcPr>
            <w:tcW w:w="7479" w:type="dxa"/>
          </w:tcPr>
          <w:p w14:paraId="2CF1B336" w14:textId="77777777" w:rsidR="001D5B02" w:rsidRDefault="001D5B02" w:rsidP="00E61371">
            <w:pPr>
              <w:autoSpaceDE w:val="0"/>
              <w:autoSpaceDN w:val="0"/>
              <w:adjustRightInd w:val="0"/>
              <w:rPr>
                <w:rFonts w:asciiTheme="majorHAnsi" w:hAnsiTheme="majorHAnsi" w:cstheme="minorHAnsi"/>
                <w:szCs w:val="24"/>
              </w:rPr>
            </w:pPr>
            <w:r w:rsidRPr="001D5B02">
              <w:rPr>
                <w:rFonts w:asciiTheme="majorHAnsi" w:hAnsiTheme="majorHAnsi" w:cstheme="minorHAnsi"/>
                <w:b/>
                <w:szCs w:val="24"/>
              </w:rPr>
              <w:t xml:space="preserve">SÉPTIMO. </w:t>
            </w:r>
            <w:r w:rsidRPr="001D5B02">
              <w:rPr>
                <w:rFonts w:asciiTheme="majorHAnsi" w:hAnsiTheme="majorHAnsi" w:cstheme="minorHAnsi"/>
                <w:szCs w:val="24"/>
              </w:rPr>
              <w:t>…</w:t>
            </w:r>
          </w:p>
          <w:p w14:paraId="1ADB510C" w14:textId="77777777" w:rsidR="00FF7EC5" w:rsidRPr="00FF7EC5" w:rsidRDefault="00FF7EC5" w:rsidP="00E61371">
            <w:pPr>
              <w:autoSpaceDE w:val="0"/>
              <w:autoSpaceDN w:val="0"/>
              <w:adjustRightInd w:val="0"/>
              <w:rPr>
                <w:rFonts w:asciiTheme="majorHAnsi" w:hAnsiTheme="majorHAnsi" w:cstheme="minorHAnsi"/>
                <w:sz w:val="6"/>
                <w:szCs w:val="24"/>
              </w:rPr>
            </w:pPr>
          </w:p>
          <w:p w14:paraId="4F74DEE8" w14:textId="5C52451C" w:rsidR="001D5B02" w:rsidRPr="00082BB7" w:rsidRDefault="00082BB7" w:rsidP="00E61371">
            <w:pPr>
              <w:ind w:right="33"/>
              <w:rPr>
                <w:rFonts w:asciiTheme="majorHAnsi" w:hAnsiTheme="majorHAnsi" w:cstheme="minorHAnsi"/>
                <w:szCs w:val="24"/>
              </w:rPr>
            </w:pPr>
            <w:r w:rsidRPr="00082BB7">
              <w:rPr>
                <w:rFonts w:asciiTheme="majorHAnsi" w:hAnsiTheme="majorHAnsi" w:cstheme="minorHAnsi"/>
                <w:szCs w:val="24"/>
              </w:rPr>
              <w:t xml:space="preserve">De la I a la XIX. </w:t>
            </w:r>
            <w:r w:rsidRPr="00082BB7">
              <w:rPr>
                <w:rFonts w:asciiTheme="majorHAnsi" w:hAnsiTheme="majorHAnsi" w:cstheme="minorHAnsi"/>
                <w:sz w:val="22"/>
                <w:szCs w:val="22"/>
              </w:rPr>
              <w:t>…</w:t>
            </w:r>
          </w:p>
        </w:tc>
        <w:tc>
          <w:tcPr>
            <w:tcW w:w="1560" w:type="dxa"/>
          </w:tcPr>
          <w:p w14:paraId="51983E46" w14:textId="77777777" w:rsidR="001D5B02" w:rsidRPr="001D5B02" w:rsidRDefault="001D5B02" w:rsidP="00E61371">
            <w:pPr>
              <w:ind w:left="-250" w:right="33"/>
              <w:jc w:val="right"/>
              <w:rPr>
                <w:rFonts w:asciiTheme="majorHAnsi" w:eastAsia="Meiryo UI" w:hAnsiTheme="majorHAnsi" w:cstheme="minorHAnsi"/>
                <w:b/>
                <w:szCs w:val="24"/>
                <w:lang w:bidi="es-ES_tradnl"/>
              </w:rPr>
            </w:pPr>
          </w:p>
        </w:tc>
      </w:tr>
      <w:tr w:rsidR="001D5B02" w:rsidRPr="001D5B02" w14:paraId="776AC639" w14:textId="77777777" w:rsidTr="00656E9E">
        <w:trPr>
          <w:trHeight w:val="469"/>
        </w:trPr>
        <w:tc>
          <w:tcPr>
            <w:tcW w:w="7479" w:type="dxa"/>
          </w:tcPr>
          <w:p w14:paraId="2559A8BE" w14:textId="77777777" w:rsidR="001D5B02" w:rsidRPr="001D5B02" w:rsidRDefault="001D5B02" w:rsidP="00E61371">
            <w:pPr>
              <w:spacing w:line="276" w:lineRule="auto"/>
              <w:ind w:right="33"/>
              <w:rPr>
                <w:rFonts w:asciiTheme="majorHAnsi" w:hAnsiTheme="majorHAnsi" w:cstheme="minorHAnsi"/>
                <w:b/>
                <w:szCs w:val="24"/>
                <w:lang w:bidi="es-ES_tradnl"/>
              </w:rPr>
            </w:pPr>
            <w:r w:rsidRPr="001D5B02">
              <w:rPr>
                <w:rFonts w:asciiTheme="majorHAnsi" w:hAnsiTheme="majorHAnsi" w:cstheme="minorHAnsi"/>
                <w:b/>
                <w:szCs w:val="24"/>
              </w:rPr>
              <w:t>XX. Duplicado de cédula</w:t>
            </w:r>
          </w:p>
        </w:tc>
        <w:tc>
          <w:tcPr>
            <w:tcW w:w="1560" w:type="dxa"/>
          </w:tcPr>
          <w:p w14:paraId="7BAB5863" w14:textId="77777777" w:rsidR="001D5B02" w:rsidRPr="001D5B02" w:rsidRDefault="001D5B02" w:rsidP="00E61371">
            <w:pPr>
              <w:spacing w:line="276" w:lineRule="auto"/>
              <w:ind w:left="-250" w:right="33"/>
              <w:jc w:val="right"/>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7.45 UMA</w:t>
            </w:r>
          </w:p>
        </w:tc>
      </w:tr>
      <w:tr w:rsidR="001D5B02" w:rsidRPr="001D5B02" w14:paraId="1E75EEB6" w14:textId="77777777" w:rsidTr="00656E9E">
        <w:trPr>
          <w:trHeight w:val="552"/>
        </w:trPr>
        <w:tc>
          <w:tcPr>
            <w:tcW w:w="7479" w:type="dxa"/>
          </w:tcPr>
          <w:p w14:paraId="56436713" w14:textId="77777777" w:rsidR="001D5B02" w:rsidRPr="001D5B02" w:rsidRDefault="001D5B02" w:rsidP="00E61371">
            <w:pPr>
              <w:spacing w:line="276" w:lineRule="auto"/>
              <w:ind w:right="33"/>
              <w:rPr>
                <w:rFonts w:asciiTheme="majorHAnsi" w:hAnsiTheme="majorHAnsi" w:cstheme="minorHAnsi"/>
                <w:b/>
                <w:szCs w:val="24"/>
                <w:lang w:bidi="es-ES_tradnl"/>
              </w:rPr>
            </w:pPr>
            <w:r w:rsidRPr="001D5B02">
              <w:rPr>
                <w:rFonts w:asciiTheme="majorHAnsi" w:hAnsiTheme="majorHAnsi" w:cstheme="minorHAnsi"/>
                <w:b/>
                <w:szCs w:val="24"/>
                <w:lang w:bidi="es-ES_tradnl"/>
              </w:rPr>
              <w:t>XXI. Credencial de empleado</w:t>
            </w:r>
          </w:p>
        </w:tc>
        <w:tc>
          <w:tcPr>
            <w:tcW w:w="1560" w:type="dxa"/>
          </w:tcPr>
          <w:p w14:paraId="72D6332B" w14:textId="77777777" w:rsidR="001D5B02" w:rsidRPr="001D5B02" w:rsidRDefault="001D5B02" w:rsidP="00E61371">
            <w:pPr>
              <w:spacing w:line="276" w:lineRule="auto"/>
              <w:ind w:left="284" w:right="33" w:hanging="284"/>
              <w:jc w:val="right"/>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0.62 UMA</w:t>
            </w:r>
          </w:p>
        </w:tc>
      </w:tr>
      <w:tr w:rsidR="001D5B02" w:rsidRPr="001D5B02" w14:paraId="558AA459" w14:textId="77777777" w:rsidTr="00656E9E">
        <w:trPr>
          <w:trHeight w:val="403"/>
        </w:trPr>
        <w:tc>
          <w:tcPr>
            <w:tcW w:w="7479" w:type="dxa"/>
          </w:tcPr>
          <w:p w14:paraId="2D5379C9" w14:textId="77777777" w:rsidR="001D5B02" w:rsidRPr="001D5B02" w:rsidRDefault="001D5B02" w:rsidP="00E61371">
            <w:pPr>
              <w:spacing w:line="276" w:lineRule="auto"/>
              <w:ind w:right="33"/>
              <w:rPr>
                <w:rFonts w:asciiTheme="majorHAnsi" w:hAnsiTheme="majorHAnsi" w:cstheme="minorHAnsi"/>
                <w:b/>
                <w:szCs w:val="24"/>
                <w:lang w:bidi="es-ES_tradnl"/>
              </w:rPr>
            </w:pPr>
            <w:r w:rsidRPr="001D5B02">
              <w:rPr>
                <w:rFonts w:asciiTheme="majorHAnsi" w:hAnsiTheme="majorHAnsi" w:cstheme="minorHAnsi"/>
                <w:b/>
                <w:szCs w:val="24"/>
                <w:lang w:bidi="es-ES_tradnl"/>
              </w:rPr>
              <w:t>XXI. Examen extraordinario</w:t>
            </w:r>
          </w:p>
        </w:tc>
        <w:tc>
          <w:tcPr>
            <w:tcW w:w="1560" w:type="dxa"/>
          </w:tcPr>
          <w:p w14:paraId="7673DA4D" w14:textId="77777777" w:rsidR="001D5B02" w:rsidRPr="001D5B02" w:rsidRDefault="001D5B02" w:rsidP="00E61371">
            <w:pPr>
              <w:spacing w:line="276" w:lineRule="auto"/>
              <w:ind w:left="317" w:right="33" w:hanging="317"/>
              <w:jc w:val="right"/>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 xml:space="preserve">    0.62 UMA</w:t>
            </w:r>
          </w:p>
        </w:tc>
      </w:tr>
      <w:tr w:rsidR="001D5B02" w:rsidRPr="001D5B02" w14:paraId="6F77D9E3" w14:textId="77777777" w:rsidTr="00656E9E">
        <w:trPr>
          <w:trHeight w:val="409"/>
        </w:trPr>
        <w:tc>
          <w:tcPr>
            <w:tcW w:w="7479" w:type="dxa"/>
          </w:tcPr>
          <w:p w14:paraId="42CFC538" w14:textId="77777777" w:rsidR="001D5B02" w:rsidRPr="001D5B02" w:rsidRDefault="001D5B02" w:rsidP="00E61371">
            <w:pPr>
              <w:pStyle w:val="Estilo"/>
              <w:rPr>
                <w:rFonts w:asciiTheme="majorHAnsi" w:eastAsia="Meiryo UI" w:hAnsiTheme="majorHAnsi" w:cstheme="minorHAnsi"/>
                <w:b/>
                <w:szCs w:val="24"/>
                <w:lang w:bidi="es-ES_tradnl"/>
              </w:rPr>
            </w:pPr>
            <w:r w:rsidRPr="001D5B02">
              <w:rPr>
                <w:rFonts w:asciiTheme="majorHAnsi" w:hAnsiTheme="majorHAnsi" w:cstheme="minorHAnsi"/>
                <w:b/>
                <w:szCs w:val="24"/>
                <w:lang w:bidi="es-ES_tradnl"/>
              </w:rPr>
              <w:t>XXII. Reposición de historial académico</w:t>
            </w:r>
          </w:p>
        </w:tc>
        <w:tc>
          <w:tcPr>
            <w:tcW w:w="1560" w:type="dxa"/>
          </w:tcPr>
          <w:p w14:paraId="37CDDBD9" w14:textId="77777777" w:rsidR="001D5B02" w:rsidRPr="001D5B02" w:rsidRDefault="001D5B02" w:rsidP="00E61371">
            <w:pPr>
              <w:pStyle w:val="Estilo"/>
              <w:jc w:val="right"/>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1.24 UMA</w:t>
            </w:r>
          </w:p>
        </w:tc>
      </w:tr>
      <w:tr w:rsidR="001D5B02" w:rsidRPr="001D5B02" w14:paraId="434A4A2C" w14:textId="77777777" w:rsidTr="00656E9E">
        <w:trPr>
          <w:trHeight w:val="571"/>
        </w:trPr>
        <w:tc>
          <w:tcPr>
            <w:tcW w:w="7479" w:type="dxa"/>
          </w:tcPr>
          <w:p w14:paraId="63EED34C" w14:textId="77777777" w:rsidR="001D5B02" w:rsidRPr="001D5B02" w:rsidRDefault="001D5B02" w:rsidP="00E61371">
            <w:pPr>
              <w:pStyle w:val="Estilo"/>
              <w:rPr>
                <w:rFonts w:asciiTheme="majorHAnsi" w:eastAsia="Meiryo UI" w:hAnsiTheme="majorHAnsi" w:cstheme="minorHAnsi"/>
                <w:b/>
                <w:szCs w:val="24"/>
                <w:lang w:bidi="es-ES_tradnl"/>
              </w:rPr>
            </w:pPr>
            <w:r w:rsidRPr="001D5B02">
              <w:rPr>
                <w:rFonts w:asciiTheme="majorHAnsi" w:hAnsiTheme="majorHAnsi" w:cstheme="minorHAnsi"/>
                <w:b/>
                <w:szCs w:val="24"/>
                <w:lang w:bidi="es-ES_tradnl"/>
              </w:rPr>
              <w:t>XXIII. Reposición de carta de presentación de prácticas profesionales</w:t>
            </w:r>
          </w:p>
        </w:tc>
        <w:tc>
          <w:tcPr>
            <w:tcW w:w="1560" w:type="dxa"/>
          </w:tcPr>
          <w:p w14:paraId="5C2CF1EF" w14:textId="77777777" w:rsidR="001D5B02" w:rsidRPr="001D5B02" w:rsidRDefault="001D5B02" w:rsidP="00E61371">
            <w:pPr>
              <w:pStyle w:val="Estilo"/>
              <w:jc w:val="right"/>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1.49 UMA</w:t>
            </w:r>
          </w:p>
        </w:tc>
      </w:tr>
      <w:tr w:rsidR="001D5B02" w:rsidRPr="001D5B02" w14:paraId="29DC8401" w14:textId="77777777" w:rsidTr="00656E9E">
        <w:trPr>
          <w:trHeight w:val="571"/>
        </w:trPr>
        <w:tc>
          <w:tcPr>
            <w:tcW w:w="7479" w:type="dxa"/>
          </w:tcPr>
          <w:p w14:paraId="140C467D" w14:textId="77777777" w:rsidR="001D5B02" w:rsidRPr="001D5B02" w:rsidRDefault="001D5B02" w:rsidP="00E61371">
            <w:pPr>
              <w:pStyle w:val="Estilo"/>
              <w:rPr>
                <w:rFonts w:asciiTheme="majorHAnsi" w:hAnsiTheme="majorHAnsi" w:cstheme="minorHAnsi"/>
                <w:b/>
                <w:szCs w:val="24"/>
                <w:lang w:bidi="es-ES_tradnl"/>
              </w:rPr>
            </w:pPr>
            <w:r w:rsidRPr="001D5B02">
              <w:rPr>
                <w:rFonts w:asciiTheme="majorHAnsi" w:hAnsiTheme="majorHAnsi" w:cstheme="minorHAnsi"/>
                <w:b/>
                <w:szCs w:val="24"/>
                <w:lang w:bidi="es-ES_tradnl"/>
              </w:rPr>
              <w:t>XXIV. Reposición de constancia de liberación de prácticas profesionales</w:t>
            </w:r>
          </w:p>
        </w:tc>
        <w:tc>
          <w:tcPr>
            <w:tcW w:w="1560" w:type="dxa"/>
          </w:tcPr>
          <w:p w14:paraId="35F8EE58" w14:textId="77777777" w:rsidR="001D5B02" w:rsidRPr="001D5B02" w:rsidRDefault="001D5B02" w:rsidP="00E61371">
            <w:pPr>
              <w:pStyle w:val="Estilo"/>
              <w:jc w:val="right"/>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1.24 UMA</w:t>
            </w:r>
          </w:p>
        </w:tc>
      </w:tr>
      <w:tr w:rsidR="001D5B02" w:rsidRPr="001D5B02" w14:paraId="2FA3FE00" w14:textId="77777777" w:rsidTr="00656E9E">
        <w:trPr>
          <w:trHeight w:val="396"/>
        </w:trPr>
        <w:tc>
          <w:tcPr>
            <w:tcW w:w="7479" w:type="dxa"/>
          </w:tcPr>
          <w:p w14:paraId="0BC0F2A2" w14:textId="77777777" w:rsidR="001D5B02" w:rsidRPr="001D5B02" w:rsidRDefault="001D5B02" w:rsidP="00E61371">
            <w:pPr>
              <w:pStyle w:val="Estilo"/>
              <w:rPr>
                <w:rFonts w:asciiTheme="majorHAnsi" w:eastAsia="Meiryo UI" w:hAnsiTheme="majorHAnsi" w:cstheme="minorHAnsi"/>
                <w:b/>
                <w:szCs w:val="24"/>
                <w:lang w:bidi="es-ES_tradnl"/>
              </w:rPr>
            </w:pPr>
            <w:r w:rsidRPr="001D5B02">
              <w:rPr>
                <w:rFonts w:asciiTheme="majorHAnsi" w:hAnsiTheme="majorHAnsi" w:cstheme="minorHAnsi"/>
                <w:b/>
                <w:szCs w:val="24"/>
                <w:lang w:bidi="es-ES_tradnl"/>
              </w:rPr>
              <w:t>XXV. Cambio de plantel oficial a particular o viceversa</w:t>
            </w:r>
          </w:p>
        </w:tc>
        <w:tc>
          <w:tcPr>
            <w:tcW w:w="1560" w:type="dxa"/>
          </w:tcPr>
          <w:p w14:paraId="0428E348" w14:textId="77777777" w:rsidR="001D5B02" w:rsidRPr="001D5B02" w:rsidRDefault="001D5B02" w:rsidP="00E61371">
            <w:pPr>
              <w:pStyle w:val="Estilo"/>
              <w:jc w:val="right"/>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4.96 UMA</w:t>
            </w:r>
          </w:p>
        </w:tc>
      </w:tr>
      <w:tr w:rsidR="001D5B02" w:rsidRPr="001D5B02" w14:paraId="3148BC1C" w14:textId="77777777" w:rsidTr="00656E9E">
        <w:trPr>
          <w:trHeight w:val="415"/>
        </w:trPr>
        <w:tc>
          <w:tcPr>
            <w:tcW w:w="7479" w:type="dxa"/>
          </w:tcPr>
          <w:p w14:paraId="41540C5C" w14:textId="77777777" w:rsidR="001D5B02" w:rsidRPr="001D5B02" w:rsidRDefault="001D5B02" w:rsidP="00E61371">
            <w:pPr>
              <w:tabs>
                <w:tab w:val="left" w:pos="4495"/>
              </w:tabs>
              <w:spacing w:line="276" w:lineRule="auto"/>
              <w:ind w:right="1452"/>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XXVI. Equivalencia de estudios (convalidación)</w:t>
            </w:r>
          </w:p>
        </w:tc>
        <w:tc>
          <w:tcPr>
            <w:tcW w:w="1560" w:type="dxa"/>
          </w:tcPr>
          <w:p w14:paraId="506AEE67" w14:textId="77777777" w:rsidR="001D5B02" w:rsidRPr="001D5B02" w:rsidRDefault="001D5B02" w:rsidP="00E61371">
            <w:pPr>
              <w:spacing w:line="276" w:lineRule="auto"/>
              <w:ind w:left="-250"/>
              <w:jc w:val="right"/>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6.2 UMA</w:t>
            </w:r>
          </w:p>
        </w:tc>
      </w:tr>
      <w:tr w:rsidR="001D5B02" w:rsidRPr="001D5B02" w14:paraId="52E55F5F" w14:textId="77777777" w:rsidTr="00656E9E">
        <w:trPr>
          <w:trHeight w:val="430"/>
        </w:trPr>
        <w:tc>
          <w:tcPr>
            <w:tcW w:w="7479" w:type="dxa"/>
          </w:tcPr>
          <w:p w14:paraId="4E655E14" w14:textId="77777777" w:rsidR="001D5B02" w:rsidRPr="001D5B02" w:rsidRDefault="001D5B02" w:rsidP="00E61371">
            <w:pPr>
              <w:rPr>
                <w:rFonts w:asciiTheme="majorHAnsi" w:eastAsia="Meiryo UI" w:hAnsiTheme="majorHAnsi" w:cstheme="minorHAnsi"/>
                <w:szCs w:val="24"/>
                <w:lang w:bidi="es-ES_tradnl"/>
              </w:rPr>
            </w:pPr>
            <w:r w:rsidRPr="001D5B02">
              <w:rPr>
                <w:rFonts w:asciiTheme="majorHAnsi" w:eastAsia="Meiryo UI" w:hAnsiTheme="majorHAnsi" w:cstheme="minorHAnsi"/>
                <w:b/>
                <w:szCs w:val="24"/>
                <w:lang w:bidi="es-ES_tradnl"/>
              </w:rPr>
              <w:t>XXVII. Curso propedéutico al bachillerato</w:t>
            </w:r>
          </w:p>
        </w:tc>
        <w:tc>
          <w:tcPr>
            <w:tcW w:w="1560" w:type="dxa"/>
          </w:tcPr>
          <w:p w14:paraId="21D7124A" w14:textId="77777777" w:rsidR="001D5B02" w:rsidRPr="001D5B02" w:rsidRDefault="001D5B02" w:rsidP="00E61371">
            <w:pPr>
              <w:jc w:val="right"/>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1.48 UMA</w:t>
            </w:r>
          </w:p>
        </w:tc>
      </w:tr>
      <w:tr w:rsidR="001D5B02" w:rsidRPr="001D5B02" w14:paraId="5B35CF34" w14:textId="77777777" w:rsidTr="00656E9E">
        <w:trPr>
          <w:trHeight w:val="401"/>
        </w:trPr>
        <w:tc>
          <w:tcPr>
            <w:tcW w:w="7479" w:type="dxa"/>
          </w:tcPr>
          <w:p w14:paraId="4488AC15" w14:textId="77777777" w:rsidR="001D5B02" w:rsidRPr="001D5B02" w:rsidRDefault="001D5B02" w:rsidP="00E61371">
            <w:pPr>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XXVIII. Retiro de documentos por baja voluntaria</w:t>
            </w:r>
          </w:p>
        </w:tc>
        <w:tc>
          <w:tcPr>
            <w:tcW w:w="1560" w:type="dxa"/>
          </w:tcPr>
          <w:p w14:paraId="4A3E8309" w14:textId="77777777" w:rsidR="001D5B02" w:rsidRPr="001D5B02" w:rsidRDefault="001D5B02" w:rsidP="00E61371">
            <w:pPr>
              <w:ind w:left="-250"/>
              <w:jc w:val="right"/>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1.24 UMA</w:t>
            </w:r>
          </w:p>
        </w:tc>
      </w:tr>
      <w:tr w:rsidR="001D5B02" w:rsidRPr="001D5B02" w14:paraId="69795BEF" w14:textId="77777777" w:rsidTr="00656E9E">
        <w:trPr>
          <w:trHeight w:val="415"/>
        </w:trPr>
        <w:tc>
          <w:tcPr>
            <w:tcW w:w="7479" w:type="dxa"/>
          </w:tcPr>
          <w:p w14:paraId="3A5ADD0D" w14:textId="77777777" w:rsidR="001D5B02" w:rsidRPr="001D5B02" w:rsidRDefault="001D5B02" w:rsidP="00E61371">
            <w:pPr>
              <w:ind w:right="1452"/>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XXIX. Búsqueda y validación de documentos expedidos para egresados</w:t>
            </w:r>
          </w:p>
        </w:tc>
        <w:tc>
          <w:tcPr>
            <w:tcW w:w="1560" w:type="dxa"/>
          </w:tcPr>
          <w:p w14:paraId="4ADF096C" w14:textId="77777777" w:rsidR="001D5B02" w:rsidRPr="001D5B02" w:rsidRDefault="001D5B02" w:rsidP="00E61371">
            <w:pPr>
              <w:jc w:val="right"/>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3.72 UMA</w:t>
            </w:r>
          </w:p>
        </w:tc>
      </w:tr>
      <w:tr w:rsidR="001D5B02" w:rsidRPr="001D5B02" w14:paraId="4A598FA2" w14:textId="77777777" w:rsidTr="00656E9E">
        <w:trPr>
          <w:trHeight w:val="415"/>
        </w:trPr>
        <w:tc>
          <w:tcPr>
            <w:tcW w:w="7479" w:type="dxa"/>
          </w:tcPr>
          <w:p w14:paraId="6FC8C8A5" w14:textId="77777777" w:rsidR="001D5B02" w:rsidRPr="001D5B02" w:rsidRDefault="001D5B02" w:rsidP="00E61371">
            <w:pPr>
              <w:ind w:right="1452"/>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XXX. Por el uso de espacio mensual para la cafetería</w:t>
            </w:r>
          </w:p>
        </w:tc>
        <w:tc>
          <w:tcPr>
            <w:tcW w:w="1560" w:type="dxa"/>
          </w:tcPr>
          <w:p w14:paraId="04C66692" w14:textId="77777777" w:rsidR="001D5B02" w:rsidRPr="001D5B02" w:rsidRDefault="001D5B02" w:rsidP="00E61371">
            <w:pPr>
              <w:jc w:val="right"/>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148.9 UMA</w:t>
            </w:r>
          </w:p>
        </w:tc>
      </w:tr>
      <w:tr w:rsidR="001D5B02" w:rsidRPr="001D5B02" w14:paraId="34919515" w14:textId="77777777" w:rsidTr="00656E9E">
        <w:trPr>
          <w:trHeight w:val="415"/>
        </w:trPr>
        <w:tc>
          <w:tcPr>
            <w:tcW w:w="7479" w:type="dxa"/>
          </w:tcPr>
          <w:p w14:paraId="68E81437" w14:textId="77777777" w:rsidR="001D5B02" w:rsidRPr="001D5B02" w:rsidRDefault="001D5B02" w:rsidP="00E61371">
            <w:pPr>
              <w:ind w:right="1452"/>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XXXI. Por el uso de espacio mensual para fotocopiadora</w:t>
            </w:r>
          </w:p>
        </w:tc>
        <w:tc>
          <w:tcPr>
            <w:tcW w:w="1560" w:type="dxa"/>
          </w:tcPr>
          <w:p w14:paraId="2A5C5E12" w14:textId="77777777" w:rsidR="001D5B02" w:rsidRPr="001D5B02" w:rsidRDefault="001D5B02" w:rsidP="00E61371">
            <w:pPr>
              <w:jc w:val="right"/>
              <w:rPr>
                <w:rFonts w:asciiTheme="majorHAnsi" w:eastAsia="Meiryo UI" w:hAnsiTheme="majorHAnsi" w:cstheme="minorHAnsi"/>
                <w:b/>
                <w:szCs w:val="24"/>
                <w:lang w:bidi="es-ES_tradnl"/>
              </w:rPr>
            </w:pPr>
            <w:r w:rsidRPr="001D5B02">
              <w:rPr>
                <w:rFonts w:asciiTheme="majorHAnsi" w:eastAsia="Meiryo UI" w:hAnsiTheme="majorHAnsi" w:cstheme="minorHAnsi"/>
                <w:b/>
                <w:szCs w:val="24"/>
                <w:lang w:bidi="es-ES_tradnl"/>
              </w:rPr>
              <w:t>37.22 UMA</w:t>
            </w:r>
          </w:p>
        </w:tc>
      </w:tr>
    </w:tbl>
    <w:p w14:paraId="07DA546D" w14:textId="77777777" w:rsidR="001D5B02" w:rsidRDefault="001D5B02" w:rsidP="000545CF">
      <w:pPr>
        <w:spacing w:line="360" w:lineRule="auto"/>
        <w:ind w:right="-232"/>
        <w:jc w:val="center"/>
        <w:rPr>
          <w:rFonts w:asciiTheme="majorHAnsi" w:hAnsiTheme="majorHAnsi" w:cstheme="majorHAnsi"/>
          <w:b/>
          <w:szCs w:val="24"/>
          <w:lang w:val="es-MX"/>
        </w:rPr>
      </w:pPr>
    </w:p>
    <w:p w14:paraId="7A05A3F3" w14:textId="3BD7F736" w:rsidR="00E61371" w:rsidRDefault="00E61371" w:rsidP="00E61371">
      <w:pPr>
        <w:spacing w:line="360" w:lineRule="auto"/>
        <w:ind w:right="-232"/>
        <w:rPr>
          <w:rFonts w:asciiTheme="majorHAnsi" w:hAnsiTheme="majorHAnsi" w:cstheme="majorHAnsi"/>
          <w:b/>
          <w:szCs w:val="24"/>
          <w:lang w:val="es-MX"/>
        </w:rPr>
      </w:pPr>
      <w:r>
        <w:rPr>
          <w:rFonts w:asciiTheme="majorHAnsi" w:hAnsiTheme="majorHAnsi" w:cstheme="majorHAnsi"/>
          <w:b/>
          <w:szCs w:val="24"/>
          <w:lang w:val="es-MX"/>
        </w:rPr>
        <w:t xml:space="preserve">DÉCIMO SEGUNDO. … </w:t>
      </w:r>
    </w:p>
    <w:p w14:paraId="42185DEC" w14:textId="77777777" w:rsidR="00E61371" w:rsidRPr="00E61371" w:rsidRDefault="00E61371" w:rsidP="00E61371">
      <w:pPr>
        <w:ind w:right="-232"/>
        <w:rPr>
          <w:rFonts w:asciiTheme="majorHAnsi" w:hAnsiTheme="majorHAnsi" w:cstheme="majorHAnsi"/>
          <w:b/>
          <w:sz w:val="14"/>
          <w:szCs w:val="24"/>
          <w:lang w:val="es-MX"/>
        </w:rPr>
      </w:pPr>
    </w:p>
    <w:p w14:paraId="2E41EF93" w14:textId="504E69D3" w:rsidR="00E61371" w:rsidRPr="00E61371" w:rsidRDefault="00E61371" w:rsidP="00E61371">
      <w:pPr>
        <w:spacing w:line="360" w:lineRule="auto"/>
        <w:ind w:right="-232"/>
        <w:rPr>
          <w:rFonts w:asciiTheme="majorHAnsi" w:hAnsiTheme="majorHAnsi" w:cstheme="majorHAnsi"/>
          <w:szCs w:val="24"/>
          <w:lang w:val="es-MX"/>
        </w:rPr>
      </w:pPr>
      <w:r w:rsidRPr="00E61371">
        <w:rPr>
          <w:rFonts w:asciiTheme="majorHAnsi" w:hAnsiTheme="majorHAnsi" w:cstheme="majorHAnsi"/>
          <w:szCs w:val="24"/>
          <w:lang w:val="es-MX"/>
        </w:rPr>
        <w:t xml:space="preserve">De la I a la XXXII. </w:t>
      </w:r>
      <w:r w:rsidRPr="00E61371">
        <w:rPr>
          <w:rFonts w:asciiTheme="majorHAnsi" w:hAnsiTheme="majorHAnsi" w:cstheme="majorHAnsi"/>
          <w:sz w:val="22"/>
          <w:szCs w:val="22"/>
          <w:lang w:val="es-MX"/>
        </w:rPr>
        <w:t>…</w:t>
      </w:r>
    </w:p>
    <w:tbl>
      <w:tblPr>
        <w:tblStyle w:val="Tablaconcuadrcula"/>
        <w:tblW w:w="8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501"/>
      </w:tblGrid>
      <w:tr w:rsidR="00E61371" w14:paraId="2DFC3273" w14:textId="77777777" w:rsidTr="0012428F">
        <w:tc>
          <w:tcPr>
            <w:tcW w:w="7479" w:type="dxa"/>
          </w:tcPr>
          <w:p w14:paraId="00D0081E" w14:textId="0FAF0B28" w:rsidR="00E61371" w:rsidRDefault="00E61371" w:rsidP="00E61371">
            <w:pPr>
              <w:spacing w:line="360" w:lineRule="auto"/>
              <w:ind w:right="-232"/>
              <w:rPr>
                <w:rFonts w:asciiTheme="majorHAnsi" w:hAnsiTheme="majorHAnsi" w:cstheme="majorHAnsi"/>
                <w:b/>
                <w:szCs w:val="24"/>
                <w:lang w:val="es-MX"/>
              </w:rPr>
            </w:pPr>
            <w:r>
              <w:rPr>
                <w:rFonts w:asciiTheme="majorHAnsi" w:hAnsiTheme="majorHAnsi" w:cstheme="majorHAnsi"/>
                <w:b/>
                <w:szCs w:val="24"/>
                <w:lang w:val="es-MX"/>
              </w:rPr>
              <w:t xml:space="preserve">XXXII. </w:t>
            </w:r>
            <w:r w:rsidRPr="00E61371">
              <w:rPr>
                <w:rFonts w:asciiTheme="majorHAnsi" w:hAnsiTheme="majorHAnsi" w:cstheme="majorHAnsi"/>
                <w:szCs w:val="24"/>
                <w:lang w:val="es-MX"/>
              </w:rPr>
              <w:t>Por el uso de espacio para cafetería.</w:t>
            </w:r>
          </w:p>
        </w:tc>
        <w:tc>
          <w:tcPr>
            <w:tcW w:w="1501" w:type="dxa"/>
          </w:tcPr>
          <w:p w14:paraId="47D4137B" w14:textId="77777777" w:rsidR="00E61371" w:rsidRDefault="00E61371" w:rsidP="00E61371">
            <w:pPr>
              <w:spacing w:line="360" w:lineRule="auto"/>
              <w:ind w:right="-232"/>
              <w:rPr>
                <w:rFonts w:asciiTheme="majorHAnsi" w:hAnsiTheme="majorHAnsi" w:cstheme="majorHAnsi"/>
                <w:b/>
                <w:szCs w:val="24"/>
                <w:lang w:val="es-MX"/>
              </w:rPr>
            </w:pPr>
          </w:p>
        </w:tc>
      </w:tr>
      <w:tr w:rsidR="00E61371" w14:paraId="1D625A66" w14:textId="77777777" w:rsidTr="0012428F">
        <w:tc>
          <w:tcPr>
            <w:tcW w:w="7479" w:type="dxa"/>
          </w:tcPr>
          <w:p w14:paraId="3F281FC6" w14:textId="0FB2D8DC" w:rsidR="00E61371" w:rsidRDefault="00E61371" w:rsidP="00E61371">
            <w:pPr>
              <w:spacing w:line="360" w:lineRule="auto"/>
              <w:ind w:right="-232"/>
              <w:rPr>
                <w:rFonts w:asciiTheme="majorHAnsi" w:hAnsiTheme="majorHAnsi" w:cstheme="majorHAnsi"/>
                <w:b/>
                <w:szCs w:val="24"/>
                <w:lang w:val="es-MX"/>
              </w:rPr>
            </w:pPr>
            <w:r>
              <w:rPr>
                <w:rFonts w:asciiTheme="majorHAnsi" w:hAnsiTheme="majorHAnsi" w:cstheme="majorHAnsi"/>
                <w:b/>
                <w:szCs w:val="24"/>
                <w:lang w:val="es-MX"/>
              </w:rPr>
              <w:t>a) Durante el periodo escolar</w:t>
            </w:r>
          </w:p>
        </w:tc>
        <w:tc>
          <w:tcPr>
            <w:tcW w:w="1501" w:type="dxa"/>
          </w:tcPr>
          <w:p w14:paraId="0157B90A" w14:textId="5B3635E7" w:rsidR="00E61371" w:rsidRDefault="00E61371" w:rsidP="00E61371">
            <w:pPr>
              <w:spacing w:line="360" w:lineRule="auto"/>
              <w:jc w:val="right"/>
              <w:rPr>
                <w:rFonts w:asciiTheme="majorHAnsi" w:hAnsiTheme="majorHAnsi" w:cstheme="majorHAnsi"/>
                <w:b/>
                <w:szCs w:val="24"/>
                <w:lang w:val="es-MX"/>
              </w:rPr>
            </w:pPr>
            <w:r>
              <w:rPr>
                <w:rFonts w:asciiTheme="majorHAnsi" w:hAnsiTheme="majorHAnsi" w:cstheme="majorHAnsi"/>
                <w:b/>
                <w:szCs w:val="24"/>
                <w:lang w:val="es-MX"/>
              </w:rPr>
              <w:t>124.10 UMA</w:t>
            </w:r>
          </w:p>
        </w:tc>
      </w:tr>
      <w:tr w:rsidR="00E61371" w14:paraId="44DA8F28" w14:textId="77777777" w:rsidTr="0012428F">
        <w:tc>
          <w:tcPr>
            <w:tcW w:w="7479" w:type="dxa"/>
          </w:tcPr>
          <w:p w14:paraId="218791C2" w14:textId="49BED1C8" w:rsidR="00E61371" w:rsidRDefault="00E61371" w:rsidP="00E61371">
            <w:pPr>
              <w:spacing w:line="360" w:lineRule="auto"/>
              <w:ind w:right="-232"/>
              <w:rPr>
                <w:rFonts w:asciiTheme="majorHAnsi" w:hAnsiTheme="majorHAnsi" w:cstheme="majorHAnsi"/>
                <w:b/>
                <w:szCs w:val="24"/>
                <w:lang w:val="es-MX"/>
              </w:rPr>
            </w:pPr>
            <w:r>
              <w:rPr>
                <w:rFonts w:asciiTheme="majorHAnsi" w:hAnsiTheme="majorHAnsi" w:cstheme="majorHAnsi"/>
                <w:b/>
                <w:szCs w:val="24"/>
                <w:lang w:val="es-MX"/>
              </w:rPr>
              <w:t>a) Durante el periodo vacacional</w:t>
            </w:r>
          </w:p>
        </w:tc>
        <w:tc>
          <w:tcPr>
            <w:tcW w:w="1501" w:type="dxa"/>
          </w:tcPr>
          <w:p w14:paraId="68EF714D" w14:textId="3882D0F4" w:rsidR="00E61371" w:rsidRDefault="00E61371" w:rsidP="00E61371">
            <w:pPr>
              <w:spacing w:line="360" w:lineRule="auto"/>
              <w:jc w:val="right"/>
              <w:rPr>
                <w:rFonts w:asciiTheme="majorHAnsi" w:hAnsiTheme="majorHAnsi" w:cstheme="majorHAnsi"/>
                <w:b/>
                <w:szCs w:val="24"/>
                <w:lang w:val="es-MX"/>
              </w:rPr>
            </w:pPr>
            <w:r>
              <w:rPr>
                <w:rFonts w:asciiTheme="majorHAnsi" w:hAnsiTheme="majorHAnsi" w:cstheme="majorHAnsi"/>
                <w:b/>
                <w:szCs w:val="24"/>
                <w:lang w:val="es-MX"/>
              </w:rPr>
              <w:t>62.03 UMA</w:t>
            </w:r>
          </w:p>
        </w:tc>
      </w:tr>
      <w:tr w:rsidR="00E61371" w14:paraId="7F7046A6" w14:textId="77777777" w:rsidTr="0012428F">
        <w:tc>
          <w:tcPr>
            <w:tcW w:w="7479" w:type="dxa"/>
          </w:tcPr>
          <w:p w14:paraId="60783053" w14:textId="5A488D61" w:rsidR="00E61371" w:rsidRPr="00E61371" w:rsidRDefault="00E61371" w:rsidP="00E61371">
            <w:pPr>
              <w:spacing w:line="360" w:lineRule="auto"/>
              <w:ind w:right="-232"/>
              <w:rPr>
                <w:rFonts w:asciiTheme="majorHAnsi" w:hAnsiTheme="majorHAnsi" w:cstheme="majorHAnsi"/>
                <w:szCs w:val="24"/>
                <w:lang w:val="es-MX"/>
              </w:rPr>
            </w:pPr>
            <w:r>
              <w:rPr>
                <w:rFonts w:asciiTheme="majorHAnsi" w:hAnsiTheme="majorHAnsi" w:cstheme="majorHAnsi"/>
                <w:szCs w:val="24"/>
                <w:lang w:val="es-MX"/>
              </w:rPr>
              <w:lastRenderedPageBreak/>
              <w:t>XXXIV a la XXXV. …</w:t>
            </w:r>
          </w:p>
        </w:tc>
        <w:tc>
          <w:tcPr>
            <w:tcW w:w="1501" w:type="dxa"/>
          </w:tcPr>
          <w:p w14:paraId="7DE2C36E" w14:textId="77777777" w:rsidR="00E61371" w:rsidRDefault="00E61371" w:rsidP="00E61371">
            <w:pPr>
              <w:spacing w:line="360" w:lineRule="auto"/>
              <w:jc w:val="right"/>
              <w:rPr>
                <w:rFonts w:asciiTheme="majorHAnsi" w:hAnsiTheme="majorHAnsi" w:cstheme="majorHAnsi"/>
                <w:b/>
                <w:szCs w:val="24"/>
                <w:lang w:val="es-MX"/>
              </w:rPr>
            </w:pPr>
          </w:p>
        </w:tc>
      </w:tr>
      <w:tr w:rsidR="00E61371" w14:paraId="4DF46D98" w14:textId="77777777" w:rsidTr="0012428F">
        <w:tc>
          <w:tcPr>
            <w:tcW w:w="7479" w:type="dxa"/>
          </w:tcPr>
          <w:p w14:paraId="554DF6F0" w14:textId="2DD81981" w:rsidR="00E61371" w:rsidRPr="00E61371" w:rsidRDefault="00E61371" w:rsidP="00E61371">
            <w:pPr>
              <w:spacing w:line="360" w:lineRule="auto"/>
              <w:ind w:right="-232"/>
              <w:rPr>
                <w:rFonts w:asciiTheme="majorHAnsi" w:hAnsiTheme="majorHAnsi" w:cstheme="majorHAnsi"/>
                <w:b/>
                <w:szCs w:val="24"/>
                <w:lang w:val="es-MX"/>
              </w:rPr>
            </w:pPr>
            <w:r w:rsidRPr="00E61371">
              <w:rPr>
                <w:rFonts w:asciiTheme="majorHAnsi" w:hAnsiTheme="majorHAnsi" w:cstheme="majorHAnsi"/>
                <w:b/>
                <w:szCs w:val="24"/>
                <w:lang w:val="es-MX"/>
              </w:rPr>
              <w:t xml:space="preserve">XXXVI. </w:t>
            </w:r>
            <w:r>
              <w:rPr>
                <w:rFonts w:asciiTheme="majorHAnsi" w:hAnsiTheme="majorHAnsi" w:cstheme="majorHAnsi"/>
                <w:b/>
                <w:szCs w:val="24"/>
                <w:lang w:val="es-MX"/>
              </w:rPr>
              <w:t>Por los cursos siguientes:</w:t>
            </w:r>
          </w:p>
        </w:tc>
        <w:tc>
          <w:tcPr>
            <w:tcW w:w="1501" w:type="dxa"/>
          </w:tcPr>
          <w:p w14:paraId="2B073120" w14:textId="77777777" w:rsidR="00E61371" w:rsidRDefault="00E61371" w:rsidP="00E61371">
            <w:pPr>
              <w:spacing w:line="360" w:lineRule="auto"/>
              <w:jc w:val="right"/>
              <w:rPr>
                <w:rFonts w:asciiTheme="majorHAnsi" w:hAnsiTheme="majorHAnsi" w:cstheme="majorHAnsi"/>
                <w:b/>
                <w:szCs w:val="24"/>
                <w:lang w:val="es-MX"/>
              </w:rPr>
            </w:pPr>
          </w:p>
        </w:tc>
      </w:tr>
      <w:tr w:rsidR="00E61371" w14:paraId="03103086" w14:textId="77777777" w:rsidTr="0012428F">
        <w:tc>
          <w:tcPr>
            <w:tcW w:w="7479" w:type="dxa"/>
          </w:tcPr>
          <w:p w14:paraId="5DEA4A21" w14:textId="7F63CFFA" w:rsidR="00E61371" w:rsidRPr="00E61371" w:rsidRDefault="00E61371" w:rsidP="00E61371">
            <w:pPr>
              <w:spacing w:line="360" w:lineRule="auto"/>
              <w:ind w:right="-232"/>
              <w:rPr>
                <w:rFonts w:asciiTheme="majorHAnsi" w:hAnsiTheme="majorHAnsi" w:cstheme="majorHAnsi"/>
                <w:b/>
                <w:szCs w:val="24"/>
                <w:lang w:val="es-MX"/>
              </w:rPr>
            </w:pPr>
            <w:r>
              <w:rPr>
                <w:rFonts w:asciiTheme="majorHAnsi" w:hAnsiTheme="majorHAnsi" w:cstheme="majorHAnsi"/>
                <w:b/>
                <w:szCs w:val="24"/>
                <w:lang w:val="es-MX"/>
              </w:rPr>
              <w:t xml:space="preserve">a) Cursos de verano de la materia de 4 créditos </w:t>
            </w:r>
          </w:p>
        </w:tc>
        <w:tc>
          <w:tcPr>
            <w:tcW w:w="1501" w:type="dxa"/>
          </w:tcPr>
          <w:p w14:paraId="002ABFE4" w14:textId="332EB8E6" w:rsidR="00E61371" w:rsidRDefault="00E61371" w:rsidP="00E61371">
            <w:pPr>
              <w:spacing w:line="360" w:lineRule="auto"/>
              <w:jc w:val="right"/>
              <w:rPr>
                <w:rFonts w:asciiTheme="majorHAnsi" w:hAnsiTheme="majorHAnsi" w:cstheme="majorHAnsi"/>
                <w:b/>
                <w:szCs w:val="24"/>
                <w:lang w:val="es-MX"/>
              </w:rPr>
            </w:pPr>
            <w:r>
              <w:rPr>
                <w:rFonts w:asciiTheme="majorHAnsi" w:hAnsiTheme="majorHAnsi" w:cstheme="majorHAnsi"/>
                <w:b/>
                <w:szCs w:val="24"/>
                <w:lang w:val="es-MX"/>
              </w:rPr>
              <w:t xml:space="preserve">99.25 </w:t>
            </w:r>
            <w:r w:rsidRPr="00E61371">
              <w:rPr>
                <w:rFonts w:asciiTheme="majorHAnsi" w:hAnsiTheme="majorHAnsi" w:cstheme="majorHAnsi"/>
                <w:szCs w:val="24"/>
                <w:lang w:val="es-MX"/>
              </w:rPr>
              <w:t>UMA</w:t>
            </w:r>
          </w:p>
        </w:tc>
      </w:tr>
      <w:tr w:rsidR="00E61371" w14:paraId="411DF10B" w14:textId="77777777" w:rsidTr="0012428F">
        <w:tc>
          <w:tcPr>
            <w:tcW w:w="7479" w:type="dxa"/>
          </w:tcPr>
          <w:p w14:paraId="3BACA2EA" w14:textId="241F9EE6" w:rsidR="00E61371" w:rsidRDefault="00E61371" w:rsidP="00E61371">
            <w:pPr>
              <w:spacing w:line="360" w:lineRule="auto"/>
              <w:ind w:right="-232"/>
              <w:rPr>
                <w:rFonts w:asciiTheme="majorHAnsi" w:hAnsiTheme="majorHAnsi" w:cstheme="majorHAnsi"/>
                <w:b/>
                <w:szCs w:val="24"/>
                <w:lang w:val="es-MX"/>
              </w:rPr>
            </w:pPr>
            <w:r>
              <w:rPr>
                <w:rFonts w:asciiTheme="majorHAnsi" w:hAnsiTheme="majorHAnsi" w:cstheme="majorHAnsi"/>
                <w:b/>
                <w:szCs w:val="24"/>
                <w:lang w:val="es-MX"/>
              </w:rPr>
              <w:t>b) Cursos de verano de la materia de 5 créditos</w:t>
            </w:r>
          </w:p>
        </w:tc>
        <w:tc>
          <w:tcPr>
            <w:tcW w:w="1501" w:type="dxa"/>
          </w:tcPr>
          <w:p w14:paraId="68F2AE84" w14:textId="6C1FABC7" w:rsidR="00E61371" w:rsidRDefault="00E61371" w:rsidP="00E61371">
            <w:pPr>
              <w:spacing w:line="360" w:lineRule="auto"/>
              <w:jc w:val="right"/>
              <w:rPr>
                <w:rFonts w:asciiTheme="majorHAnsi" w:hAnsiTheme="majorHAnsi" w:cstheme="majorHAnsi"/>
                <w:b/>
                <w:szCs w:val="24"/>
                <w:lang w:val="es-MX"/>
              </w:rPr>
            </w:pPr>
            <w:r>
              <w:rPr>
                <w:rFonts w:asciiTheme="majorHAnsi" w:hAnsiTheme="majorHAnsi" w:cstheme="majorHAnsi"/>
                <w:b/>
                <w:szCs w:val="24"/>
                <w:lang w:val="es-MX"/>
              </w:rPr>
              <w:t xml:space="preserve">124.1 </w:t>
            </w:r>
            <w:r w:rsidRPr="00E61371">
              <w:rPr>
                <w:rFonts w:asciiTheme="majorHAnsi" w:hAnsiTheme="majorHAnsi" w:cstheme="majorHAnsi"/>
                <w:szCs w:val="24"/>
                <w:lang w:val="es-MX"/>
              </w:rPr>
              <w:t>UMA</w:t>
            </w:r>
          </w:p>
        </w:tc>
      </w:tr>
      <w:tr w:rsidR="00E61371" w14:paraId="3A6EB737" w14:textId="77777777" w:rsidTr="0012428F">
        <w:tc>
          <w:tcPr>
            <w:tcW w:w="7479" w:type="dxa"/>
          </w:tcPr>
          <w:p w14:paraId="1F200904" w14:textId="378AF384" w:rsidR="00E61371" w:rsidRDefault="00E61371" w:rsidP="00E61371">
            <w:pPr>
              <w:spacing w:line="360" w:lineRule="auto"/>
              <w:ind w:right="-232"/>
              <w:rPr>
                <w:rFonts w:asciiTheme="majorHAnsi" w:hAnsiTheme="majorHAnsi" w:cstheme="majorHAnsi"/>
                <w:b/>
                <w:szCs w:val="24"/>
                <w:lang w:val="es-MX"/>
              </w:rPr>
            </w:pPr>
            <w:r>
              <w:rPr>
                <w:rFonts w:asciiTheme="majorHAnsi" w:hAnsiTheme="majorHAnsi" w:cstheme="majorHAnsi"/>
                <w:b/>
                <w:szCs w:val="24"/>
                <w:lang w:val="es-MX"/>
              </w:rPr>
              <w:t>c) Cursos de verano de la materia de 6 créditos</w:t>
            </w:r>
          </w:p>
        </w:tc>
        <w:tc>
          <w:tcPr>
            <w:tcW w:w="1501" w:type="dxa"/>
          </w:tcPr>
          <w:p w14:paraId="2B06AEDA" w14:textId="68ACF06F" w:rsidR="00E61371" w:rsidRDefault="00E61371" w:rsidP="00E61371">
            <w:pPr>
              <w:spacing w:line="360" w:lineRule="auto"/>
              <w:jc w:val="right"/>
              <w:rPr>
                <w:rFonts w:asciiTheme="majorHAnsi" w:hAnsiTheme="majorHAnsi" w:cstheme="majorHAnsi"/>
                <w:b/>
                <w:szCs w:val="24"/>
                <w:lang w:val="es-MX"/>
              </w:rPr>
            </w:pPr>
            <w:r>
              <w:rPr>
                <w:rFonts w:asciiTheme="majorHAnsi" w:hAnsiTheme="majorHAnsi" w:cstheme="majorHAnsi"/>
                <w:b/>
                <w:szCs w:val="24"/>
                <w:lang w:val="es-MX"/>
              </w:rPr>
              <w:t xml:space="preserve">148.9 </w:t>
            </w:r>
            <w:r w:rsidRPr="00E61371">
              <w:rPr>
                <w:rFonts w:asciiTheme="majorHAnsi" w:hAnsiTheme="majorHAnsi" w:cstheme="majorHAnsi"/>
                <w:szCs w:val="24"/>
                <w:lang w:val="es-MX"/>
              </w:rPr>
              <w:t>UMA</w:t>
            </w:r>
          </w:p>
        </w:tc>
      </w:tr>
      <w:tr w:rsidR="009043F7" w14:paraId="1CB4D138" w14:textId="77777777" w:rsidTr="0012428F">
        <w:tc>
          <w:tcPr>
            <w:tcW w:w="7479" w:type="dxa"/>
          </w:tcPr>
          <w:p w14:paraId="5E1D3565" w14:textId="7A2664CB" w:rsidR="009043F7" w:rsidRDefault="009043F7" w:rsidP="00E61371">
            <w:pPr>
              <w:spacing w:line="360" w:lineRule="auto"/>
              <w:ind w:right="-232"/>
              <w:rPr>
                <w:rFonts w:asciiTheme="majorHAnsi" w:hAnsiTheme="majorHAnsi" w:cstheme="majorHAnsi"/>
                <w:b/>
                <w:szCs w:val="24"/>
                <w:lang w:val="es-MX"/>
              </w:rPr>
            </w:pPr>
            <w:r w:rsidRPr="00F45C63">
              <w:rPr>
                <w:rFonts w:asciiTheme="majorHAnsi" w:hAnsiTheme="majorHAnsi" w:cstheme="majorHAnsi"/>
                <w:szCs w:val="24"/>
                <w:lang w:val="es-MX"/>
              </w:rPr>
              <w:t>De la</w:t>
            </w:r>
            <w:r>
              <w:rPr>
                <w:rFonts w:asciiTheme="majorHAnsi" w:hAnsiTheme="majorHAnsi" w:cstheme="majorHAnsi"/>
                <w:b/>
                <w:szCs w:val="24"/>
                <w:lang w:val="es-MX"/>
              </w:rPr>
              <w:t xml:space="preserve"> d) </w:t>
            </w:r>
            <w:r w:rsidRPr="00F45C63">
              <w:rPr>
                <w:rFonts w:asciiTheme="majorHAnsi" w:hAnsiTheme="majorHAnsi" w:cstheme="majorHAnsi"/>
                <w:szCs w:val="24"/>
                <w:lang w:val="es-MX"/>
              </w:rPr>
              <w:t>a la</w:t>
            </w:r>
            <w:r>
              <w:rPr>
                <w:rFonts w:asciiTheme="majorHAnsi" w:hAnsiTheme="majorHAnsi" w:cstheme="majorHAnsi"/>
                <w:b/>
                <w:szCs w:val="24"/>
                <w:lang w:val="es-MX"/>
              </w:rPr>
              <w:t xml:space="preserve"> gg) Se derogan</w:t>
            </w:r>
          </w:p>
        </w:tc>
        <w:tc>
          <w:tcPr>
            <w:tcW w:w="1501" w:type="dxa"/>
          </w:tcPr>
          <w:p w14:paraId="219643D4" w14:textId="77777777" w:rsidR="009043F7" w:rsidRDefault="009043F7" w:rsidP="00E61371">
            <w:pPr>
              <w:spacing w:line="360" w:lineRule="auto"/>
              <w:jc w:val="right"/>
              <w:rPr>
                <w:rFonts w:asciiTheme="majorHAnsi" w:hAnsiTheme="majorHAnsi" w:cstheme="majorHAnsi"/>
                <w:b/>
                <w:szCs w:val="24"/>
                <w:lang w:val="es-MX"/>
              </w:rPr>
            </w:pPr>
          </w:p>
        </w:tc>
      </w:tr>
    </w:tbl>
    <w:p w14:paraId="2D8CCCA9" w14:textId="17BE7177" w:rsidR="0012428F" w:rsidRPr="0012428F" w:rsidRDefault="0012428F" w:rsidP="0012428F">
      <w:pPr>
        <w:pStyle w:val="Default"/>
        <w:jc w:val="both"/>
        <w:rPr>
          <w:rFonts w:asciiTheme="majorHAnsi" w:eastAsia="Calibri" w:hAnsiTheme="majorHAnsi" w:cs="Arial"/>
          <w:color w:val="auto"/>
          <w:lang w:val="es-MX"/>
        </w:rPr>
      </w:pPr>
      <w:r w:rsidRPr="0012428F">
        <w:rPr>
          <w:rFonts w:asciiTheme="majorHAnsi" w:hAnsiTheme="majorHAnsi" w:cstheme="majorHAnsi"/>
          <w:lang w:val="es-MX"/>
        </w:rPr>
        <w:t xml:space="preserve">De la XXXVII a la </w:t>
      </w:r>
      <w:r w:rsidRPr="0012428F">
        <w:rPr>
          <w:rFonts w:asciiTheme="majorHAnsi" w:hAnsiTheme="majorHAnsi"/>
          <w:lang w:val="es-MX"/>
        </w:rPr>
        <w:t xml:space="preserve">LI </w:t>
      </w:r>
      <w:r>
        <w:rPr>
          <w:rFonts w:asciiTheme="majorHAnsi" w:hAnsiTheme="majorHAnsi"/>
          <w:lang w:val="es-MX"/>
        </w:rPr>
        <w:t>…</w:t>
      </w:r>
    </w:p>
    <w:p w14:paraId="08150979" w14:textId="13DEBC8D" w:rsidR="00E61371" w:rsidRDefault="00E61371" w:rsidP="00E61371">
      <w:pPr>
        <w:spacing w:line="360" w:lineRule="auto"/>
        <w:ind w:right="-232"/>
        <w:rPr>
          <w:rFonts w:asciiTheme="majorHAnsi" w:hAnsiTheme="majorHAnsi" w:cstheme="majorHAnsi"/>
          <w:b/>
          <w:szCs w:val="24"/>
          <w:lang w:val="es-MX"/>
        </w:rPr>
      </w:pPr>
    </w:p>
    <w:p w14:paraId="71478943" w14:textId="77777777" w:rsidR="001D5B02" w:rsidRPr="001D5B02" w:rsidRDefault="001D5B02" w:rsidP="001D5B02">
      <w:pPr>
        <w:autoSpaceDE w:val="0"/>
        <w:autoSpaceDN w:val="0"/>
        <w:adjustRightInd w:val="0"/>
        <w:rPr>
          <w:rFonts w:asciiTheme="majorHAnsi" w:hAnsiTheme="majorHAnsi" w:cstheme="minorHAnsi"/>
          <w:szCs w:val="24"/>
        </w:rPr>
      </w:pPr>
      <w:r w:rsidRPr="001D5B02">
        <w:rPr>
          <w:rFonts w:asciiTheme="majorHAnsi" w:hAnsiTheme="majorHAnsi" w:cstheme="minorHAnsi"/>
          <w:b/>
          <w:szCs w:val="24"/>
        </w:rPr>
        <w:t xml:space="preserve">DÉCIMO NOVENO. </w:t>
      </w:r>
      <w:r w:rsidRPr="00082BB7">
        <w:rPr>
          <w:rFonts w:asciiTheme="majorHAnsi" w:hAnsiTheme="majorHAnsi" w:cstheme="minorHAnsi"/>
          <w:sz w:val="22"/>
          <w:szCs w:val="22"/>
        </w:rPr>
        <w:t>…</w:t>
      </w:r>
    </w:p>
    <w:p w14:paraId="6069B35E" w14:textId="77777777" w:rsidR="001D5B02" w:rsidRPr="001D5B02" w:rsidRDefault="001D5B02" w:rsidP="001D5B02">
      <w:pPr>
        <w:autoSpaceDE w:val="0"/>
        <w:autoSpaceDN w:val="0"/>
        <w:adjustRightInd w:val="0"/>
        <w:rPr>
          <w:rFonts w:asciiTheme="majorHAnsi" w:hAnsiTheme="majorHAnsi" w:cstheme="minorHAnsi"/>
          <w:b/>
          <w:szCs w:val="24"/>
        </w:rPr>
      </w:pPr>
    </w:p>
    <w:p w14:paraId="521309DE" w14:textId="77777777" w:rsidR="001D5B02" w:rsidRPr="001D5B02" w:rsidRDefault="001D5B02" w:rsidP="001D5B02">
      <w:pPr>
        <w:autoSpaceDE w:val="0"/>
        <w:autoSpaceDN w:val="0"/>
        <w:adjustRightInd w:val="0"/>
        <w:rPr>
          <w:rFonts w:asciiTheme="majorHAnsi" w:hAnsiTheme="majorHAnsi" w:cstheme="minorHAnsi"/>
          <w:szCs w:val="24"/>
        </w:rPr>
      </w:pPr>
      <w:r w:rsidRPr="001D5B02">
        <w:rPr>
          <w:rFonts w:asciiTheme="majorHAnsi" w:hAnsiTheme="majorHAnsi" w:cstheme="minorHAnsi"/>
          <w:szCs w:val="24"/>
        </w:rPr>
        <w:t xml:space="preserve">De la I a la XXII. </w:t>
      </w:r>
      <w:r w:rsidRPr="001D5B02">
        <w:rPr>
          <w:rFonts w:asciiTheme="majorHAnsi" w:hAnsiTheme="majorHAnsi" w:cstheme="minorHAnsi"/>
          <w:sz w:val="22"/>
          <w:szCs w:val="22"/>
        </w:rPr>
        <w:t>…</w:t>
      </w:r>
    </w:p>
    <w:p w14:paraId="3F6E78FE" w14:textId="77777777" w:rsidR="001D5B02" w:rsidRPr="001D5B02" w:rsidRDefault="001D5B02" w:rsidP="001D5B02">
      <w:pPr>
        <w:autoSpaceDE w:val="0"/>
        <w:autoSpaceDN w:val="0"/>
        <w:adjustRightInd w:val="0"/>
        <w:rPr>
          <w:rFonts w:asciiTheme="majorHAnsi" w:hAnsiTheme="majorHAnsi" w:cstheme="minorHAnsi"/>
          <w:b/>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499"/>
      </w:tblGrid>
      <w:tr w:rsidR="001D5B02" w:rsidRPr="001D5B02" w14:paraId="5FA3BF3C" w14:textId="77777777" w:rsidTr="00082BB7">
        <w:tc>
          <w:tcPr>
            <w:tcW w:w="7479" w:type="dxa"/>
          </w:tcPr>
          <w:p w14:paraId="0C247EF8" w14:textId="77777777" w:rsidR="001D5B02" w:rsidRPr="001D5B02" w:rsidRDefault="001D5B02" w:rsidP="00E61371">
            <w:pPr>
              <w:autoSpaceDE w:val="0"/>
              <w:autoSpaceDN w:val="0"/>
              <w:adjustRightInd w:val="0"/>
              <w:rPr>
                <w:rFonts w:asciiTheme="majorHAnsi" w:hAnsiTheme="majorHAnsi" w:cstheme="minorHAnsi"/>
                <w:b/>
                <w:szCs w:val="24"/>
              </w:rPr>
            </w:pPr>
            <w:r w:rsidRPr="001D5B02">
              <w:rPr>
                <w:rFonts w:asciiTheme="majorHAnsi" w:hAnsiTheme="majorHAnsi" w:cstheme="minorHAnsi"/>
                <w:b/>
                <w:szCs w:val="24"/>
              </w:rPr>
              <w:t xml:space="preserve">XXIII. </w:t>
            </w:r>
            <w:r w:rsidRPr="001D5B02">
              <w:rPr>
                <w:rFonts w:asciiTheme="majorHAnsi" w:hAnsiTheme="majorHAnsi" w:cstheme="minorHAnsi"/>
                <w:szCs w:val="24"/>
              </w:rPr>
              <w:t>Equivalencia externa</w:t>
            </w:r>
            <w:r w:rsidRPr="001D5B02">
              <w:rPr>
                <w:rFonts w:asciiTheme="majorHAnsi" w:hAnsiTheme="majorHAnsi" w:cstheme="minorHAnsi"/>
                <w:b/>
                <w:szCs w:val="24"/>
              </w:rPr>
              <w:t xml:space="preserve"> por materia.</w:t>
            </w:r>
          </w:p>
        </w:tc>
        <w:tc>
          <w:tcPr>
            <w:tcW w:w="1499" w:type="dxa"/>
          </w:tcPr>
          <w:p w14:paraId="6F27A9A3" w14:textId="77777777" w:rsidR="001D5B02" w:rsidRPr="001D5B02" w:rsidRDefault="001D5B02" w:rsidP="00E61371">
            <w:pPr>
              <w:autoSpaceDE w:val="0"/>
              <w:autoSpaceDN w:val="0"/>
              <w:adjustRightInd w:val="0"/>
              <w:jc w:val="right"/>
              <w:rPr>
                <w:rFonts w:asciiTheme="majorHAnsi" w:hAnsiTheme="majorHAnsi" w:cstheme="minorHAnsi"/>
                <w:szCs w:val="24"/>
              </w:rPr>
            </w:pPr>
            <w:r w:rsidRPr="001D5B02">
              <w:rPr>
                <w:rFonts w:asciiTheme="majorHAnsi" w:hAnsiTheme="majorHAnsi" w:cstheme="minorHAnsi"/>
                <w:szCs w:val="24"/>
              </w:rPr>
              <w:t>2.85 UMA</w:t>
            </w:r>
          </w:p>
        </w:tc>
      </w:tr>
    </w:tbl>
    <w:p w14:paraId="27EC45BA" w14:textId="77777777" w:rsidR="001D5B02" w:rsidRPr="001D5B02" w:rsidRDefault="001D5B02" w:rsidP="001D5B02">
      <w:pPr>
        <w:autoSpaceDE w:val="0"/>
        <w:autoSpaceDN w:val="0"/>
        <w:adjustRightInd w:val="0"/>
        <w:rPr>
          <w:rFonts w:asciiTheme="majorHAnsi" w:hAnsiTheme="majorHAnsi" w:cstheme="minorHAnsi"/>
          <w:b/>
          <w:szCs w:val="24"/>
        </w:rPr>
      </w:pPr>
    </w:p>
    <w:p w14:paraId="2E3BBDBF" w14:textId="77777777" w:rsidR="001D5B02" w:rsidRPr="001D5B02" w:rsidRDefault="001D5B02" w:rsidP="001D5B02">
      <w:pPr>
        <w:autoSpaceDE w:val="0"/>
        <w:autoSpaceDN w:val="0"/>
        <w:adjustRightInd w:val="0"/>
        <w:rPr>
          <w:rFonts w:asciiTheme="majorHAnsi" w:hAnsiTheme="majorHAnsi" w:cstheme="minorHAnsi"/>
          <w:szCs w:val="24"/>
        </w:rPr>
      </w:pPr>
      <w:r w:rsidRPr="001D5B02">
        <w:rPr>
          <w:rFonts w:asciiTheme="majorHAnsi" w:hAnsiTheme="majorHAnsi" w:cstheme="minorHAnsi"/>
          <w:szCs w:val="24"/>
        </w:rPr>
        <w:t xml:space="preserve">De la XXIV a la LVIII. </w:t>
      </w:r>
      <w:r w:rsidRPr="001D5B02">
        <w:rPr>
          <w:rFonts w:asciiTheme="majorHAnsi" w:hAnsiTheme="majorHAnsi" w:cstheme="minorHAnsi"/>
          <w:sz w:val="22"/>
          <w:szCs w:val="22"/>
        </w:rPr>
        <w:t>…</w:t>
      </w:r>
    </w:p>
    <w:p w14:paraId="08A9B313" w14:textId="77777777" w:rsidR="001D5B02" w:rsidRPr="001D5B02" w:rsidRDefault="001D5B02" w:rsidP="000545CF">
      <w:pPr>
        <w:spacing w:line="360" w:lineRule="auto"/>
        <w:ind w:right="-232"/>
        <w:jc w:val="center"/>
        <w:rPr>
          <w:rFonts w:asciiTheme="majorHAnsi" w:hAnsiTheme="majorHAnsi" w:cstheme="majorHAnsi"/>
          <w:b/>
          <w:szCs w:val="24"/>
        </w:rPr>
      </w:pPr>
    </w:p>
    <w:p w14:paraId="6D1B2941" w14:textId="77777777" w:rsidR="00082BB7" w:rsidRPr="00082BB7" w:rsidRDefault="00082BB7" w:rsidP="00082BB7">
      <w:pPr>
        <w:autoSpaceDE w:val="0"/>
        <w:autoSpaceDN w:val="0"/>
        <w:adjustRightInd w:val="0"/>
        <w:rPr>
          <w:rFonts w:asciiTheme="majorHAnsi" w:hAnsiTheme="majorHAnsi" w:cstheme="minorHAnsi"/>
          <w:b/>
          <w:sz w:val="22"/>
          <w:szCs w:val="22"/>
        </w:rPr>
      </w:pPr>
      <w:r w:rsidRPr="00082BB7">
        <w:rPr>
          <w:rFonts w:asciiTheme="majorHAnsi" w:hAnsiTheme="majorHAnsi" w:cstheme="minorHAnsi"/>
          <w:b/>
          <w:szCs w:val="24"/>
        </w:rPr>
        <w:t xml:space="preserve">VIGÉSIMO TERCERO. </w:t>
      </w:r>
      <w:r w:rsidRPr="00082BB7">
        <w:rPr>
          <w:rFonts w:asciiTheme="majorHAnsi" w:hAnsiTheme="majorHAnsi" w:cstheme="minorHAnsi"/>
          <w:sz w:val="22"/>
          <w:szCs w:val="22"/>
        </w:rPr>
        <w:t>…</w:t>
      </w:r>
    </w:p>
    <w:p w14:paraId="460A9E52" w14:textId="77777777" w:rsidR="00082BB7" w:rsidRPr="00082BB7" w:rsidRDefault="00082BB7" w:rsidP="00082BB7">
      <w:pPr>
        <w:autoSpaceDE w:val="0"/>
        <w:autoSpaceDN w:val="0"/>
        <w:adjustRightInd w:val="0"/>
        <w:rPr>
          <w:rFonts w:asciiTheme="majorHAnsi" w:hAnsiTheme="majorHAnsi" w:cstheme="minorHAnsi"/>
          <w:sz w:val="1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560"/>
      </w:tblGrid>
      <w:tr w:rsidR="00082BB7" w:rsidRPr="00082BB7" w14:paraId="2A3C4F69" w14:textId="77777777" w:rsidTr="00E61371">
        <w:trPr>
          <w:trHeight w:val="319"/>
        </w:trPr>
        <w:tc>
          <w:tcPr>
            <w:tcW w:w="7479" w:type="dxa"/>
          </w:tcPr>
          <w:p w14:paraId="2068856F" w14:textId="77777777" w:rsidR="00082BB7" w:rsidRPr="00082BB7" w:rsidRDefault="00082BB7" w:rsidP="00E61371">
            <w:pPr>
              <w:rPr>
                <w:rFonts w:asciiTheme="majorHAnsi" w:hAnsiTheme="majorHAnsi" w:cstheme="minorHAnsi"/>
                <w:b/>
                <w:szCs w:val="24"/>
                <w:lang w:bidi="es-ES_tradnl"/>
              </w:rPr>
            </w:pPr>
            <w:r w:rsidRPr="00082BB7">
              <w:rPr>
                <w:rFonts w:asciiTheme="majorHAnsi" w:hAnsiTheme="majorHAnsi" w:cstheme="minorHAnsi"/>
                <w:b/>
                <w:szCs w:val="24"/>
                <w:lang w:bidi="es-ES_tradnl"/>
              </w:rPr>
              <w:t xml:space="preserve">2.4.1. </w:t>
            </w:r>
            <w:r w:rsidRPr="00082BB7">
              <w:rPr>
                <w:rFonts w:asciiTheme="majorHAnsi" w:hAnsiTheme="majorHAnsi" w:cstheme="minorHAnsi"/>
                <w:szCs w:val="24"/>
                <w:lang w:bidi="es-ES_tradnl"/>
              </w:rPr>
              <w:t xml:space="preserve">Inscripción </w:t>
            </w:r>
            <w:r w:rsidRPr="00082BB7">
              <w:rPr>
                <w:rFonts w:asciiTheme="majorHAnsi" w:hAnsiTheme="majorHAnsi" w:cstheme="minorHAnsi"/>
                <w:b/>
                <w:szCs w:val="24"/>
                <w:lang w:bidi="es-ES_tradnl"/>
              </w:rPr>
              <w:t xml:space="preserve">semestral </w:t>
            </w:r>
            <w:r w:rsidRPr="00082BB7">
              <w:rPr>
                <w:rFonts w:asciiTheme="majorHAnsi" w:hAnsiTheme="majorHAnsi" w:cstheme="minorHAnsi"/>
                <w:szCs w:val="24"/>
                <w:lang w:bidi="es-ES_tradnl"/>
              </w:rPr>
              <w:t>por taller</w:t>
            </w:r>
          </w:p>
        </w:tc>
        <w:tc>
          <w:tcPr>
            <w:tcW w:w="1560" w:type="dxa"/>
          </w:tcPr>
          <w:p w14:paraId="64D3BE67" w14:textId="77777777" w:rsidR="00082BB7" w:rsidRPr="00082BB7" w:rsidRDefault="00082BB7" w:rsidP="00E61371">
            <w:pPr>
              <w:jc w:val="right"/>
              <w:rPr>
                <w:rFonts w:asciiTheme="majorHAnsi" w:eastAsia="Meiryo UI" w:hAnsiTheme="majorHAnsi" w:cstheme="minorHAnsi"/>
                <w:szCs w:val="24"/>
                <w:lang w:bidi="es-ES_tradnl"/>
              </w:rPr>
            </w:pPr>
            <w:r w:rsidRPr="00082BB7">
              <w:rPr>
                <w:rFonts w:asciiTheme="majorHAnsi" w:eastAsia="Meiryo UI" w:hAnsiTheme="majorHAnsi" w:cstheme="minorHAnsi"/>
                <w:szCs w:val="24"/>
                <w:lang w:bidi="es-ES_tradnl"/>
              </w:rPr>
              <w:t>4.11 UMA</w:t>
            </w:r>
          </w:p>
        </w:tc>
      </w:tr>
      <w:tr w:rsidR="00082BB7" w:rsidRPr="00082BB7" w14:paraId="3944F84C" w14:textId="77777777" w:rsidTr="00E61371">
        <w:trPr>
          <w:trHeight w:val="221"/>
        </w:trPr>
        <w:tc>
          <w:tcPr>
            <w:tcW w:w="7479" w:type="dxa"/>
          </w:tcPr>
          <w:p w14:paraId="66BF2863" w14:textId="77777777" w:rsidR="00082BB7" w:rsidRPr="00082BB7" w:rsidRDefault="00082BB7" w:rsidP="00E61371">
            <w:pPr>
              <w:rPr>
                <w:rFonts w:asciiTheme="majorHAnsi" w:hAnsiTheme="majorHAnsi" w:cstheme="minorHAnsi"/>
                <w:b/>
                <w:sz w:val="12"/>
                <w:szCs w:val="24"/>
                <w:lang w:bidi="es-ES_tradnl"/>
              </w:rPr>
            </w:pPr>
          </w:p>
        </w:tc>
        <w:tc>
          <w:tcPr>
            <w:tcW w:w="1560" w:type="dxa"/>
          </w:tcPr>
          <w:p w14:paraId="4E7D557A" w14:textId="77777777" w:rsidR="00082BB7" w:rsidRPr="00082BB7" w:rsidRDefault="00082BB7" w:rsidP="00E61371">
            <w:pPr>
              <w:jc w:val="right"/>
              <w:rPr>
                <w:rFonts w:asciiTheme="majorHAnsi" w:eastAsia="Meiryo UI" w:hAnsiTheme="majorHAnsi" w:cstheme="minorHAnsi"/>
                <w:szCs w:val="24"/>
                <w:lang w:bidi="es-ES_tradnl"/>
              </w:rPr>
            </w:pPr>
          </w:p>
        </w:tc>
      </w:tr>
      <w:tr w:rsidR="00082BB7" w:rsidRPr="00082BB7" w14:paraId="078FE601" w14:textId="77777777" w:rsidTr="00E61371">
        <w:trPr>
          <w:trHeight w:val="319"/>
        </w:trPr>
        <w:tc>
          <w:tcPr>
            <w:tcW w:w="7479" w:type="dxa"/>
          </w:tcPr>
          <w:p w14:paraId="25F64052" w14:textId="77777777" w:rsidR="00082BB7" w:rsidRPr="00082BB7" w:rsidRDefault="00082BB7" w:rsidP="00E61371">
            <w:pPr>
              <w:rPr>
                <w:rFonts w:asciiTheme="majorHAnsi" w:hAnsiTheme="majorHAnsi" w:cstheme="minorHAnsi"/>
                <w:b/>
                <w:szCs w:val="24"/>
                <w:lang w:bidi="es-ES_tradnl"/>
              </w:rPr>
            </w:pPr>
            <w:r w:rsidRPr="00082BB7">
              <w:rPr>
                <w:rFonts w:asciiTheme="majorHAnsi" w:hAnsiTheme="majorHAnsi" w:cstheme="minorHAnsi"/>
                <w:b/>
                <w:szCs w:val="24"/>
                <w:lang w:bidi="es-ES_tradnl"/>
              </w:rPr>
              <w:t>7.3.6. Inscripción anual de danza clásica</w:t>
            </w:r>
          </w:p>
        </w:tc>
        <w:tc>
          <w:tcPr>
            <w:tcW w:w="1560" w:type="dxa"/>
          </w:tcPr>
          <w:p w14:paraId="730E52EB" w14:textId="77777777" w:rsidR="00082BB7" w:rsidRPr="00082BB7" w:rsidRDefault="00082BB7" w:rsidP="00E61371">
            <w:pPr>
              <w:jc w:val="right"/>
              <w:rPr>
                <w:rFonts w:asciiTheme="majorHAnsi" w:eastAsia="Meiryo UI" w:hAnsiTheme="majorHAnsi" w:cstheme="minorHAnsi"/>
                <w:b/>
                <w:szCs w:val="24"/>
                <w:lang w:bidi="es-ES_tradnl"/>
              </w:rPr>
            </w:pPr>
            <w:r w:rsidRPr="00082BB7">
              <w:rPr>
                <w:rFonts w:asciiTheme="majorHAnsi" w:eastAsia="Meiryo UI" w:hAnsiTheme="majorHAnsi" w:cstheme="minorHAnsi"/>
                <w:b/>
                <w:szCs w:val="24"/>
                <w:lang w:bidi="es-ES_tradnl"/>
              </w:rPr>
              <w:t>5.48</w:t>
            </w:r>
            <w:r w:rsidRPr="00082BB7">
              <w:rPr>
                <w:rFonts w:asciiTheme="majorHAnsi" w:eastAsia="Meiryo UI" w:hAnsiTheme="majorHAnsi" w:cstheme="minorHAnsi"/>
                <w:szCs w:val="24"/>
                <w:lang w:bidi="es-ES_tradnl"/>
              </w:rPr>
              <w:t xml:space="preserve"> </w:t>
            </w:r>
            <w:r w:rsidRPr="00082BB7">
              <w:rPr>
                <w:rFonts w:asciiTheme="majorHAnsi" w:eastAsia="Meiryo UI" w:hAnsiTheme="majorHAnsi" w:cstheme="minorHAnsi"/>
                <w:b/>
                <w:szCs w:val="24"/>
                <w:lang w:bidi="es-ES_tradnl"/>
              </w:rPr>
              <w:t>UMA</w:t>
            </w:r>
          </w:p>
        </w:tc>
      </w:tr>
      <w:tr w:rsidR="00082BB7" w:rsidRPr="00082BB7" w14:paraId="5DF43ABE" w14:textId="77777777" w:rsidTr="00E61371">
        <w:trPr>
          <w:trHeight w:val="319"/>
        </w:trPr>
        <w:tc>
          <w:tcPr>
            <w:tcW w:w="7479" w:type="dxa"/>
          </w:tcPr>
          <w:p w14:paraId="367765BE" w14:textId="77777777" w:rsidR="00082BB7" w:rsidRPr="00082BB7" w:rsidRDefault="00082BB7" w:rsidP="00E61371">
            <w:pPr>
              <w:rPr>
                <w:rFonts w:asciiTheme="majorHAnsi" w:hAnsiTheme="majorHAnsi" w:cstheme="minorHAnsi"/>
                <w:b/>
                <w:szCs w:val="24"/>
                <w:lang w:bidi="es-ES_tradnl"/>
              </w:rPr>
            </w:pPr>
          </w:p>
        </w:tc>
        <w:tc>
          <w:tcPr>
            <w:tcW w:w="1560" w:type="dxa"/>
          </w:tcPr>
          <w:p w14:paraId="1D86F867" w14:textId="77777777" w:rsidR="00082BB7" w:rsidRPr="00082BB7" w:rsidRDefault="00082BB7" w:rsidP="00E61371">
            <w:pPr>
              <w:jc w:val="right"/>
              <w:rPr>
                <w:rFonts w:asciiTheme="majorHAnsi" w:eastAsia="Meiryo UI" w:hAnsiTheme="majorHAnsi" w:cstheme="minorHAnsi"/>
                <w:szCs w:val="24"/>
                <w:lang w:bidi="es-ES_tradnl"/>
              </w:rPr>
            </w:pPr>
          </w:p>
        </w:tc>
      </w:tr>
      <w:tr w:rsidR="00082BB7" w:rsidRPr="00082BB7" w14:paraId="3A1BA9BE" w14:textId="77777777" w:rsidTr="00E61371">
        <w:trPr>
          <w:trHeight w:val="319"/>
        </w:trPr>
        <w:tc>
          <w:tcPr>
            <w:tcW w:w="7479" w:type="dxa"/>
          </w:tcPr>
          <w:p w14:paraId="7D7E751E" w14:textId="77777777" w:rsidR="00082BB7" w:rsidRPr="00082BB7" w:rsidRDefault="00082BB7" w:rsidP="00E61371">
            <w:pPr>
              <w:rPr>
                <w:rFonts w:asciiTheme="majorHAnsi" w:hAnsiTheme="majorHAnsi" w:cstheme="minorHAnsi"/>
                <w:b/>
                <w:szCs w:val="24"/>
                <w:lang w:bidi="es-ES_tradnl"/>
              </w:rPr>
            </w:pPr>
            <w:r w:rsidRPr="00082BB7">
              <w:rPr>
                <w:rFonts w:asciiTheme="majorHAnsi" w:hAnsiTheme="majorHAnsi" w:cstheme="minorHAnsi"/>
                <w:b/>
                <w:szCs w:val="24"/>
                <w:lang w:bidi="es-ES_tradnl"/>
              </w:rPr>
              <w:t xml:space="preserve">7.5.1. </w:t>
            </w:r>
            <w:r w:rsidRPr="00082BB7">
              <w:rPr>
                <w:rFonts w:asciiTheme="majorHAnsi" w:hAnsiTheme="majorHAnsi" w:cstheme="minorHAnsi"/>
                <w:szCs w:val="24"/>
                <w:lang w:bidi="es-ES_tradnl"/>
              </w:rPr>
              <w:t>Inscripción</w:t>
            </w:r>
            <w:r w:rsidRPr="00082BB7">
              <w:rPr>
                <w:rFonts w:asciiTheme="majorHAnsi" w:hAnsiTheme="majorHAnsi" w:cstheme="minorHAnsi"/>
                <w:b/>
                <w:szCs w:val="24"/>
                <w:lang w:bidi="es-ES_tradnl"/>
              </w:rPr>
              <w:t xml:space="preserve"> semestral</w:t>
            </w:r>
          </w:p>
        </w:tc>
        <w:tc>
          <w:tcPr>
            <w:tcW w:w="1560" w:type="dxa"/>
          </w:tcPr>
          <w:p w14:paraId="776007E4" w14:textId="77777777" w:rsidR="00082BB7" w:rsidRPr="00082BB7" w:rsidRDefault="00082BB7" w:rsidP="00E61371">
            <w:pPr>
              <w:jc w:val="right"/>
              <w:rPr>
                <w:rFonts w:asciiTheme="majorHAnsi" w:eastAsia="Meiryo UI" w:hAnsiTheme="majorHAnsi" w:cstheme="minorHAnsi"/>
                <w:b/>
                <w:szCs w:val="24"/>
                <w:lang w:bidi="es-ES_tradnl"/>
              </w:rPr>
            </w:pPr>
            <w:r w:rsidRPr="00082BB7">
              <w:rPr>
                <w:rFonts w:asciiTheme="majorHAnsi" w:eastAsia="Meiryo UI" w:hAnsiTheme="majorHAnsi" w:cstheme="minorHAnsi"/>
                <w:szCs w:val="24"/>
                <w:lang w:bidi="es-ES_tradnl"/>
              </w:rPr>
              <w:t>5.48 UMA</w:t>
            </w:r>
          </w:p>
        </w:tc>
      </w:tr>
      <w:tr w:rsidR="00082BB7" w:rsidRPr="00082BB7" w14:paraId="58E91264" w14:textId="77777777" w:rsidTr="00E61371">
        <w:trPr>
          <w:trHeight w:val="319"/>
        </w:trPr>
        <w:tc>
          <w:tcPr>
            <w:tcW w:w="7479" w:type="dxa"/>
          </w:tcPr>
          <w:p w14:paraId="524BB7DD" w14:textId="77777777" w:rsidR="00082BB7" w:rsidRPr="00082BB7" w:rsidRDefault="00082BB7" w:rsidP="00E61371">
            <w:pPr>
              <w:rPr>
                <w:rFonts w:asciiTheme="majorHAnsi" w:hAnsiTheme="majorHAnsi" w:cstheme="minorHAnsi"/>
                <w:b/>
                <w:szCs w:val="24"/>
                <w:lang w:bidi="es-ES_tradnl"/>
              </w:rPr>
            </w:pPr>
          </w:p>
        </w:tc>
        <w:tc>
          <w:tcPr>
            <w:tcW w:w="1560" w:type="dxa"/>
          </w:tcPr>
          <w:p w14:paraId="3DD96AF5" w14:textId="77777777" w:rsidR="00082BB7" w:rsidRPr="00082BB7" w:rsidRDefault="00082BB7" w:rsidP="00E61371">
            <w:pPr>
              <w:jc w:val="right"/>
              <w:rPr>
                <w:rFonts w:asciiTheme="majorHAnsi" w:eastAsia="Meiryo UI" w:hAnsiTheme="majorHAnsi" w:cstheme="minorHAnsi"/>
                <w:b/>
                <w:szCs w:val="24"/>
                <w:lang w:bidi="es-ES_tradnl"/>
              </w:rPr>
            </w:pPr>
          </w:p>
        </w:tc>
      </w:tr>
      <w:tr w:rsidR="00082BB7" w:rsidRPr="00082BB7" w14:paraId="3DB1789B" w14:textId="77777777" w:rsidTr="00E61371">
        <w:trPr>
          <w:trHeight w:val="319"/>
        </w:trPr>
        <w:tc>
          <w:tcPr>
            <w:tcW w:w="7479" w:type="dxa"/>
          </w:tcPr>
          <w:p w14:paraId="00737AEC" w14:textId="77777777" w:rsidR="00082BB7" w:rsidRPr="00082BB7" w:rsidRDefault="00082BB7" w:rsidP="00E61371">
            <w:pPr>
              <w:rPr>
                <w:rFonts w:asciiTheme="majorHAnsi" w:hAnsiTheme="majorHAnsi" w:cstheme="minorHAnsi"/>
                <w:b/>
                <w:szCs w:val="24"/>
                <w:lang w:bidi="es-ES_tradnl"/>
              </w:rPr>
            </w:pPr>
            <w:r w:rsidRPr="00082BB7">
              <w:rPr>
                <w:rFonts w:asciiTheme="majorHAnsi" w:hAnsiTheme="majorHAnsi" w:cstheme="minorHAnsi"/>
                <w:b/>
                <w:szCs w:val="24"/>
                <w:lang w:bidi="es-ES_tradnl"/>
              </w:rPr>
              <w:t>9.1.1. Estudiante con credencial</w:t>
            </w:r>
          </w:p>
        </w:tc>
        <w:tc>
          <w:tcPr>
            <w:tcW w:w="1560" w:type="dxa"/>
          </w:tcPr>
          <w:p w14:paraId="693F551F" w14:textId="77777777" w:rsidR="00082BB7" w:rsidRPr="00082BB7" w:rsidRDefault="00082BB7" w:rsidP="00E61371">
            <w:pPr>
              <w:jc w:val="right"/>
              <w:rPr>
                <w:rFonts w:asciiTheme="majorHAnsi" w:eastAsia="Meiryo UI" w:hAnsiTheme="majorHAnsi" w:cstheme="minorHAnsi"/>
                <w:b/>
                <w:szCs w:val="24"/>
                <w:lang w:bidi="es-ES_tradnl"/>
              </w:rPr>
            </w:pPr>
            <w:r w:rsidRPr="00082BB7">
              <w:rPr>
                <w:rFonts w:asciiTheme="majorHAnsi" w:eastAsia="Meiryo UI" w:hAnsiTheme="majorHAnsi" w:cstheme="minorHAnsi"/>
                <w:b/>
                <w:szCs w:val="24"/>
                <w:lang w:bidi="es-ES_tradnl"/>
              </w:rPr>
              <w:t>0.14 UMA</w:t>
            </w:r>
          </w:p>
        </w:tc>
      </w:tr>
      <w:tr w:rsidR="00082BB7" w:rsidRPr="00082BB7" w14:paraId="29B627B0" w14:textId="77777777" w:rsidTr="00E61371">
        <w:trPr>
          <w:trHeight w:val="319"/>
        </w:trPr>
        <w:tc>
          <w:tcPr>
            <w:tcW w:w="7479" w:type="dxa"/>
          </w:tcPr>
          <w:p w14:paraId="5C6C984A" w14:textId="77777777" w:rsidR="00082BB7" w:rsidRPr="00082BB7" w:rsidRDefault="00082BB7" w:rsidP="00E61371">
            <w:pPr>
              <w:rPr>
                <w:rFonts w:asciiTheme="majorHAnsi" w:hAnsiTheme="majorHAnsi" w:cstheme="minorHAnsi"/>
                <w:b/>
                <w:szCs w:val="24"/>
                <w:lang w:bidi="es-ES_tradnl"/>
              </w:rPr>
            </w:pPr>
            <w:r w:rsidRPr="00082BB7">
              <w:rPr>
                <w:rFonts w:asciiTheme="majorHAnsi" w:hAnsiTheme="majorHAnsi" w:cstheme="minorHAnsi"/>
                <w:b/>
                <w:szCs w:val="24"/>
                <w:lang w:bidi="es-ES_tradnl"/>
              </w:rPr>
              <w:t>9.1.2. Adulto Mayor con credencial expedida por el Instituto Nacional de las Personas Adultas Mayores (INAPAM)</w:t>
            </w:r>
          </w:p>
        </w:tc>
        <w:tc>
          <w:tcPr>
            <w:tcW w:w="1560" w:type="dxa"/>
          </w:tcPr>
          <w:p w14:paraId="4D1B41BF" w14:textId="77777777" w:rsidR="00082BB7" w:rsidRPr="00082BB7" w:rsidRDefault="00082BB7" w:rsidP="00E61371">
            <w:pPr>
              <w:jc w:val="right"/>
              <w:rPr>
                <w:rFonts w:asciiTheme="majorHAnsi" w:eastAsia="Meiryo UI" w:hAnsiTheme="majorHAnsi" w:cstheme="minorHAnsi"/>
                <w:b/>
                <w:szCs w:val="24"/>
                <w:lang w:bidi="es-ES_tradnl"/>
              </w:rPr>
            </w:pPr>
            <w:r w:rsidRPr="00082BB7">
              <w:rPr>
                <w:rFonts w:asciiTheme="majorHAnsi" w:eastAsia="Meiryo UI" w:hAnsiTheme="majorHAnsi" w:cstheme="minorHAnsi"/>
                <w:b/>
                <w:szCs w:val="24"/>
                <w:lang w:bidi="es-ES_tradnl"/>
              </w:rPr>
              <w:t>0.14 UMA</w:t>
            </w:r>
          </w:p>
        </w:tc>
      </w:tr>
    </w:tbl>
    <w:p w14:paraId="4C1D429C" w14:textId="77777777" w:rsidR="00082BB7" w:rsidRDefault="00082BB7" w:rsidP="00082BB7">
      <w:pPr>
        <w:autoSpaceDE w:val="0"/>
        <w:autoSpaceDN w:val="0"/>
        <w:adjustRightInd w:val="0"/>
        <w:rPr>
          <w:rFonts w:cstheme="minorHAnsi"/>
          <w:b/>
          <w:szCs w:val="24"/>
        </w:rPr>
      </w:pPr>
    </w:p>
    <w:p w14:paraId="78298D35" w14:textId="77777777" w:rsidR="00082BB7" w:rsidRDefault="00082BB7" w:rsidP="000545CF">
      <w:pPr>
        <w:spacing w:line="360" w:lineRule="auto"/>
        <w:ind w:right="-232"/>
        <w:jc w:val="center"/>
        <w:rPr>
          <w:rFonts w:asciiTheme="majorHAnsi" w:hAnsiTheme="majorHAnsi" w:cstheme="majorHAnsi"/>
          <w:b/>
          <w:szCs w:val="24"/>
          <w:lang w:val="es-MX"/>
        </w:rPr>
      </w:pPr>
    </w:p>
    <w:p w14:paraId="5E5AD4E4" w14:textId="44825F9E" w:rsidR="000545CF" w:rsidRPr="00D33F49" w:rsidRDefault="000545CF" w:rsidP="000545CF">
      <w:pPr>
        <w:spacing w:line="360" w:lineRule="auto"/>
        <w:ind w:right="-232"/>
        <w:jc w:val="center"/>
        <w:rPr>
          <w:rFonts w:asciiTheme="majorHAnsi" w:hAnsiTheme="majorHAnsi" w:cstheme="majorHAnsi"/>
          <w:b/>
          <w:szCs w:val="24"/>
          <w:lang w:val="es-MX"/>
        </w:rPr>
      </w:pPr>
      <w:r w:rsidRPr="00D33F49">
        <w:rPr>
          <w:rFonts w:asciiTheme="majorHAnsi" w:hAnsiTheme="majorHAnsi" w:cstheme="majorHAnsi"/>
          <w:b/>
          <w:szCs w:val="24"/>
          <w:lang w:val="es-MX"/>
        </w:rPr>
        <w:t>TRANSITORIOS</w:t>
      </w:r>
    </w:p>
    <w:p w14:paraId="5DA60E6F" w14:textId="77777777" w:rsidR="000545CF" w:rsidRPr="00D33F49" w:rsidRDefault="000545CF" w:rsidP="000545CF">
      <w:pPr>
        <w:spacing w:line="360" w:lineRule="auto"/>
        <w:ind w:right="-232"/>
        <w:jc w:val="center"/>
        <w:rPr>
          <w:rFonts w:asciiTheme="majorHAnsi" w:hAnsiTheme="majorHAnsi" w:cstheme="majorHAnsi"/>
          <w:b/>
          <w:szCs w:val="24"/>
          <w:lang w:val="es-MX"/>
        </w:rPr>
      </w:pPr>
    </w:p>
    <w:p w14:paraId="4684AFD6" w14:textId="40B92E89" w:rsidR="000545CF" w:rsidRPr="00D33F49" w:rsidRDefault="000545CF" w:rsidP="000545CF">
      <w:pPr>
        <w:spacing w:line="360" w:lineRule="auto"/>
        <w:ind w:right="-232"/>
        <w:rPr>
          <w:rFonts w:asciiTheme="majorHAnsi" w:hAnsiTheme="majorHAnsi" w:cstheme="majorHAnsi"/>
          <w:szCs w:val="24"/>
          <w:lang w:val="es-MX"/>
        </w:rPr>
      </w:pPr>
      <w:r w:rsidRPr="00D33F49">
        <w:rPr>
          <w:rFonts w:asciiTheme="majorHAnsi" w:hAnsiTheme="majorHAnsi" w:cstheme="majorHAnsi"/>
          <w:b/>
          <w:szCs w:val="24"/>
          <w:lang w:val="es-MX"/>
        </w:rPr>
        <w:t xml:space="preserve">ARTÍCULO PRIMERO.  </w:t>
      </w:r>
      <w:r w:rsidR="004E4BD6" w:rsidRPr="00D33F49">
        <w:rPr>
          <w:rFonts w:asciiTheme="majorHAnsi" w:hAnsiTheme="majorHAnsi" w:cstheme="majorHAnsi"/>
          <w:szCs w:val="24"/>
          <w:lang w:val="es-MX"/>
        </w:rPr>
        <w:t xml:space="preserve">El presente Decreto entrará en vigor el día uno del mes de enero del año dos mil </w:t>
      </w:r>
      <w:r w:rsidR="00FB74AC" w:rsidRPr="00D33F49">
        <w:rPr>
          <w:rFonts w:asciiTheme="majorHAnsi" w:hAnsiTheme="majorHAnsi" w:cstheme="majorHAnsi"/>
          <w:szCs w:val="24"/>
          <w:lang w:val="es-MX"/>
        </w:rPr>
        <w:t>diecinueve</w:t>
      </w:r>
      <w:r w:rsidR="004E4BD6" w:rsidRPr="00D33F49">
        <w:rPr>
          <w:rFonts w:asciiTheme="majorHAnsi" w:hAnsiTheme="majorHAnsi" w:cstheme="majorHAnsi"/>
          <w:szCs w:val="24"/>
          <w:lang w:val="es-MX"/>
        </w:rPr>
        <w:t>, sin perjuicio de lo dispuesto en los artículos transitorios siguientes</w:t>
      </w:r>
      <w:r w:rsidRPr="00D33F49">
        <w:rPr>
          <w:rFonts w:asciiTheme="majorHAnsi" w:hAnsiTheme="majorHAnsi" w:cstheme="majorHAnsi"/>
          <w:szCs w:val="24"/>
          <w:lang w:val="es-MX"/>
        </w:rPr>
        <w:t>.</w:t>
      </w:r>
    </w:p>
    <w:p w14:paraId="6B5A73B7" w14:textId="77777777" w:rsidR="000545CF" w:rsidRPr="00D33F49" w:rsidRDefault="000545CF" w:rsidP="000545CF">
      <w:pPr>
        <w:spacing w:line="360" w:lineRule="auto"/>
        <w:ind w:right="-232"/>
        <w:rPr>
          <w:rFonts w:asciiTheme="majorHAnsi" w:hAnsiTheme="majorHAnsi" w:cstheme="majorHAnsi"/>
          <w:szCs w:val="24"/>
          <w:lang w:val="es-MX"/>
        </w:rPr>
      </w:pPr>
    </w:p>
    <w:p w14:paraId="08161E8F" w14:textId="334823E6" w:rsidR="000545CF" w:rsidRPr="00D33F49" w:rsidRDefault="000545CF" w:rsidP="000545CF">
      <w:pPr>
        <w:spacing w:line="360" w:lineRule="auto"/>
        <w:ind w:right="-232"/>
        <w:rPr>
          <w:rFonts w:asciiTheme="majorHAnsi" w:hAnsiTheme="majorHAnsi" w:cstheme="majorHAnsi"/>
          <w:szCs w:val="24"/>
          <w:lang w:val="es-MX"/>
        </w:rPr>
      </w:pPr>
      <w:r w:rsidRPr="00D33F49">
        <w:rPr>
          <w:rFonts w:asciiTheme="majorHAnsi" w:hAnsiTheme="majorHAnsi" w:cstheme="majorHAnsi"/>
          <w:b/>
          <w:szCs w:val="24"/>
          <w:lang w:val="es-MX"/>
        </w:rPr>
        <w:t xml:space="preserve">ARTÍCULO SEGUNDO. </w:t>
      </w:r>
      <w:r w:rsidR="00FC754A" w:rsidRPr="00D33F49">
        <w:rPr>
          <w:rFonts w:asciiTheme="majorHAnsi" w:hAnsiTheme="majorHAnsi" w:cstheme="majorHAnsi"/>
          <w:szCs w:val="24"/>
          <w:lang w:val="es-MX"/>
        </w:rPr>
        <w:t xml:space="preserve">Quedan sin efecto todas </w:t>
      </w:r>
      <w:r w:rsidR="00763266" w:rsidRPr="00D33F49">
        <w:rPr>
          <w:rFonts w:asciiTheme="majorHAnsi" w:hAnsiTheme="majorHAnsi" w:cstheme="majorHAnsi"/>
          <w:szCs w:val="24"/>
          <w:lang w:val="es-MX"/>
        </w:rPr>
        <w:t>aquellas</w:t>
      </w:r>
      <w:r w:rsidRPr="00D33F49">
        <w:rPr>
          <w:rFonts w:asciiTheme="majorHAnsi" w:hAnsiTheme="majorHAnsi" w:cstheme="majorHAnsi"/>
          <w:szCs w:val="24"/>
          <w:lang w:val="es-MX"/>
        </w:rPr>
        <w:t xml:space="preserve"> disposiciones que se opongan al presente Decreto.</w:t>
      </w:r>
    </w:p>
    <w:p w14:paraId="539EF6CA" w14:textId="77777777" w:rsidR="000545CF" w:rsidRPr="00D33F49" w:rsidRDefault="000545CF" w:rsidP="000545CF">
      <w:pPr>
        <w:spacing w:line="360" w:lineRule="auto"/>
        <w:ind w:right="-232"/>
        <w:rPr>
          <w:rFonts w:asciiTheme="majorHAnsi" w:hAnsiTheme="majorHAnsi" w:cstheme="majorHAnsi"/>
          <w:szCs w:val="24"/>
          <w:lang w:val="es-MX"/>
        </w:rPr>
      </w:pPr>
    </w:p>
    <w:p w14:paraId="6185CC6B" w14:textId="5AC41397" w:rsidR="00D93D46" w:rsidRPr="00D33F49" w:rsidRDefault="00201405" w:rsidP="00D93D46">
      <w:pPr>
        <w:spacing w:line="360" w:lineRule="auto"/>
        <w:ind w:right="-232"/>
        <w:rPr>
          <w:rFonts w:asciiTheme="majorHAnsi" w:hAnsiTheme="majorHAnsi" w:cstheme="majorHAnsi"/>
          <w:szCs w:val="24"/>
          <w:lang w:val="es-MX"/>
        </w:rPr>
      </w:pPr>
      <w:r w:rsidRPr="00D33F49">
        <w:rPr>
          <w:rFonts w:asciiTheme="majorHAnsi" w:hAnsiTheme="majorHAnsi" w:cstheme="majorHAnsi"/>
          <w:b/>
          <w:szCs w:val="24"/>
          <w:lang w:val="es-MX"/>
        </w:rPr>
        <w:t xml:space="preserve">ARTÍCULO </w:t>
      </w:r>
      <w:r w:rsidR="004E4BD6" w:rsidRPr="00D33F49">
        <w:rPr>
          <w:rFonts w:asciiTheme="majorHAnsi" w:hAnsiTheme="majorHAnsi" w:cstheme="majorHAnsi"/>
          <w:b/>
          <w:szCs w:val="24"/>
          <w:lang w:val="es-MX"/>
        </w:rPr>
        <w:t xml:space="preserve">TERCERO. </w:t>
      </w:r>
      <w:r w:rsidR="00D93D46" w:rsidRPr="00D33F49">
        <w:rPr>
          <w:rFonts w:asciiTheme="majorHAnsi" w:hAnsiTheme="majorHAnsi" w:cstheme="majorHAnsi"/>
          <w:szCs w:val="24"/>
          <w:lang w:val="es-MX"/>
        </w:rPr>
        <w:t>Cuando se disponga por mandato legal de la autoridad competente, tratándose de la transferencia de servicios públicos que preste el Gobierno del Estado y se trasladen a la autoridad municipal o, en su caso, de la municipalización de servicios públicos que el Gobierno del Estado tenga que entregar al Gobierno Municipal que corresponda y por cuyos servicios se establezca en la Ley de Ingresos del Estado de Tabasco para el Ejercicio Fiscal 2019 el concepto tributario, habrá de considerarse para los fines legales pertinentes, que una vez cumplidas las formalidades del caso, tales contribuciones se entenderán de la competencia hacendaria de la autoridad municipal y sin necesidad de un nuevo Decreto habrán de tenerse insertas en el texto de la Ley de Ingresos del Municipio que corresponda o cualquier ordenamiento legal en que así proceda.</w:t>
      </w:r>
    </w:p>
    <w:p w14:paraId="2F3079F9" w14:textId="77777777" w:rsidR="00D93D46" w:rsidRPr="00D33F49" w:rsidRDefault="00D93D46" w:rsidP="00D93D46">
      <w:pPr>
        <w:spacing w:line="360" w:lineRule="auto"/>
        <w:ind w:right="-232"/>
        <w:rPr>
          <w:rFonts w:asciiTheme="majorHAnsi" w:hAnsiTheme="majorHAnsi" w:cstheme="majorHAnsi"/>
          <w:szCs w:val="24"/>
          <w:lang w:val="es-MX"/>
        </w:rPr>
      </w:pPr>
    </w:p>
    <w:p w14:paraId="64928388" w14:textId="18BDB5DA" w:rsidR="004E4BD6" w:rsidRPr="00D33F49" w:rsidRDefault="00D93D46" w:rsidP="004E4BD6">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Para el caso de aquellas contribuciones de carácter municipal, que mediante convenios sean transferidas al Gobierno del Estado, de conformidad con la Ley de Coordinación Fiscal y Financiera del Estado de Tabasco, se entenderán de la competencia hacendaria estatal y sin necesidad de un nuevo Decreto habrán de tenerse insertadas en el texto de la Ley de Ingresos del Estado de Tabasco para el Ejercicio Fiscal 2019 o cualquier otro ordenamiento legal en que así proceda.</w:t>
      </w:r>
    </w:p>
    <w:p w14:paraId="53BDAC33" w14:textId="77777777" w:rsidR="00035A37" w:rsidRPr="00D33F49" w:rsidRDefault="00035A37" w:rsidP="000545CF">
      <w:pPr>
        <w:spacing w:line="360" w:lineRule="auto"/>
        <w:ind w:right="-232"/>
        <w:rPr>
          <w:rFonts w:asciiTheme="majorHAnsi" w:hAnsiTheme="majorHAnsi" w:cstheme="majorHAnsi"/>
          <w:b/>
          <w:szCs w:val="24"/>
          <w:lang w:val="es-MX"/>
        </w:rPr>
      </w:pPr>
    </w:p>
    <w:p w14:paraId="63CCD791" w14:textId="22E583E3" w:rsidR="000545CF" w:rsidRPr="00D33F49" w:rsidRDefault="00201405" w:rsidP="000545CF">
      <w:pPr>
        <w:spacing w:line="360" w:lineRule="auto"/>
        <w:ind w:right="-232"/>
        <w:rPr>
          <w:rFonts w:asciiTheme="majorHAnsi" w:hAnsiTheme="majorHAnsi" w:cstheme="majorHAnsi"/>
          <w:szCs w:val="24"/>
        </w:rPr>
      </w:pPr>
      <w:r w:rsidRPr="00D33F49">
        <w:rPr>
          <w:rFonts w:asciiTheme="majorHAnsi" w:hAnsiTheme="majorHAnsi" w:cstheme="majorHAnsi"/>
          <w:b/>
          <w:szCs w:val="24"/>
          <w:lang w:val="es-MX"/>
        </w:rPr>
        <w:t>ARTÍCULO CUARTO.</w:t>
      </w:r>
      <w:r w:rsidR="004E4BD6" w:rsidRPr="00D33F49">
        <w:rPr>
          <w:rFonts w:asciiTheme="majorHAnsi" w:hAnsiTheme="majorHAnsi" w:cstheme="majorHAnsi"/>
          <w:szCs w:val="24"/>
          <w:lang w:val="es-MX"/>
        </w:rPr>
        <w:t xml:space="preserve"> </w:t>
      </w:r>
      <w:r w:rsidR="00D93D46" w:rsidRPr="00D33F49">
        <w:rPr>
          <w:rFonts w:asciiTheme="majorHAnsi" w:hAnsiTheme="majorHAnsi" w:cstheme="majorHAnsi"/>
          <w:szCs w:val="24"/>
          <w:lang w:val="es-MX"/>
        </w:rPr>
        <w:t>La Ley de Ingresos del Estado de Tabasco para el Ejercicio Fiscal 2019 no contempla los recursos refrendados del ejercicio fiscal 2018, mismos que se reflejarán en el Presupuesto General de Egresos del Estado de Tabasco para el Ejercicio Fiscal 2019.</w:t>
      </w:r>
    </w:p>
    <w:p w14:paraId="4476AED7" w14:textId="77777777" w:rsidR="004E4BD6" w:rsidRPr="00D33F49" w:rsidRDefault="004E4BD6" w:rsidP="000545CF">
      <w:pPr>
        <w:spacing w:line="360" w:lineRule="auto"/>
        <w:ind w:right="-232"/>
        <w:rPr>
          <w:rFonts w:asciiTheme="majorHAnsi" w:hAnsiTheme="majorHAnsi" w:cstheme="majorHAnsi"/>
          <w:szCs w:val="24"/>
          <w:lang w:val="es-MX"/>
        </w:rPr>
      </w:pPr>
    </w:p>
    <w:p w14:paraId="181E4DCB" w14:textId="460E07FD" w:rsidR="004E4BD6" w:rsidRPr="00D33F49" w:rsidRDefault="00201405" w:rsidP="004E4BD6">
      <w:pPr>
        <w:spacing w:line="360" w:lineRule="auto"/>
        <w:ind w:right="-232"/>
        <w:rPr>
          <w:rFonts w:asciiTheme="majorHAnsi" w:hAnsiTheme="majorHAnsi" w:cstheme="majorHAnsi"/>
          <w:szCs w:val="24"/>
          <w:lang w:val="es-MX"/>
        </w:rPr>
      </w:pPr>
      <w:r w:rsidRPr="00D33F49">
        <w:rPr>
          <w:rFonts w:asciiTheme="majorHAnsi" w:hAnsiTheme="majorHAnsi" w:cstheme="majorHAnsi"/>
          <w:b/>
          <w:szCs w:val="24"/>
          <w:lang w:val="es-MX"/>
        </w:rPr>
        <w:t xml:space="preserve">ARTÍCULO </w:t>
      </w:r>
      <w:r w:rsidR="004E4BD6" w:rsidRPr="00D33F49">
        <w:rPr>
          <w:rFonts w:asciiTheme="majorHAnsi" w:hAnsiTheme="majorHAnsi" w:cstheme="majorHAnsi"/>
          <w:b/>
          <w:szCs w:val="24"/>
          <w:lang w:val="es-MX"/>
        </w:rPr>
        <w:t xml:space="preserve">QUINTO. </w:t>
      </w:r>
      <w:r w:rsidR="008A6F25" w:rsidRPr="00D33F49">
        <w:rPr>
          <w:rFonts w:asciiTheme="majorHAnsi" w:hAnsiTheme="majorHAnsi" w:cstheme="majorHAnsi"/>
          <w:szCs w:val="24"/>
          <w:lang w:val="es-MX"/>
        </w:rPr>
        <w:t>Se condonan y se eximen parcialmente, durante el ejercicio fiscal 2019, los créditos fiscales y las obligaciones omitidas del Impuesto Vehicular Estatal y del derecho de refrendo de placas, tarjeta de circulación y calcomanías, conforme a lo siguiente:</w:t>
      </w:r>
    </w:p>
    <w:p w14:paraId="5D9B167F" w14:textId="77777777" w:rsidR="004E4BD6" w:rsidRPr="00D33F49" w:rsidRDefault="004E4BD6" w:rsidP="004E4BD6">
      <w:pPr>
        <w:spacing w:line="360" w:lineRule="auto"/>
        <w:ind w:right="-232"/>
        <w:rPr>
          <w:rFonts w:asciiTheme="majorHAnsi" w:hAnsiTheme="majorHAnsi" w:cstheme="majorHAnsi"/>
          <w:b/>
          <w:szCs w:val="24"/>
          <w:lang w:val="es-MX"/>
        </w:rPr>
      </w:pPr>
    </w:p>
    <w:p w14:paraId="1CB02325" w14:textId="5D98CDE6" w:rsidR="004E4BD6" w:rsidRPr="00D33F49" w:rsidRDefault="00763BAA" w:rsidP="004E4BD6">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lastRenderedPageBreak/>
        <w:t>I. Los determinados por concepto Impuesto Vehicular Estatal establecido en el capítulo séptimo del título segundo vigente hasta el 31 de diciembre de 2014, en la Ley de Hacienda del Estado de Tabasco, correspondientes a los ejercicios 2011, 2012, 2013 y 2014.</w:t>
      </w:r>
    </w:p>
    <w:p w14:paraId="4A1FC85F" w14:textId="77777777" w:rsidR="00763BAA" w:rsidRPr="00D33F49" w:rsidRDefault="00763BAA" w:rsidP="004E4BD6">
      <w:pPr>
        <w:spacing w:line="360" w:lineRule="auto"/>
        <w:ind w:right="-232"/>
        <w:rPr>
          <w:rFonts w:asciiTheme="majorHAnsi" w:hAnsiTheme="majorHAnsi" w:cstheme="majorHAnsi"/>
          <w:b/>
          <w:szCs w:val="24"/>
          <w:lang w:val="es-MX"/>
        </w:rPr>
      </w:pPr>
    </w:p>
    <w:p w14:paraId="271E1A72" w14:textId="6895C220" w:rsidR="00D33F49" w:rsidRDefault="00763BAA" w:rsidP="00D33F49">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Por el periodo comprendido del 01 de enero al 31 de diciembre de 2019, se otorga un estímulo fiscal para las personas físicas o jurídico-colectivas, consistente en un descuento del 100% sobre los recargos, multas y gastos de ejecución causados al Impuesto Vehicular Estatal; los contribuyentes que se adhieran al presente estímulo deberán realizar el pago de este impuesto más su actualización, dentro del periodo en comento, conforme a la siguiente</w:t>
      </w:r>
      <w:r w:rsidR="00D33F49">
        <w:rPr>
          <w:rFonts w:asciiTheme="majorHAnsi" w:hAnsiTheme="majorHAnsi" w:cstheme="majorHAnsi"/>
          <w:szCs w:val="24"/>
          <w:lang w:val="es-MX"/>
        </w:rPr>
        <w:t xml:space="preserve"> </w:t>
      </w:r>
      <w:r w:rsidRPr="00D33F49">
        <w:rPr>
          <w:rFonts w:asciiTheme="majorHAnsi" w:hAnsiTheme="majorHAnsi" w:cstheme="majorHAnsi"/>
          <w:szCs w:val="24"/>
          <w:lang w:val="es-MX"/>
        </w:rPr>
        <w:t>tabla:</w:t>
      </w:r>
    </w:p>
    <w:p w14:paraId="1759CE15" w14:textId="77777777" w:rsidR="00D33F49" w:rsidRPr="00D33F49" w:rsidRDefault="00D33F49" w:rsidP="00D33F49">
      <w:pPr>
        <w:spacing w:line="360" w:lineRule="auto"/>
        <w:ind w:right="-232"/>
        <w:rPr>
          <w:rFonts w:asciiTheme="majorHAnsi" w:hAnsiTheme="majorHAnsi" w:cstheme="majorHAnsi"/>
          <w:sz w:val="12"/>
          <w:szCs w:val="24"/>
          <w:lang w:val="es-MX"/>
        </w:rPr>
      </w:pPr>
    </w:p>
    <w:tbl>
      <w:tblPr>
        <w:tblpPr w:leftFromText="141" w:rightFromText="141"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1723"/>
        <w:gridCol w:w="3188"/>
      </w:tblGrid>
      <w:tr w:rsidR="00B20847" w:rsidRPr="00D33F49" w14:paraId="4B7D72EC" w14:textId="77777777" w:rsidTr="00A51217">
        <w:tc>
          <w:tcPr>
            <w:tcW w:w="2670" w:type="dxa"/>
            <w:shd w:val="clear" w:color="auto" w:fill="auto"/>
          </w:tcPr>
          <w:p w14:paraId="5A493AED" w14:textId="77777777" w:rsidR="00B20847" w:rsidRPr="00D33F49" w:rsidRDefault="00B20847" w:rsidP="00A51217">
            <w:pPr>
              <w:jc w:val="center"/>
              <w:rPr>
                <w:rFonts w:asciiTheme="majorHAnsi" w:eastAsia="Times New Roman" w:hAnsiTheme="majorHAnsi" w:cstheme="majorHAnsi"/>
                <w:b/>
                <w:szCs w:val="24"/>
              </w:rPr>
            </w:pPr>
            <w:r w:rsidRPr="00D33F49">
              <w:rPr>
                <w:rFonts w:asciiTheme="majorHAnsi" w:eastAsia="Times New Roman" w:hAnsiTheme="majorHAnsi" w:cstheme="majorHAnsi"/>
                <w:b/>
                <w:szCs w:val="24"/>
              </w:rPr>
              <w:t>CONCEPTO</w:t>
            </w:r>
          </w:p>
        </w:tc>
        <w:tc>
          <w:tcPr>
            <w:tcW w:w="1723" w:type="dxa"/>
            <w:shd w:val="clear" w:color="auto" w:fill="auto"/>
          </w:tcPr>
          <w:p w14:paraId="46667242" w14:textId="77777777" w:rsidR="00B20847" w:rsidRPr="00D33F49" w:rsidRDefault="00B20847" w:rsidP="00A51217">
            <w:pPr>
              <w:jc w:val="center"/>
              <w:rPr>
                <w:rFonts w:asciiTheme="majorHAnsi" w:eastAsia="Times New Roman" w:hAnsiTheme="majorHAnsi" w:cstheme="majorHAnsi"/>
                <w:b/>
                <w:szCs w:val="24"/>
              </w:rPr>
            </w:pPr>
            <w:r w:rsidRPr="00D33F49">
              <w:rPr>
                <w:rFonts w:asciiTheme="majorHAnsi" w:eastAsia="Times New Roman" w:hAnsiTheme="majorHAnsi" w:cstheme="majorHAnsi"/>
                <w:b/>
                <w:szCs w:val="24"/>
              </w:rPr>
              <w:t>DESCUENTO</w:t>
            </w:r>
          </w:p>
        </w:tc>
        <w:tc>
          <w:tcPr>
            <w:tcW w:w="3188" w:type="dxa"/>
            <w:tcBorders>
              <w:bottom w:val="single" w:sz="4" w:space="0" w:color="auto"/>
            </w:tcBorders>
            <w:shd w:val="clear" w:color="auto" w:fill="auto"/>
          </w:tcPr>
          <w:p w14:paraId="633A37D9" w14:textId="37F2B462" w:rsidR="00B20847" w:rsidRPr="00D33F49" w:rsidRDefault="002A3FC1" w:rsidP="00A51217">
            <w:pPr>
              <w:jc w:val="center"/>
              <w:rPr>
                <w:rFonts w:asciiTheme="majorHAnsi" w:eastAsia="Times New Roman" w:hAnsiTheme="majorHAnsi" w:cstheme="majorHAnsi"/>
                <w:b/>
                <w:szCs w:val="24"/>
              </w:rPr>
            </w:pPr>
            <w:r w:rsidRPr="00D33F49">
              <w:rPr>
                <w:rFonts w:asciiTheme="majorHAnsi" w:eastAsia="Times New Roman" w:hAnsiTheme="majorHAnsi" w:cstheme="majorHAnsi"/>
                <w:b/>
                <w:szCs w:val="24"/>
              </w:rPr>
              <w:t>PERÍ</w:t>
            </w:r>
            <w:r w:rsidR="00B20847" w:rsidRPr="00D33F49">
              <w:rPr>
                <w:rFonts w:asciiTheme="majorHAnsi" w:eastAsia="Times New Roman" w:hAnsiTheme="majorHAnsi" w:cstheme="majorHAnsi"/>
                <w:b/>
                <w:szCs w:val="24"/>
              </w:rPr>
              <w:t>ODO DE PAGO</w:t>
            </w:r>
          </w:p>
        </w:tc>
      </w:tr>
      <w:tr w:rsidR="00B20847" w:rsidRPr="00D33F49" w14:paraId="15FA3B79" w14:textId="77777777" w:rsidTr="00A51217">
        <w:tc>
          <w:tcPr>
            <w:tcW w:w="2670" w:type="dxa"/>
            <w:shd w:val="clear" w:color="auto" w:fill="auto"/>
          </w:tcPr>
          <w:p w14:paraId="26AEA193" w14:textId="77777777" w:rsidR="00B20847" w:rsidRPr="00D33F49" w:rsidRDefault="00B20847" w:rsidP="00366735">
            <w:pPr>
              <w:rPr>
                <w:rFonts w:asciiTheme="majorHAnsi" w:eastAsia="Times New Roman" w:hAnsiTheme="majorHAnsi" w:cstheme="majorHAnsi"/>
                <w:szCs w:val="24"/>
              </w:rPr>
            </w:pPr>
            <w:r w:rsidRPr="00D33F49">
              <w:rPr>
                <w:rFonts w:asciiTheme="majorHAnsi" w:eastAsia="Times New Roman" w:hAnsiTheme="majorHAnsi" w:cstheme="majorHAnsi"/>
                <w:szCs w:val="24"/>
              </w:rPr>
              <w:t>Recargos</w:t>
            </w:r>
          </w:p>
        </w:tc>
        <w:tc>
          <w:tcPr>
            <w:tcW w:w="1723" w:type="dxa"/>
            <w:tcBorders>
              <w:right w:val="single" w:sz="4" w:space="0" w:color="auto"/>
            </w:tcBorders>
            <w:shd w:val="clear" w:color="auto" w:fill="auto"/>
          </w:tcPr>
          <w:p w14:paraId="14795614" w14:textId="77777777" w:rsidR="00B20847" w:rsidRPr="00D33F49" w:rsidRDefault="00B20847" w:rsidP="00366735">
            <w:pPr>
              <w:jc w:val="center"/>
              <w:rPr>
                <w:rFonts w:asciiTheme="majorHAnsi" w:eastAsia="Times New Roman" w:hAnsiTheme="majorHAnsi" w:cstheme="majorHAnsi"/>
                <w:szCs w:val="24"/>
              </w:rPr>
            </w:pPr>
            <w:r w:rsidRPr="00D33F49">
              <w:rPr>
                <w:rFonts w:asciiTheme="majorHAnsi" w:eastAsia="Times New Roman" w:hAnsiTheme="majorHAnsi" w:cstheme="majorHAnsi"/>
                <w:szCs w:val="24"/>
              </w:rPr>
              <w:t>100%</w:t>
            </w:r>
          </w:p>
        </w:tc>
        <w:tc>
          <w:tcPr>
            <w:tcW w:w="3188" w:type="dxa"/>
            <w:tcBorders>
              <w:top w:val="single" w:sz="4" w:space="0" w:color="auto"/>
              <w:left w:val="single" w:sz="4" w:space="0" w:color="auto"/>
              <w:bottom w:val="nil"/>
              <w:right w:val="single" w:sz="4" w:space="0" w:color="auto"/>
            </w:tcBorders>
            <w:shd w:val="clear" w:color="auto" w:fill="auto"/>
          </w:tcPr>
          <w:p w14:paraId="0DE7F04C" w14:textId="77777777" w:rsidR="00B20847" w:rsidRPr="00D33F49" w:rsidRDefault="00B20847" w:rsidP="00A51217">
            <w:pPr>
              <w:rPr>
                <w:rFonts w:asciiTheme="majorHAnsi" w:eastAsia="Times New Roman" w:hAnsiTheme="majorHAnsi" w:cstheme="majorHAnsi"/>
                <w:szCs w:val="24"/>
              </w:rPr>
            </w:pPr>
          </w:p>
        </w:tc>
      </w:tr>
      <w:tr w:rsidR="00B20847" w:rsidRPr="00D33F49" w14:paraId="3E9FCB77" w14:textId="77777777" w:rsidTr="00A51217">
        <w:tc>
          <w:tcPr>
            <w:tcW w:w="2670" w:type="dxa"/>
            <w:shd w:val="clear" w:color="auto" w:fill="auto"/>
          </w:tcPr>
          <w:p w14:paraId="3BC85CB6" w14:textId="77777777" w:rsidR="00B20847" w:rsidRPr="00D33F49" w:rsidRDefault="00B20847" w:rsidP="00366735">
            <w:pPr>
              <w:rPr>
                <w:rFonts w:asciiTheme="majorHAnsi" w:eastAsia="Times New Roman" w:hAnsiTheme="majorHAnsi" w:cstheme="majorHAnsi"/>
                <w:szCs w:val="24"/>
              </w:rPr>
            </w:pPr>
            <w:r w:rsidRPr="00D33F49">
              <w:rPr>
                <w:rFonts w:asciiTheme="majorHAnsi" w:eastAsia="Times New Roman" w:hAnsiTheme="majorHAnsi" w:cstheme="majorHAnsi"/>
                <w:szCs w:val="24"/>
              </w:rPr>
              <w:t>Multas</w:t>
            </w:r>
          </w:p>
        </w:tc>
        <w:tc>
          <w:tcPr>
            <w:tcW w:w="1723" w:type="dxa"/>
            <w:tcBorders>
              <w:right w:val="single" w:sz="4" w:space="0" w:color="auto"/>
            </w:tcBorders>
            <w:shd w:val="clear" w:color="auto" w:fill="auto"/>
          </w:tcPr>
          <w:p w14:paraId="10997E19" w14:textId="77777777" w:rsidR="00B20847" w:rsidRPr="00D33F49" w:rsidRDefault="00B20847" w:rsidP="00366735">
            <w:pPr>
              <w:jc w:val="center"/>
              <w:rPr>
                <w:rFonts w:asciiTheme="majorHAnsi" w:eastAsia="Times New Roman" w:hAnsiTheme="majorHAnsi" w:cstheme="majorHAnsi"/>
                <w:szCs w:val="24"/>
              </w:rPr>
            </w:pPr>
            <w:r w:rsidRPr="00D33F49">
              <w:rPr>
                <w:rFonts w:asciiTheme="majorHAnsi" w:eastAsia="Times New Roman" w:hAnsiTheme="majorHAnsi" w:cstheme="majorHAnsi"/>
                <w:szCs w:val="24"/>
              </w:rPr>
              <w:t>100%</w:t>
            </w:r>
          </w:p>
        </w:tc>
        <w:tc>
          <w:tcPr>
            <w:tcW w:w="3188" w:type="dxa"/>
            <w:tcBorders>
              <w:top w:val="nil"/>
              <w:left w:val="single" w:sz="4" w:space="0" w:color="auto"/>
              <w:bottom w:val="nil"/>
              <w:right w:val="single" w:sz="4" w:space="0" w:color="auto"/>
            </w:tcBorders>
            <w:shd w:val="clear" w:color="auto" w:fill="auto"/>
          </w:tcPr>
          <w:p w14:paraId="6B873F99" w14:textId="16193FAF" w:rsidR="00B20847" w:rsidRPr="00D33F49" w:rsidRDefault="00B45ED4" w:rsidP="00366735">
            <w:pPr>
              <w:jc w:val="center"/>
              <w:rPr>
                <w:rFonts w:asciiTheme="majorHAnsi" w:eastAsia="Times New Roman" w:hAnsiTheme="majorHAnsi" w:cstheme="majorHAnsi"/>
                <w:szCs w:val="24"/>
              </w:rPr>
            </w:pPr>
            <w:r w:rsidRPr="00D33F49">
              <w:rPr>
                <w:rFonts w:asciiTheme="majorHAnsi" w:eastAsia="Times New Roman" w:hAnsiTheme="majorHAnsi" w:cstheme="majorHAnsi"/>
                <w:szCs w:val="24"/>
              </w:rPr>
              <w:t>e</w:t>
            </w:r>
            <w:r w:rsidR="00B20847" w:rsidRPr="00D33F49">
              <w:rPr>
                <w:rFonts w:asciiTheme="majorHAnsi" w:eastAsia="Times New Roman" w:hAnsiTheme="majorHAnsi" w:cstheme="majorHAnsi"/>
                <w:szCs w:val="24"/>
              </w:rPr>
              <w:t>nero-</w:t>
            </w:r>
            <w:r w:rsidRPr="00D33F49">
              <w:rPr>
                <w:rFonts w:asciiTheme="majorHAnsi" w:eastAsia="Times New Roman" w:hAnsiTheme="majorHAnsi" w:cstheme="majorHAnsi"/>
                <w:szCs w:val="24"/>
              </w:rPr>
              <w:t>d</w:t>
            </w:r>
            <w:r w:rsidR="00B20847" w:rsidRPr="00D33F49">
              <w:rPr>
                <w:rFonts w:asciiTheme="majorHAnsi" w:eastAsia="Times New Roman" w:hAnsiTheme="majorHAnsi" w:cstheme="majorHAnsi"/>
                <w:szCs w:val="24"/>
              </w:rPr>
              <w:t>iciembre 201</w:t>
            </w:r>
            <w:r w:rsidR="00763BAA" w:rsidRPr="00D33F49">
              <w:rPr>
                <w:rFonts w:asciiTheme="majorHAnsi" w:eastAsia="Times New Roman" w:hAnsiTheme="majorHAnsi" w:cstheme="majorHAnsi"/>
                <w:szCs w:val="24"/>
              </w:rPr>
              <w:t>9</w:t>
            </w:r>
          </w:p>
        </w:tc>
      </w:tr>
      <w:tr w:rsidR="00B20847" w:rsidRPr="00D33F49" w14:paraId="0CD2E69A" w14:textId="77777777" w:rsidTr="00A51217">
        <w:tc>
          <w:tcPr>
            <w:tcW w:w="2670" w:type="dxa"/>
            <w:shd w:val="clear" w:color="auto" w:fill="auto"/>
          </w:tcPr>
          <w:p w14:paraId="134D69E0" w14:textId="77777777" w:rsidR="00B20847" w:rsidRPr="00D33F49" w:rsidRDefault="00B20847" w:rsidP="00366735">
            <w:pPr>
              <w:rPr>
                <w:rFonts w:asciiTheme="majorHAnsi" w:eastAsia="Times New Roman" w:hAnsiTheme="majorHAnsi" w:cstheme="majorHAnsi"/>
                <w:szCs w:val="24"/>
              </w:rPr>
            </w:pPr>
            <w:r w:rsidRPr="00D33F49">
              <w:rPr>
                <w:rFonts w:asciiTheme="majorHAnsi" w:eastAsia="Times New Roman" w:hAnsiTheme="majorHAnsi" w:cstheme="majorHAnsi"/>
                <w:szCs w:val="24"/>
              </w:rPr>
              <w:t>Gastos de Ejecución</w:t>
            </w:r>
          </w:p>
        </w:tc>
        <w:tc>
          <w:tcPr>
            <w:tcW w:w="1723" w:type="dxa"/>
            <w:tcBorders>
              <w:right w:val="single" w:sz="4" w:space="0" w:color="auto"/>
            </w:tcBorders>
            <w:shd w:val="clear" w:color="auto" w:fill="auto"/>
          </w:tcPr>
          <w:p w14:paraId="1BE38175" w14:textId="77777777" w:rsidR="00B20847" w:rsidRPr="00D33F49" w:rsidRDefault="00B20847" w:rsidP="00366735">
            <w:pPr>
              <w:jc w:val="center"/>
              <w:rPr>
                <w:rFonts w:asciiTheme="majorHAnsi" w:eastAsia="Times New Roman" w:hAnsiTheme="majorHAnsi" w:cstheme="majorHAnsi"/>
                <w:szCs w:val="24"/>
              </w:rPr>
            </w:pPr>
            <w:r w:rsidRPr="00D33F49">
              <w:rPr>
                <w:rFonts w:asciiTheme="majorHAnsi" w:eastAsia="Times New Roman" w:hAnsiTheme="majorHAnsi" w:cstheme="majorHAnsi"/>
                <w:szCs w:val="24"/>
              </w:rPr>
              <w:t>100%</w:t>
            </w:r>
          </w:p>
        </w:tc>
        <w:tc>
          <w:tcPr>
            <w:tcW w:w="3188" w:type="dxa"/>
            <w:tcBorders>
              <w:top w:val="nil"/>
              <w:left w:val="single" w:sz="4" w:space="0" w:color="auto"/>
              <w:bottom w:val="single" w:sz="4" w:space="0" w:color="auto"/>
              <w:right w:val="single" w:sz="4" w:space="0" w:color="auto"/>
            </w:tcBorders>
            <w:shd w:val="clear" w:color="auto" w:fill="auto"/>
          </w:tcPr>
          <w:p w14:paraId="01EA1922" w14:textId="77777777" w:rsidR="00B20847" w:rsidRPr="00D33F49" w:rsidRDefault="00B20847" w:rsidP="00A51217">
            <w:pPr>
              <w:rPr>
                <w:rFonts w:asciiTheme="majorHAnsi" w:eastAsia="Times New Roman" w:hAnsiTheme="majorHAnsi" w:cstheme="majorHAnsi"/>
                <w:szCs w:val="24"/>
              </w:rPr>
            </w:pPr>
          </w:p>
        </w:tc>
      </w:tr>
    </w:tbl>
    <w:p w14:paraId="11E54CBC" w14:textId="77777777" w:rsidR="00B20847" w:rsidRPr="00D33F49" w:rsidRDefault="00B20847" w:rsidP="004E4BD6">
      <w:pPr>
        <w:spacing w:line="360" w:lineRule="auto"/>
        <w:ind w:right="-232"/>
        <w:rPr>
          <w:rFonts w:asciiTheme="majorHAnsi" w:hAnsiTheme="majorHAnsi" w:cstheme="majorHAnsi"/>
          <w:b/>
          <w:szCs w:val="24"/>
          <w:lang w:val="es-MX"/>
        </w:rPr>
      </w:pPr>
    </w:p>
    <w:p w14:paraId="24BD87E7" w14:textId="77777777" w:rsidR="00B20847" w:rsidRPr="00D33F49" w:rsidRDefault="00B20847" w:rsidP="004E4BD6">
      <w:pPr>
        <w:spacing w:line="360" w:lineRule="auto"/>
        <w:ind w:right="-232"/>
        <w:rPr>
          <w:rFonts w:asciiTheme="majorHAnsi" w:hAnsiTheme="majorHAnsi" w:cstheme="majorHAnsi"/>
          <w:b/>
          <w:szCs w:val="24"/>
          <w:lang w:val="es-MX"/>
        </w:rPr>
      </w:pPr>
    </w:p>
    <w:p w14:paraId="16137BAE" w14:textId="77777777" w:rsidR="00B20847" w:rsidRPr="00D33F49" w:rsidRDefault="00B20847" w:rsidP="004E4BD6">
      <w:pPr>
        <w:spacing w:line="360" w:lineRule="auto"/>
        <w:ind w:right="-232"/>
        <w:rPr>
          <w:rFonts w:asciiTheme="majorHAnsi" w:hAnsiTheme="majorHAnsi" w:cstheme="majorHAnsi"/>
          <w:b/>
          <w:szCs w:val="24"/>
          <w:lang w:val="es-MX"/>
        </w:rPr>
      </w:pPr>
    </w:p>
    <w:p w14:paraId="76BE9CAC" w14:textId="357C38E7" w:rsidR="004E4BD6" w:rsidRPr="00D33F49" w:rsidRDefault="005B039E" w:rsidP="004E4BD6">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L</w:t>
      </w:r>
      <w:r w:rsidR="00763BAA" w:rsidRPr="00D33F49">
        <w:rPr>
          <w:rFonts w:asciiTheme="majorHAnsi" w:hAnsiTheme="majorHAnsi" w:cstheme="majorHAnsi"/>
          <w:szCs w:val="24"/>
          <w:lang w:val="es-MX"/>
        </w:rPr>
        <w:t>os contribuyentes que opten por los estímulos que se otorgan en la fracción I del presente artículo transitorio, podrán ejercer el derecho de pago a plazos, conforme a lo siguiente:</w:t>
      </w:r>
    </w:p>
    <w:p w14:paraId="5CB4BBAB" w14:textId="77777777" w:rsidR="00763BAA" w:rsidRPr="00D33F49" w:rsidRDefault="00763BAA" w:rsidP="004E4BD6">
      <w:pPr>
        <w:spacing w:line="360" w:lineRule="auto"/>
        <w:ind w:right="-232"/>
        <w:rPr>
          <w:rFonts w:asciiTheme="majorHAnsi" w:hAnsiTheme="majorHAnsi" w:cstheme="majorHAnsi"/>
          <w:b/>
          <w:szCs w:val="24"/>
        </w:rPr>
      </w:pPr>
    </w:p>
    <w:p w14:paraId="77FC7EEE" w14:textId="77777777" w:rsidR="00763BAA" w:rsidRPr="00D33F49" w:rsidRDefault="00763BAA" w:rsidP="00763BAA">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a) Pago en parcialidades sin que el plazo exceda de doce meses, quedando exentos de presentar garantía del interés fiscal, siempre que se cumpla en lo conducente con lo establecido en los artículos 52, 52 Bis fracciones I, IV, V, VI y VII segundo párrafo, y 53 del Código Fiscal del Estado.</w:t>
      </w:r>
    </w:p>
    <w:p w14:paraId="2C9E5F0E" w14:textId="77777777" w:rsidR="00763BAA" w:rsidRPr="00D33F49" w:rsidRDefault="00763BAA" w:rsidP="00763BAA">
      <w:pPr>
        <w:spacing w:line="360" w:lineRule="auto"/>
        <w:ind w:right="-232"/>
        <w:rPr>
          <w:rFonts w:asciiTheme="majorHAnsi" w:hAnsiTheme="majorHAnsi" w:cstheme="majorHAnsi"/>
          <w:szCs w:val="24"/>
          <w:lang w:val="es-MX"/>
        </w:rPr>
      </w:pPr>
    </w:p>
    <w:p w14:paraId="52B179D2" w14:textId="3C0F5AEC" w:rsidR="00763BAA" w:rsidRPr="00D33F49" w:rsidRDefault="00763BAA" w:rsidP="00763BAA">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 xml:space="preserve">b) En el caso de las personas físicas o jurídico-colectivas, que opten por realizar el pago del Impuesto Vehicular Estatal hasta en 36 parcialidades conforme lo señalan los artículos 52, 52 Bis y 53 del Código Fiscal del Estado de Tabasco, no podrán ser beneficiarios de la condonación a que se refiere el </w:t>
      </w:r>
      <w:r w:rsidR="001819DB" w:rsidRPr="00D33F49">
        <w:rPr>
          <w:rFonts w:asciiTheme="majorHAnsi" w:hAnsiTheme="majorHAnsi" w:cstheme="majorHAnsi"/>
          <w:szCs w:val="24"/>
          <w:lang w:val="es-MX"/>
        </w:rPr>
        <w:t xml:space="preserve">presente </w:t>
      </w:r>
      <w:r w:rsidRPr="00D33F49">
        <w:rPr>
          <w:rFonts w:asciiTheme="majorHAnsi" w:hAnsiTheme="majorHAnsi" w:cstheme="majorHAnsi"/>
          <w:szCs w:val="24"/>
          <w:lang w:val="es-MX"/>
        </w:rPr>
        <w:t>artículo transitorio.</w:t>
      </w:r>
    </w:p>
    <w:p w14:paraId="26C0DABF" w14:textId="77777777" w:rsidR="004E4BD6" w:rsidRPr="00D33F49" w:rsidRDefault="004E4BD6" w:rsidP="004E4BD6">
      <w:pPr>
        <w:spacing w:line="360" w:lineRule="auto"/>
        <w:ind w:right="-232"/>
        <w:rPr>
          <w:rFonts w:asciiTheme="majorHAnsi" w:hAnsiTheme="majorHAnsi" w:cstheme="majorHAnsi"/>
          <w:szCs w:val="24"/>
          <w:lang w:val="es-MX"/>
        </w:rPr>
      </w:pPr>
    </w:p>
    <w:p w14:paraId="11970E7E" w14:textId="65E0640F" w:rsidR="004E4BD6" w:rsidRPr="00D33F49" w:rsidRDefault="00763BAA" w:rsidP="00763BAA">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II. Los determinados por concepto de derecho de refrendo de placas, tarjeta de circulación y calcomanías, establecidos en los artículos 85 fracción V y 86 fracción V de la Ley de Hacienda del Estado de Tabasco causados en los ejercicios anteriores al 2019.</w:t>
      </w:r>
    </w:p>
    <w:p w14:paraId="6C6B7D52" w14:textId="77777777" w:rsidR="00763BAA" w:rsidRPr="00D33F49" w:rsidRDefault="00763BAA" w:rsidP="00763BAA">
      <w:pPr>
        <w:spacing w:line="360" w:lineRule="auto"/>
        <w:ind w:right="-232"/>
        <w:rPr>
          <w:rFonts w:asciiTheme="majorHAnsi" w:hAnsiTheme="majorHAnsi" w:cstheme="majorHAnsi"/>
          <w:szCs w:val="24"/>
        </w:rPr>
      </w:pPr>
    </w:p>
    <w:p w14:paraId="1FBBA98F" w14:textId="318F7C06" w:rsidR="004A2EBF" w:rsidRPr="00D33F49" w:rsidRDefault="00763BAA" w:rsidP="00763BAA">
      <w:pPr>
        <w:spacing w:line="360" w:lineRule="auto"/>
        <w:rPr>
          <w:rFonts w:asciiTheme="majorHAnsi" w:hAnsiTheme="majorHAnsi" w:cstheme="majorHAnsi"/>
          <w:szCs w:val="24"/>
          <w:lang w:val="es-MX"/>
        </w:rPr>
      </w:pPr>
      <w:r w:rsidRPr="00D33F49">
        <w:rPr>
          <w:rFonts w:asciiTheme="majorHAnsi" w:hAnsiTheme="majorHAnsi" w:cstheme="majorHAnsi"/>
          <w:szCs w:val="24"/>
          <w:lang w:val="es-MX"/>
        </w:rPr>
        <w:t>Por el periodo comprendido del 01 de enero al 31 de diciembre de 2019, se otorga un estímulo fiscal para las personas físicas o jurídico-colectivas, consistente en un descuento del 100% sobre los recargos, multas y gastos de ejecución causados por concepto del derecho de refrendo de placas, tarjeta de circulación y calcomanías, establecidos en los artículos 85 fracción V y 86 fracción V de la Ley de Hacienda del Estado de Tabasco causados en los ejercicios anteriores al 2019; los contribuyentes que se adhieran al presente estímulo deberán realizar el pago del derecho de refrendo de placas, tarjeta de circulación y calcomanías, dentro del periodo en comento, conforme a la siguiente tabla:</w:t>
      </w:r>
    </w:p>
    <w:tbl>
      <w:tblPr>
        <w:tblpPr w:leftFromText="141" w:rightFromText="141" w:vertAnchor="text" w:horzAnchor="margin" w:tblpXSpec="center"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1723"/>
        <w:gridCol w:w="3188"/>
      </w:tblGrid>
      <w:tr w:rsidR="00035A37" w:rsidRPr="00D33F49" w14:paraId="652FA58E" w14:textId="77777777" w:rsidTr="00035A37">
        <w:tc>
          <w:tcPr>
            <w:tcW w:w="2670" w:type="dxa"/>
            <w:shd w:val="clear" w:color="auto" w:fill="auto"/>
          </w:tcPr>
          <w:p w14:paraId="37AB3D5D" w14:textId="77777777" w:rsidR="00035A37" w:rsidRPr="00D33F49" w:rsidRDefault="00035A37" w:rsidP="00035A37">
            <w:pPr>
              <w:jc w:val="center"/>
              <w:rPr>
                <w:rFonts w:asciiTheme="majorHAnsi" w:eastAsia="Times New Roman" w:hAnsiTheme="majorHAnsi" w:cstheme="majorHAnsi"/>
                <w:b/>
                <w:szCs w:val="24"/>
              </w:rPr>
            </w:pPr>
            <w:r w:rsidRPr="00D33F49">
              <w:rPr>
                <w:rFonts w:asciiTheme="majorHAnsi" w:eastAsia="Times New Roman" w:hAnsiTheme="majorHAnsi" w:cstheme="majorHAnsi"/>
                <w:b/>
                <w:szCs w:val="24"/>
              </w:rPr>
              <w:t>CONCEPTO</w:t>
            </w:r>
          </w:p>
        </w:tc>
        <w:tc>
          <w:tcPr>
            <w:tcW w:w="1723" w:type="dxa"/>
            <w:shd w:val="clear" w:color="auto" w:fill="auto"/>
          </w:tcPr>
          <w:p w14:paraId="3F5DE6F0" w14:textId="77777777" w:rsidR="00035A37" w:rsidRPr="00D33F49" w:rsidRDefault="00035A37" w:rsidP="00035A37">
            <w:pPr>
              <w:jc w:val="center"/>
              <w:rPr>
                <w:rFonts w:asciiTheme="majorHAnsi" w:eastAsia="Times New Roman" w:hAnsiTheme="majorHAnsi" w:cstheme="majorHAnsi"/>
                <w:b/>
                <w:szCs w:val="24"/>
              </w:rPr>
            </w:pPr>
            <w:r w:rsidRPr="00D33F49">
              <w:rPr>
                <w:rFonts w:asciiTheme="majorHAnsi" w:eastAsia="Times New Roman" w:hAnsiTheme="majorHAnsi" w:cstheme="majorHAnsi"/>
                <w:b/>
                <w:szCs w:val="24"/>
              </w:rPr>
              <w:t>DESCUENTO</w:t>
            </w:r>
          </w:p>
        </w:tc>
        <w:tc>
          <w:tcPr>
            <w:tcW w:w="3188" w:type="dxa"/>
            <w:tcBorders>
              <w:bottom w:val="single" w:sz="4" w:space="0" w:color="auto"/>
            </w:tcBorders>
            <w:shd w:val="clear" w:color="auto" w:fill="auto"/>
          </w:tcPr>
          <w:p w14:paraId="107149FA" w14:textId="77777777" w:rsidR="00035A37" w:rsidRPr="00D33F49" w:rsidRDefault="00035A37" w:rsidP="00035A37">
            <w:pPr>
              <w:jc w:val="center"/>
              <w:rPr>
                <w:rFonts w:asciiTheme="majorHAnsi" w:eastAsia="Times New Roman" w:hAnsiTheme="majorHAnsi" w:cstheme="majorHAnsi"/>
                <w:b/>
                <w:szCs w:val="24"/>
              </w:rPr>
            </w:pPr>
            <w:r w:rsidRPr="00D33F49">
              <w:rPr>
                <w:rFonts w:asciiTheme="majorHAnsi" w:eastAsia="Times New Roman" w:hAnsiTheme="majorHAnsi" w:cstheme="majorHAnsi"/>
                <w:b/>
                <w:szCs w:val="24"/>
              </w:rPr>
              <w:t>PERÍODO DE PAGO</w:t>
            </w:r>
          </w:p>
        </w:tc>
      </w:tr>
      <w:tr w:rsidR="00035A37" w:rsidRPr="00D33F49" w14:paraId="3D9F81A5" w14:textId="77777777" w:rsidTr="00035A37">
        <w:tc>
          <w:tcPr>
            <w:tcW w:w="2670" w:type="dxa"/>
            <w:shd w:val="clear" w:color="auto" w:fill="auto"/>
          </w:tcPr>
          <w:p w14:paraId="6FEF1917" w14:textId="77777777" w:rsidR="00035A37" w:rsidRPr="00D33F49" w:rsidRDefault="00035A37" w:rsidP="00035A37">
            <w:pPr>
              <w:rPr>
                <w:rFonts w:asciiTheme="majorHAnsi" w:eastAsia="Times New Roman" w:hAnsiTheme="majorHAnsi" w:cstheme="majorHAnsi"/>
                <w:szCs w:val="24"/>
              </w:rPr>
            </w:pPr>
            <w:r w:rsidRPr="00D33F49">
              <w:rPr>
                <w:rFonts w:asciiTheme="majorHAnsi" w:eastAsia="Times New Roman" w:hAnsiTheme="majorHAnsi" w:cstheme="majorHAnsi"/>
                <w:szCs w:val="24"/>
              </w:rPr>
              <w:t>Recargos</w:t>
            </w:r>
          </w:p>
        </w:tc>
        <w:tc>
          <w:tcPr>
            <w:tcW w:w="1723" w:type="dxa"/>
            <w:tcBorders>
              <w:right w:val="single" w:sz="4" w:space="0" w:color="auto"/>
            </w:tcBorders>
            <w:shd w:val="clear" w:color="auto" w:fill="auto"/>
          </w:tcPr>
          <w:p w14:paraId="42A285C2" w14:textId="77777777" w:rsidR="00035A37" w:rsidRPr="00D33F49" w:rsidRDefault="00035A37" w:rsidP="00035A37">
            <w:pPr>
              <w:jc w:val="center"/>
              <w:rPr>
                <w:rFonts w:asciiTheme="majorHAnsi" w:eastAsia="Times New Roman" w:hAnsiTheme="majorHAnsi" w:cstheme="majorHAnsi"/>
                <w:szCs w:val="24"/>
              </w:rPr>
            </w:pPr>
            <w:r w:rsidRPr="00D33F49">
              <w:rPr>
                <w:rFonts w:asciiTheme="majorHAnsi" w:eastAsia="Times New Roman" w:hAnsiTheme="majorHAnsi" w:cstheme="majorHAnsi"/>
                <w:szCs w:val="24"/>
              </w:rPr>
              <w:t>100%</w:t>
            </w:r>
          </w:p>
        </w:tc>
        <w:tc>
          <w:tcPr>
            <w:tcW w:w="3188" w:type="dxa"/>
            <w:tcBorders>
              <w:top w:val="single" w:sz="4" w:space="0" w:color="auto"/>
              <w:left w:val="single" w:sz="4" w:space="0" w:color="auto"/>
              <w:bottom w:val="nil"/>
              <w:right w:val="single" w:sz="4" w:space="0" w:color="auto"/>
            </w:tcBorders>
            <w:shd w:val="clear" w:color="auto" w:fill="auto"/>
          </w:tcPr>
          <w:p w14:paraId="6FF24DCC" w14:textId="77777777" w:rsidR="00035A37" w:rsidRPr="00D33F49" w:rsidRDefault="00035A37" w:rsidP="00035A37">
            <w:pPr>
              <w:rPr>
                <w:rFonts w:asciiTheme="majorHAnsi" w:eastAsia="Times New Roman" w:hAnsiTheme="majorHAnsi" w:cstheme="majorHAnsi"/>
                <w:szCs w:val="24"/>
              </w:rPr>
            </w:pPr>
          </w:p>
        </w:tc>
      </w:tr>
      <w:tr w:rsidR="00035A37" w:rsidRPr="00D33F49" w14:paraId="5B95B47C" w14:textId="77777777" w:rsidTr="00035A37">
        <w:tc>
          <w:tcPr>
            <w:tcW w:w="2670" w:type="dxa"/>
            <w:shd w:val="clear" w:color="auto" w:fill="auto"/>
          </w:tcPr>
          <w:p w14:paraId="2B3D7E6B" w14:textId="77777777" w:rsidR="00035A37" w:rsidRPr="00D33F49" w:rsidRDefault="00035A37" w:rsidP="00035A37">
            <w:pPr>
              <w:rPr>
                <w:rFonts w:asciiTheme="majorHAnsi" w:eastAsia="Times New Roman" w:hAnsiTheme="majorHAnsi" w:cstheme="majorHAnsi"/>
                <w:szCs w:val="24"/>
              </w:rPr>
            </w:pPr>
            <w:r w:rsidRPr="00D33F49">
              <w:rPr>
                <w:rFonts w:asciiTheme="majorHAnsi" w:eastAsia="Times New Roman" w:hAnsiTheme="majorHAnsi" w:cstheme="majorHAnsi"/>
                <w:szCs w:val="24"/>
              </w:rPr>
              <w:t>Multas</w:t>
            </w:r>
          </w:p>
        </w:tc>
        <w:tc>
          <w:tcPr>
            <w:tcW w:w="1723" w:type="dxa"/>
            <w:tcBorders>
              <w:right w:val="single" w:sz="4" w:space="0" w:color="auto"/>
            </w:tcBorders>
            <w:shd w:val="clear" w:color="auto" w:fill="auto"/>
          </w:tcPr>
          <w:p w14:paraId="7127A2CA" w14:textId="77777777" w:rsidR="00035A37" w:rsidRPr="00D33F49" w:rsidRDefault="00035A37" w:rsidP="00035A37">
            <w:pPr>
              <w:jc w:val="center"/>
              <w:rPr>
                <w:rFonts w:asciiTheme="majorHAnsi" w:eastAsia="Times New Roman" w:hAnsiTheme="majorHAnsi" w:cstheme="majorHAnsi"/>
                <w:szCs w:val="24"/>
              </w:rPr>
            </w:pPr>
            <w:r w:rsidRPr="00D33F49">
              <w:rPr>
                <w:rFonts w:asciiTheme="majorHAnsi" w:eastAsia="Times New Roman" w:hAnsiTheme="majorHAnsi" w:cstheme="majorHAnsi"/>
                <w:szCs w:val="24"/>
              </w:rPr>
              <w:t>100%</w:t>
            </w:r>
          </w:p>
        </w:tc>
        <w:tc>
          <w:tcPr>
            <w:tcW w:w="3188" w:type="dxa"/>
            <w:tcBorders>
              <w:top w:val="nil"/>
              <w:left w:val="single" w:sz="4" w:space="0" w:color="auto"/>
              <w:bottom w:val="nil"/>
              <w:right w:val="single" w:sz="4" w:space="0" w:color="auto"/>
            </w:tcBorders>
            <w:shd w:val="clear" w:color="auto" w:fill="auto"/>
          </w:tcPr>
          <w:p w14:paraId="189D0A02" w14:textId="056C0E78" w:rsidR="00035A37" w:rsidRPr="00D33F49" w:rsidRDefault="00DA68CC" w:rsidP="00DA68CC">
            <w:pPr>
              <w:jc w:val="center"/>
              <w:rPr>
                <w:rFonts w:asciiTheme="majorHAnsi" w:eastAsia="Times New Roman" w:hAnsiTheme="majorHAnsi" w:cstheme="majorHAnsi"/>
                <w:szCs w:val="24"/>
              </w:rPr>
            </w:pPr>
            <w:r w:rsidRPr="00D33F49">
              <w:rPr>
                <w:rFonts w:asciiTheme="majorHAnsi" w:eastAsia="Times New Roman" w:hAnsiTheme="majorHAnsi" w:cstheme="majorHAnsi"/>
                <w:szCs w:val="24"/>
              </w:rPr>
              <w:t>e</w:t>
            </w:r>
            <w:r w:rsidR="00035A37" w:rsidRPr="00D33F49">
              <w:rPr>
                <w:rFonts w:asciiTheme="majorHAnsi" w:eastAsia="Times New Roman" w:hAnsiTheme="majorHAnsi" w:cstheme="majorHAnsi"/>
                <w:szCs w:val="24"/>
              </w:rPr>
              <w:t>nero-</w:t>
            </w:r>
            <w:r w:rsidRPr="00D33F49">
              <w:rPr>
                <w:rFonts w:asciiTheme="majorHAnsi" w:eastAsia="Times New Roman" w:hAnsiTheme="majorHAnsi" w:cstheme="majorHAnsi"/>
                <w:szCs w:val="24"/>
              </w:rPr>
              <w:t>d</w:t>
            </w:r>
            <w:r w:rsidR="00035A37" w:rsidRPr="00D33F49">
              <w:rPr>
                <w:rFonts w:asciiTheme="majorHAnsi" w:eastAsia="Times New Roman" w:hAnsiTheme="majorHAnsi" w:cstheme="majorHAnsi"/>
                <w:szCs w:val="24"/>
              </w:rPr>
              <w:t>iciembre 2019</w:t>
            </w:r>
          </w:p>
        </w:tc>
      </w:tr>
      <w:tr w:rsidR="00035A37" w:rsidRPr="00D33F49" w14:paraId="2B8DED30" w14:textId="77777777" w:rsidTr="00035A37">
        <w:tc>
          <w:tcPr>
            <w:tcW w:w="2670" w:type="dxa"/>
            <w:shd w:val="clear" w:color="auto" w:fill="auto"/>
          </w:tcPr>
          <w:p w14:paraId="1939D702" w14:textId="77777777" w:rsidR="00035A37" w:rsidRPr="00D33F49" w:rsidRDefault="00035A37" w:rsidP="00035A37">
            <w:pPr>
              <w:rPr>
                <w:rFonts w:asciiTheme="majorHAnsi" w:eastAsia="Times New Roman" w:hAnsiTheme="majorHAnsi" w:cstheme="majorHAnsi"/>
                <w:szCs w:val="24"/>
              </w:rPr>
            </w:pPr>
            <w:r w:rsidRPr="00D33F49">
              <w:rPr>
                <w:rFonts w:asciiTheme="majorHAnsi" w:eastAsia="Times New Roman" w:hAnsiTheme="majorHAnsi" w:cstheme="majorHAnsi"/>
                <w:szCs w:val="24"/>
              </w:rPr>
              <w:t>Gastos de Ejecución</w:t>
            </w:r>
          </w:p>
        </w:tc>
        <w:tc>
          <w:tcPr>
            <w:tcW w:w="1723" w:type="dxa"/>
            <w:tcBorders>
              <w:right w:val="single" w:sz="4" w:space="0" w:color="auto"/>
            </w:tcBorders>
            <w:shd w:val="clear" w:color="auto" w:fill="auto"/>
          </w:tcPr>
          <w:p w14:paraId="5AFA3906" w14:textId="77777777" w:rsidR="00035A37" w:rsidRPr="00D33F49" w:rsidRDefault="00035A37" w:rsidP="00035A37">
            <w:pPr>
              <w:jc w:val="center"/>
              <w:rPr>
                <w:rFonts w:asciiTheme="majorHAnsi" w:eastAsia="Times New Roman" w:hAnsiTheme="majorHAnsi" w:cstheme="majorHAnsi"/>
                <w:szCs w:val="24"/>
              </w:rPr>
            </w:pPr>
            <w:r w:rsidRPr="00D33F49">
              <w:rPr>
                <w:rFonts w:asciiTheme="majorHAnsi" w:eastAsia="Times New Roman" w:hAnsiTheme="majorHAnsi" w:cstheme="majorHAnsi"/>
                <w:szCs w:val="24"/>
              </w:rPr>
              <w:t>100%</w:t>
            </w:r>
          </w:p>
        </w:tc>
        <w:tc>
          <w:tcPr>
            <w:tcW w:w="3188" w:type="dxa"/>
            <w:tcBorders>
              <w:top w:val="nil"/>
              <w:left w:val="single" w:sz="4" w:space="0" w:color="auto"/>
              <w:bottom w:val="single" w:sz="4" w:space="0" w:color="auto"/>
              <w:right w:val="single" w:sz="4" w:space="0" w:color="auto"/>
            </w:tcBorders>
            <w:shd w:val="clear" w:color="auto" w:fill="auto"/>
          </w:tcPr>
          <w:p w14:paraId="4C6A7817" w14:textId="77777777" w:rsidR="00035A37" w:rsidRPr="00D33F49" w:rsidRDefault="00035A37" w:rsidP="00035A37">
            <w:pPr>
              <w:rPr>
                <w:rFonts w:asciiTheme="majorHAnsi" w:eastAsia="Times New Roman" w:hAnsiTheme="majorHAnsi" w:cstheme="majorHAnsi"/>
                <w:szCs w:val="24"/>
              </w:rPr>
            </w:pPr>
          </w:p>
        </w:tc>
      </w:tr>
    </w:tbl>
    <w:p w14:paraId="75B3AB82" w14:textId="77777777" w:rsidR="00A94D12" w:rsidRPr="00D33F49" w:rsidRDefault="00A94D12" w:rsidP="004E4BD6">
      <w:pPr>
        <w:spacing w:line="360" w:lineRule="auto"/>
        <w:ind w:right="-232"/>
        <w:rPr>
          <w:rFonts w:asciiTheme="majorHAnsi" w:hAnsiTheme="majorHAnsi" w:cstheme="majorHAnsi"/>
          <w:szCs w:val="24"/>
          <w:lang w:val="es-MX"/>
        </w:rPr>
      </w:pPr>
    </w:p>
    <w:p w14:paraId="09D029A3" w14:textId="77777777" w:rsidR="00B875F4" w:rsidRPr="00D33F49" w:rsidRDefault="00B875F4" w:rsidP="004E4BD6">
      <w:pPr>
        <w:spacing w:line="360" w:lineRule="auto"/>
        <w:ind w:right="-232"/>
        <w:rPr>
          <w:rFonts w:asciiTheme="majorHAnsi" w:hAnsiTheme="majorHAnsi" w:cstheme="majorHAnsi"/>
          <w:b/>
          <w:szCs w:val="24"/>
          <w:lang w:val="es-MX"/>
        </w:rPr>
      </w:pPr>
    </w:p>
    <w:p w14:paraId="4C36D276" w14:textId="77777777" w:rsidR="001C4F71" w:rsidRPr="00D33F49" w:rsidRDefault="001C4F71" w:rsidP="004E4BD6">
      <w:pPr>
        <w:spacing w:line="360" w:lineRule="auto"/>
        <w:ind w:right="-232"/>
        <w:rPr>
          <w:rFonts w:asciiTheme="majorHAnsi" w:hAnsiTheme="majorHAnsi" w:cstheme="majorHAnsi"/>
          <w:b/>
          <w:szCs w:val="24"/>
          <w:lang w:val="es-MX"/>
        </w:rPr>
      </w:pPr>
    </w:p>
    <w:p w14:paraId="25499A23" w14:textId="77777777" w:rsidR="004A2EBF" w:rsidRPr="00D33F49" w:rsidRDefault="004A2EBF" w:rsidP="0027396B">
      <w:pPr>
        <w:spacing w:line="360" w:lineRule="auto"/>
        <w:ind w:right="-232"/>
        <w:rPr>
          <w:rFonts w:asciiTheme="majorHAnsi" w:hAnsiTheme="majorHAnsi" w:cstheme="majorHAnsi"/>
          <w:szCs w:val="24"/>
          <w:lang w:val="es-MX"/>
        </w:rPr>
      </w:pPr>
    </w:p>
    <w:p w14:paraId="00D07CC9" w14:textId="03C86A54" w:rsidR="0027396B"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 xml:space="preserve">Los contribuyentes que opten por los estímulos que se otorgan en la fracción </w:t>
      </w:r>
      <w:r w:rsidR="00EC79EE" w:rsidRPr="00D33F49">
        <w:rPr>
          <w:rFonts w:asciiTheme="majorHAnsi" w:hAnsiTheme="majorHAnsi" w:cstheme="majorHAnsi"/>
          <w:szCs w:val="24"/>
          <w:lang w:val="es-MX"/>
        </w:rPr>
        <w:t>I</w:t>
      </w:r>
      <w:r w:rsidRPr="00D33F49">
        <w:rPr>
          <w:rFonts w:asciiTheme="majorHAnsi" w:hAnsiTheme="majorHAnsi" w:cstheme="majorHAnsi"/>
          <w:szCs w:val="24"/>
          <w:lang w:val="es-MX"/>
        </w:rPr>
        <w:t xml:space="preserve">I del presente artículo transitorio, podrán ejercer el derecho de pago a plazos, conforme a lo siguiente: </w:t>
      </w:r>
    </w:p>
    <w:p w14:paraId="594FD128" w14:textId="77777777" w:rsidR="0027396B" w:rsidRPr="00D33F49" w:rsidRDefault="0027396B" w:rsidP="0027396B">
      <w:pPr>
        <w:spacing w:line="360" w:lineRule="auto"/>
        <w:ind w:right="-232"/>
        <w:rPr>
          <w:rFonts w:asciiTheme="majorHAnsi" w:hAnsiTheme="majorHAnsi" w:cstheme="majorHAnsi"/>
          <w:szCs w:val="24"/>
          <w:lang w:val="es-MX"/>
        </w:rPr>
      </w:pPr>
    </w:p>
    <w:p w14:paraId="6617D6D4" w14:textId="77777777" w:rsidR="0027396B"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 xml:space="preserve">a) Pago en parcialidades sin que el plazo exceda de doce meses, quedando exentos de presentar garantía del interés fiscal, siempre que se cumpla en lo conducente con lo establecido en los artículos 52, 52 Bis fracciones I, IV, V, VI y VII segundo párrafo, y 53 del Código Fiscal del Estado. </w:t>
      </w:r>
    </w:p>
    <w:p w14:paraId="3B996C84" w14:textId="77777777" w:rsidR="0027396B" w:rsidRPr="00D33F49" w:rsidRDefault="0027396B" w:rsidP="0027396B">
      <w:pPr>
        <w:spacing w:line="360" w:lineRule="auto"/>
        <w:ind w:right="-232"/>
        <w:rPr>
          <w:rFonts w:asciiTheme="majorHAnsi" w:hAnsiTheme="majorHAnsi" w:cstheme="majorHAnsi"/>
          <w:szCs w:val="24"/>
          <w:lang w:val="es-MX"/>
        </w:rPr>
      </w:pPr>
    </w:p>
    <w:p w14:paraId="1B101816" w14:textId="09E33480" w:rsidR="004E4BD6"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 xml:space="preserve">b) En el caso de las personas físicas o jurídico-colectivas, que opten por realizar el pago del </w:t>
      </w:r>
      <w:r w:rsidR="00EC79EE" w:rsidRPr="00D33F49">
        <w:rPr>
          <w:rFonts w:asciiTheme="majorHAnsi" w:hAnsiTheme="majorHAnsi" w:cstheme="majorHAnsi"/>
          <w:szCs w:val="24"/>
          <w:lang w:val="es-MX"/>
        </w:rPr>
        <w:t>derecho de refrendo de placas, tarjeta de circulación y calcomanías,</w:t>
      </w:r>
      <w:r w:rsidR="00DF1676" w:rsidRPr="00D33F49">
        <w:rPr>
          <w:rFonts w:asciiTheme="majorHAnsi" w:hAnsiTheme="majorHAnsi" w:cstheme="majorHAnsi"/>
          <w:szCs w:val="24"/>
          <w:lang w:val="es-MX"/>
        </w:rPr>
        <w:t xml:space="preserve"> establecidos en los artículos 85 fracción V y 86 fracción V de la Ley de Hacienda del Estado de Tabasco, causados en los ejercicios anteriores al 2019, </w:t>
      </w:r>
      <w:r w:rsidR="00EC79EE" w:rsidRPr="00D33F49">
        <w:rPr>
          <w:rFonts w:asciiTheme="majorHAnsi" w:hAnsiTheme="majorHAnsi" w:cstheme="majorHAnsi"/>
          <w:szCs w:val="24"/>
          <w:lang w:val="es-MX"/>
        </w:rPr>
        <w:t xml:space="preserve"> </w:t>
      </w:r>
      <w:r w:rsidRPr="00D33F49">
        <w:rPr>
          <w:rFonts w:asciiTheme="majorHAnsi" w:hAnsiTheme="majorHAnsi" w:cstheme="majorHAnsi"/>
          <w:szCs w:val="24"/>
          <w:lang w:val="es-MX"/>
        </w:rPr>
        <w:t>hasta en 36 parcialidades</w:t>
      </w:r>
      <w:r w:rsidR="00EC79EE" w:rsidRPr="00D33F49">
        <w:rPr>
          <w:rFonts w:asciiTheme="majorHAnsi" w:hAnsiTheme="majorHAnsi" w:cstheme="majorHAnsi"/>
          <w:szCs w:val="24"/>
          <w:lang w:val="es-MX"/>
        </w:rPr>
        <w:t>,</w:t>
      </w:r>
      <w:r w:rsidRPr="00D33F49">
        <w:rPr>
          <w:rFonts w:asciiTheme="majorHAnsi" w:hAnsiTheme="majorHAnsi" w:cstheme="majorHAnsi"/>
          <w:szCs w:val="24"/>
          <w:lang w:val="es-MX"/>
        </w:rPr>
        <w:t xml:space="preserve"> conforme lo señalan los artículos 52, 52 Bis y 53 del Código Fiscal del Estado de Tabasco, no podrán ser beneficiarios de la condonación a que se refiere el presente artículo transitorio.</w:t>
      </w:r>
    </w:p>
    <w:p w14:paraId="4E859E41" w14:textId="77777777" w:rsidR="0027396B" w:rsidRPr="00D33F49" w:rsidRDefault="0027396B" w:rsidP="0027396B">
      <w:pPr>
        <w:spacing w:line="360" w:lineRule="auto"/>
        <w:ind w:right="-232"/>
        <w:rPr>
          <w:rFonts w:asciiTheme="majorHAnsi" w:hAnsiTheme="majorHAnsi" w:cstheme="majorHAnsi"/>
          <w:szCs w:val="24"/>
          <w:lang w:val="es-MX"/>
        </w:rPr>
      </w:pPr>
    </w:p>
    <w:p w14:paraId="0E186B5D" w14:textId="1D1DD05D" w:rsidR="0027396B"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lastRenderedPageBreak/>
        <w:t xml:space="preserve">III. De igual forma los contribuyentes podrán optar por pagar </w:t>
      </w:r>
      <w:r w:rsidR="00DF1676" w:rsidRPr="00D33F49">
        <w:rPr>
          <w:rFonts w:asciiTheme="majorHAnsi" w:hAnsiTheme="majorHAnsi" w:cstheme="majorHAnsi"/>
          <w:szCs w:val="24"/>
          <w:lang w:val="es-MX"/>
        </w:rPr>
        <w:t xml:space="preserve">las contribuciones antes mencionadas, </w:t>
      </w:r>
      <w:r w:rsidRPr="00D33F49">
        <w:rPr>
          <w:rFonts w:asciiTheme="majorHAnsi" w:hAnsiTheme="majorHAnsi" w:cstheme="majorHAnsi"/>
          <w:szCs w:val="24"/>
          <w:lang w:val="es-MX"/>
        </w:rPr>
        <w:t>de forma bancarizada mediante las siguientes opciones:</w:t>
      </w:r>
    </w:p>
    <w:p w14:paraId="59DB955E" w14:textId="77777777" w:rsidR="0027396B" w:rsidRPr="00D33F49" w:rsidRDefault="0027396B" w:rsidP="0027396B">
      <w:pPr>
        <w:spacing w:line="360" w:lineRule="auto"/>
        <w:ind w:right="-232"/>
        <w:rPr>
          <w:rFonts w:asciiTheme="majorHAnsi" w:hAnsiTheme="majorHAnsi" w:cstheme="majorHAnsi"/>
          <w:szCs w:val="24"/>
          <w:lang w:val="es-MX"/>
        </w:rPr>
      </w:pPr>
    </w:p>
    <w:p w14:paraId="57FE1508" w14:textId="77777777" w:rsidR="0027396B"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1. Portal de Recaudanet</w:t>
      </w:r>
    </w:p>
    <w:p w14:paraId="4979C499" w14:textId="77777777" w:rsidR="0027396B"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2. Receptorías de Rentas</w:t>
      </w:r>
    </w:p>
    <w:p w14:paraId="5F78029D" w14:textId="77777777" w:rsidR="0027396B" w:rsidRPr="00D33F49" w:rsidRDefault="0027396B" w:rsidP="0027396B">
      <w:pPr>
        <w:spacing w:line="360" w:lineRule="auto"/>
        <w:ind w:right="-232"/>
        <w:rPr>
          <w:rFonts w:asciiTheme="majorHAnsi" w:hAnsiTheme="majorHAnsi" w:cstheme="majorHAnsi"/>
          <w:szCs w:val="24"/>
          <w:lang w:val="es-MX"/>
        </w:rPr>
      </w:pPr>
    </w:p>
    <w:p w14:paraId="1A09237E" w14:textId="77777777" w:rsidR="0027396B"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A través de los siguientes medios:</w:t>
      </w:r>
    </w:p>
    <w:p w14:paraId="6BA3662C" w14:textId="77777777" w:rsidR="0027396B" w:rsidRPr="00D33F49" w:rsidRDefault="0027396B" w:rsidP="0027396B">
      <w:pPr>
        <w:spacing w:line="360" w:lineRule="auto"/>
        <w:ind w:right="-232"/>
        <w:rPr>
          <w:rFonts w:asciiTheme="majorHAnsi" w:hAnsiTheme="majorHAnsi" w:cstheme="majorHAnsi"/>
          <w:szCs w:val="24"/>
          <w:lang w:val="es-MX"/>
        </w:rPr>
      </w:pPr>
    </w:p>
    <w:p w14:paraId="7693982C" w14:textId="77777777" w:rsidR="0027396B"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a) Transferencia electrónica (únicamente en Recaudanet).</w:t>
      </w:r>
    </w:p>
    <w:p w14:paraId="1741C94C" w14:textId="77777777" w:rsidR="0027396B"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b) Tarjeta de crédito.</w:t>
      </w:r>
    </w:p>
    <w:p w14:paraId="51D41F15" w14:textId="77777777" w:rsidR="0027396B"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c) Tarjeta de débito.</w:t>
      </w:r>
    </w:p>
    <w:p w14:paraId="51B9447E" w14:textId="77777777" w:rsidR="0027396B"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d) Comprobante de pago de establecimientos autorizados, mediante la modalidad de pago referenciado.</w:t>
      </w:r>
    </w:p>
    <w:p w14:paraId="1BCF4FE3" w14:textId="77777777" w:rsidR="00DF1676" w:rsidRPr="00D33F49" w:rsidRDefault="00DF1676" w:rsidP="0027396B">
      <w:pPr>
        <w:spacing w:line="360" w:lineRule="auto"/>
        <w:ind w:right="-232"/>
        <w:rPr>
          <w:rFonts w:asciiTheme="majorHAnsi" w:hAnsiTheme="majorHAnsi" w:cstheme="majorHAnsi"/>
          <w:szCs w:val="24"/>
          <w:lang w:val="es-MX"/>
        </w:rPr>
      </w:pPr>
    </w:p>
    <w:p w14:paraId="4B8563C6" w14:textId="77777777" w:rsidR="0027396B"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Lo anterior de conformidad con los procedimientos establecidos en el artículo 21 del Código Fiscal del Estado.</w:t>
      </w:r>
    </w:p>
    <w:p w14:paraId="57518024" w14:textId="77777777" w:rsidR="0027396B" w:rsidRPr="00D33F49" w:rsidRDefault="0027396B" w:rsidP="0027396B">
      <w:pPr>
        <w:spacing w:line="360" w:lineRule="auto"/>
        <w:ind w:right="-232"/>
        <w:rPr>
          <w:rFonts w:asciiTheme="majorHAnsi" w:hAnsiTheme="majorHAnsi" w:cstheme="majorHAnsi"/>
          <w:szCs w:val="24"/>
          <w:lang w:val="es-MX"/>
        </w:rPr>
      </w:pPr>
    </w:p>
    <w:p w14:paraId="6CADBD6B" w14:textId="77777777" w:rsidR="0027396B"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La condonación a que se refiere este artículo, también procederá aún y cuando dichos créditos fiscales hayan sido objeto de impugnación por parte del contribuyente, sea ante las autoridades administrativas o jurisdiccionales, siempre que a la fecha de la adhesión, el procedimiento de impugnación respectivo haya quedado concluido mediante resolución firme, o bien, de no haber concluido, el contribuyente presente la solicitud de desistimiento debidamente ratificado, a dicho medio de defensa ante las autoridades competentes.</w:t>
      </w:r>
    </w:p>
    <w:p w14:paraId="604891A1" w14:textId="77777777" w:rsidR="0027396B" w:rsidRPr="00D33F49" w:rsidRDefault="0027396B" w:rsidP="0027396B">
      <w:pPr>
        <w:spacing w:line="360" w:lineRule="auto"/>
        <w:ind w:right="-232"/>
        <w:rPr>
          <w:rFonts w:asciiTheme="majorHAnsi" w:hAnsiTheme="majorHAnsi" w:cstheme="majorHAnsi"/>
          <w:szCs w:val="24"/>
          <w:lang w:val="es-MX"/>
        </w:rPr>
      </w:pPr>
    </w:p>
    <w:p w14:paraId="5B07ACB9" w14:textId="77777777" w:rsidR="0027396B"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No se podrán condonar los créditos fiscales pagados y en ningún caso la condonación a que se refiere este artículo dará lugar a devolución, compensación, acreditamiento o saldo a favor alguno.</w:t>
      </w:r>
    </w:p>
    <w:p w14:paraId="507A09E0" w14:textId="77777777" w:rsidR="0027396B" w:rsidRPr="00D33F49" w:rsidRDefault="0027396B" w:rsidP="0027396B">
      <w:pPr>
        <w:spacing w:line="360" w:lineRule="auto"/>
        <w:ind w:right="-232"/>
        <w:rPr>
          <w:rFonts w:asciiTheme="majorHAnsi" w:hAnsiTheme="majorHAnsi" w:cstheme="majorHAnsi"/>
          <w:szCs w:val="24"/>
          <w:lang w:val="es-MX"/>
        </w:rPr>
      </w:pPr>
    </w:p>
    <w:p w14:paraId="0732265D" w14:textId="6CEA13AF" w:rsidR="004E4BD6"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lastRenderedPageBreak/>
        <w:t xml:space="preserve">La adhesión al beneficio de condonación previsto en este </w:t>
      </w:r>
      <w:r w:rsidR="005F14A3" w:rsidRPr="00D33F49">
        <w:rPr>
          <w:rFonts w:asciiTheme="majorHAnsi" w:hAnsiTheme="majorHAnsi" w:cstheme="majorHAnsi"/>
          <w:szCs w:val="24"/>
          <w:lang w:val="es-MX"/>
        </w:rPr>
        <w:t>artículo</w:t>
      </w:r>
      <w:r w:rsidRPr="00D33F49">
        <w:rPr>
          <w:rFonts w:asciiTheme="majorHAnsi" w:hAnsiTheme="majorHAnsi" w:cstheme="majorHAnsi"/>
          <w:szCs w:val="24"/>
          <w:lang w:val="es-MX"/>
        </w:rPr>
        <w:t xml:space="preserve"> no constituirá instancia y la resolución que dicte la autoridad fiscal al respecto, no podrá ser impugnada por ningún medio de defensa.</w:t>
      </w:r>
    </w:p>
    <w:p w14:paraId="57A348D8" w14:textId="77777777" w:rsidR="0027396B" w:rsidRPr="00D33F49" w:rsidRDefault="0027396B" w:rsidP="0027396B">
      <w:pPr>
        <w:spacing w:line="360" w:lineRule="auto"/>
        <w:ind w:right="-232"/>
        <w:rPr>
          <w:rFonts w:asciiTheme="majorHAnsi" w:hAnsiTheme="majorHAnsi" w:cstheme="majorHAnsi"/>
          <w:szCs w:val="24"/>
          <w:lang w:val="es-MX"/>
        </w:rPr>
      </w:pPr>
    </w:p>
    <w:p w14:paraId="1C000895" w14:textId="664B1EF6" w:rsidR="0027396B" w:rsidRPr="00D33F49" w:rsidRDefault="0037677C" w:rsidP="0027396B">
      <w:pPr>
        <w:spacing w:line="360" w:lineRule="auto"/>
        <w:ind w:right="-232"/>
        <w:rPr>
          <w:rFonts w:asciiTheme="majorHAnsi" w:hAnsiTheme="majorHAnsi" w:cstheme="majorHAnsi"/>
          <w:szCs w:val="24"/>
          <w:lang w:val="es-MX"/>
        </w:rPr>
      </w:pPr>
      <w:r w:rsidRPr="00D33F49">
        <w:rPr>
          <w:rFonts w:asciiTheme="majorHAnsi" w:hAnsiTheme="majorHAnsi" w:cstheme="majorHAnsi"/>
          <w:b/>
          <w:szCs w:val="24"/>
          <w:lang w:val="es-MX"/>
        </w:rPr>
        <w:t xml:space="preserve">ARTÍCULO </w:t>
      </w:r>
      <w:r w:rsidR="00B875F4" w:rsidRPr="00D33F49">
        <w:rPr>
          <w:rFonts w:asciiTheme="majorHAnsi" w:hAnsiTheme="majorHAnsi" w:cstheme="majorHAnsi"/>
          <w:b/>
          <w:szCs w:val="24"/>
          <w:lang w:val="es-MX"/>
        </w:rPr>
        <w:t xml:space="preserve">SEXTO. </w:t>
      </w:r>
      <w:r w:rsidR="0027396B" w:rsidRPr="00D33F49">
        <w:rPr>
          <w:rFonts w:asciiTheme="majorHAnsi" w:hAnsiTheme="majorHAnsi" w:cstheme="majorHAnsi"/>
          <w:szCs w:val="24"/>
          <w:lang w:val="es-MX"/>
        </w:rPr>
        <w:t xml:space="preserve">La Secretaría de Planeación y Finanzas expedirá dentro de los </w:t>
      </w:r>
      <w:r w:rsidR="00DA68CC" w:rsidRPr="00D33F49">
        <w:rPr>
          <w:rFonts w:asciiTheme="majorHAnsi" w:hAnsiTheme="majorHAnsi" w:cstheme="majorHAnsi"/>
          <w:szCs w:val="24"/>
          <w:lang w:val="es-MX"/>
        </w:rPr>
        <w:t>6</w:t>
      </w:r>
      <w:r w:rsidR="0027396B" w:rsidRPr="00D33F49">
        <w:rPr>
          <w:rFonts w:asciiTheme="majorHAnsi" w:hAnsiTheme="majorHAnsi" w:cstheme="majorHAnsi"/>
          <w:szCs w:val="24"/>
          <w:lang w:val="es-MX"/>
        </w:rPr>
        <w:t xml:space="preserve">0 días </w:t>
      </w:r>
      <w:r w:rsidR="00FB1AF2" w:rsidRPr="00D33F49">
        <w:rPr>
          <w:rFonts w:asciiTheme="majorHAnsi" w:hAnsiTheme="majorHAnsi" w:cstheme="majorHAnsi"/>
          <w:szCs w:val="24"/>
          <w:lang w:val="es-MX"/>
        </w:rPr>
        <w:t>naturales</w:t>
      </w:r>
      <w:r w:rsidR="0027396B" w:rsidRPr="00D33F49">
        <w:rPr>
          <w:rFonts w:asciiTheme="majorHAnsi" w:hAnsiTheme="majorHAnsi" w:cstheme="majorHAnsi"/>
          <w:szCs w:val="24"/>
          <w:lang w:val="es-MX"/>
        </w:rPr>
        <w:t xml:space="preserve"> siguientes a la entrada en vigor del presente decreto, las reglas que considere necesarias para la correcta aplicación de la condonación y estímulo fiscal que se otorga en el artículo transitorio que antecede.</w:t>
      </w:r>
    </w:p>
    <w:p w14:paraId="485601BD" w14:textId="77777777" w:rsidR="0027396B" w:rsidRPr="00D33F49" w:rsidRDefault="0027396B" w:rsidP="0027396B">
      <w:pPr>
        <w:spacing w:line="360" w:lineRule="auto"/>
        <w:ind w:right="-232"/>
        <w:rPr>
          <w:rFonts w:asciiTheme="majorHAnsi" w:hAnsiTheme="majorHAnsi" w:cstheme="majorHAnsi"/>
          <w:szCs w:val="24"/>
          <w:lang w:val="es-MX"/>
        </w:rPr>
      </w:pPr>
    </w:p>
    <w:p w14:paraId="22ED31A7" w14:textId="1D68361E" w:rsidR="00BD36E3"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La Secretaría de Planeación y Finanzas informará, de conformidad a lo establecido en el Artículo 2 de la presente Ley, a la Comisión de Hacienda y Finanzas del Congreso del Estado, el resultado de los ingresos percibidos por el cumplimiento de este artículo.</w:t>
      </w:r>
    </w:p>
    <w:p w14:paraId="41F0D2B2" w14:textId="77777777" w:rsidR="0027396B" w:rsidRPr="00D33F49" w:rsidRDefault="0027396B" w:rsidP="0027396B">
      <w:pPr>
        <w:spacing w:line="360" w:lineRule="auto"/>
        <w:ind w:right="-232"/>
        <w:rPr>
          <w:rFonts w:asciiTheme="majorHAnsi" w:hAnsiTheme="majorHAnsi" w:cstheme="majorHAnsi"/>
          <w:szCs w:val="24"/>
          <w:lang w:val="es-MX"/>
        </w:rPr>
      </w:pPr>
    </w:p>
    <w:p w14:paraId="2E911127" w14:textId="6908869E" w:rsidR="00BD36E3" w:rsidRPr="00D33F49" w:rsidRDefault="0037677C" w:rsidP="00BD36E3">
      <w:pPr>
        <w:spacing w:line="360" w:lineRule="auto"/>
        <w:ind w:right="-232"/>
        <w:rPr>
          <w:rFonts w:asciiTheme="majorHAnsi" w:hAnsiTheme="majorHAnsi" w:cstheme="majorHAnsi"/>
          <w:szCs w:val="24"/>
          <w:lang w:val="es-MX"/>
        </w:rPr>
      </w:pPr>
      <w:r w:rsidRPr="00D33F49">
        <w:rPr>
          <w:rFonts w:asciiTheme="majorHAnsi" w:hAnsiTheme="majorHAnsi" w:cstheme="majorHAnsi"/>
          <w:b/>
          <w:szCs w:val="24"/>
          <w:lang w:val="es-MX"/>
        </w:rPr>
        <w:t xml:space="preserve">ARTÍCULO </w:t>
      </w:r>
      <w:r w:rsidR="00BD36E3" w:rsidRPr="00D33F49">
        <w:rPr>
          <w:rFonts w:asciiTheme="majorHAnsi" w:hAnsiTheme="majorHAnsi" w:cstheme="majorHAnsi"/>
          <w:b/>
          <w:szCs w:val="24"/>
          <w:lang w:val="es-MX"/>
        </w:rPr>
        <w:t>SÉPTIMO.</w:t>
      </w:r>
      <w:r w:rsidR="00BD36E3" w:rsidRPr="00D33F49">
        <w:rPr>
          <w:rFonts w:asciiTheme="majorHAnsi" w:hAnsiTheme="majorHAnsi" w:cstheme="majorHAnsi"/>
          <w:szCs w:val="24"/>
          <w:lang w:val="es-MX"/>
        </w:rPr>
        <w:t xml:space="preserve"> </w:t>
      </w:r>
      <w:r w:rsidR="0027396B" w:rsidRPr="00D33F49">
        <w:rPr>
          <w:rFonts w:asciiTheme="majorHAnsi" w:hAnsiTheme="majorHAnsi" w:cstheme="majorHAnsi"/>
          <w:szCs w:val="24"/>
          <w:lang w:val="es-MX"/>
        </w:rPr>
        <w:t>El Ejecutivo estatal a través de la Secretaría de Planeación y Finanzas implementará un programa de regularización y depuración del Registro Estatal de Vehículos, que estará vigente durante el 2019, con el que se permitirá realizar la suspensión administrativa de obligaciones vehiculares en dicho registro a los contribuyentes que se encuentren sujetos a las contribuciones vehiculares correspondientes, a pesar de que con anterioridad a la entrada en vigor del presente decreto hayan vendido o cedido la propiedad de vehículos nacionales usados cuyo año-modelo sea 2015 y anteriores.</w:t>
      </w:r>
    </w:p>
    <w:p w14:paraId="072159A8" w14:textId="77777777" w:rsidR="0027396B" w:rsidRPr="00D33F49" w:rsidRDefault="0027396B" w:rsidP="00BD36E3">
      <w:pPr>
        <w:spacing w:line="360" w:lineRule="auto"/>
        <w:ind w:right="-232"/>
        <w:rPr>
          <w:rFonts w:asciiTheme="majorHAnsi" w:hAnsiTheme="majorHAnsi" w:cstheme="majorHAnsi"/>
          <w:szCs w:val="24"/>
          <w:lang w:val="es-MX"/>
        </w:rPr>
      </w:pPr>
    </w:p>
    <w:p w14:paraId="35050D7F" w14:textId="381FED16" w:rsidR="0027396B"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 xml:space="preserve">La suspensión administrativa de obligaciones </w:t>
      </w:r>
      <w:r w:rsidR="005F14A3" w:rsidRPr="00D33F49">
        <w:rPr>
          <w:rFonts w:asciiTheme="majorHAnsi" w:hAnsiTheme="majorHAnsi" w:cstheme="majorHAnsi"/>
          <w:szCs w:val="24"/>
          <w:lang w:val="es-MX"/>
        </w:rPr>
        <w:t>vehiculares</w:t>
      </w:r>
      <w:r w:rsidRPr="00D33F49">
        <w:rPr>
          <w:rFonts w:asciiTheme="majorHAnsi" w:hAnsiTheme="majorHAnsi" w:cstheme="majorHAnsi"/>
          <w:szCs w:val="24"/>
          <w:lang w:val="es-MX"/>
        </w:rPr>
        <w:t xml:space="preserve"> será autorizada por la Secretaría de Planeación y Finanzas quien deberá expedir a más tardar los </w:t>
      </w:r>
      <w:r w:rsidR="003D274E" w:rsidRPr="00D33F49">
        <w:rPr>
          <w:rFonts w:asciiTheme="majorHAnsi" w:hAnsiTheme="majorHAnsi" w:cstheme="majorHAnsi"/>
          <w:szCs w:val="24"/>
          <w:lang w:val="es-MX"/>
        </w:rPr>
        <w:t>6</w:t>
      </w:r>
      <w:r w:rsidRPr="00D33F49">
        <w:rPr>
          <w:rFonts w:asciiTheme="majorHAnsi" w:hAnsiTheme="majorHAnsi" w:cstheme="majorHAnsi"/>
          <w:szCs w:val="24"/>
          <w:lang w:val="es-MX"/>
        </w:rPr>
        <w:t xml:space="preserve">0 días </w:t>
      </w:r>
      <w:r w:rsidR="00655848" w:rsidRPr="00D33F49">
        <w:rPr>
          <w:rFonts w:asciiTheme="majorHAnsi" w:hAnsiTheme="majorHAnsi" w:cstheme="majorHAnsi"/>
          <w:szCs w:val="24"/>
          <w:lang w:val="es-MX"/>
        </w:rPr>
        <w:t xml:space="preserve">naturales </w:t>
      </w:r>
      <w:r w:rsidRPr="00D33F49">
        <w:rPr>
          <w:rFonts w:asciiTheme="majorHAnsi" w:hAnsiTheme="majorHAnsi" w:cstheme="majorHAnsi"/>
          <w:szCs w:val="24"/>
          <w:lang w:val="es-MX"/>
        </w:rPr>
        <w:t>siguientes a la entrada en vigor del presente decreto las reglas de operación para la correcta aplicación del programa.</w:t>
      </w:r>
    </w:p>
    <w:p w14:paraId="1DE39309" w14:textId="77777777" w:rsidR="0027396B" w:rsidRPr="00D33F49" w:rsidRDefault="0027396B" w:rsidP="0027396B">
      <w:pPr>
        <w:spacing w:line="360" w:lineRule="auto"/>
        <w:ind w:right="-232"/>
        <w:rPr>
          <w:rFonts w:asciiTheme="majorHAnsi" w:hAnsiTheme="majorHAnsi" w:cstheme="majorHAnsi"/>
          <w:szCs w:val="24"/>
          <w:lang w:val="es-MX"/>
        </w:rPr>
      </w:pPr>
    </w:p>
    <w:p w14:paraId="3E8C8833" w14:textId="479B90B4" w:rsidR="0027396B"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 xml:space="preserve">Los efectos de la suspensión administrativa de obligaciones vehiculares </w:t>
      </w:r>
      <w:r w:rsidR="005F14A3" w:rsidRPr="00D33F49">
        <w:rPr>
          <w:rFonts w:asciiTheme="majorHAnsi" w:hAnsiTheme="majorHAnsi" w:cstheme="majorHAnsi"/>
          <w:szCs w:val="24"/>
          <w:lang w:val="es-MX"/>
        </w:rPr>
        <w:t>autorizada</w:t>
      </w:r>
      <w:r w:rsidRPr="00D33F49">
        <w:rPr>
          <w:rFonts w:asciiTheme="majorHAnsi" w:hAnsiTheme="majorHAnsi" w:cstheme="majorHAnsi"/>
          <w:szCs w:val="24"/>
          <w:lang w:val="es-MX"/>
        </w:rPr>
        <w:t xml:space="preserve"> serán los siguientes:</w:t>
      </w:r>
    </w:p>
    <w:p w14:paraId="3051F4C1" w14:textId="77777777" w:rsidR="0027396B" w:rsidRPr="00D33F49" w:rsidRDefault="0027396B" w:rsidP="0027396B">
      <w:pPr>
        <w:spacing w:line="360" w:lineRule="auto"/>
        <w:ind w:right="-232"/>
        <w:rPr>
          <w:rFonts w:asciiTheme="majorHAnsi" w:hAnsiTheme="majorHAnsi" w:cstheme="majorHAnsi"/>
          <w:szCs w:val="24"/>
          <w:lang w:val="es-MX"/>
        </w:rPr>
      </w:pPr>
    </w:p>
    <w:p w14:paraId="140C6770" w14:textId="07E5C24A" w:rsidR="00BD36E3" w:rsidRPr="00D33F49" w:rsidRDefault="0032477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rPr>
        <w:lastRenderedPageBreak/>
        <w:t xml:space="preserve">I. </w:t>
      </w:r>
      <w:r w:rsidR="0027396B" w:rsidRPr="00D33F49">
        <w:rPr>
          <w:rFonts w:asciiTheme="majorHAnsi" w:hAnsiTheme="majorHAnsi" w:cstheme="majorHAnsi"/>
          <w:szCs w:val="24"/>
        </w:rPr>
        <w:t>Que las contribuciones por la tenencia y uso del vehículo, que se generen a partir</w:t>
      </w:r>
      <w:r w:rsidR="0027396B" w:rsidRPr="00D33F49">
        <w:rPr>
          <w:rFonts w:asciiTheme="majorHAnsi" w:hAnsiTheme="majorHAnsi" w:cstheme="majorHAnsi"/>
          <w:szCs w:val="24"/>
          <w:lang w:val="es-MX"/>
        </w:rPr>
        <w:t xml:space="preserve"> de la autorización de dicho trámite sean a cargo de quien ostente la tenencia y uso de éste;</w:t>
      </w:r>
    </w:p>
    <w:p w14:paraId="2B0BEE0D" w14:textId="77777777" w:rsidR="0027396B" w:rsidRPr="00D33F49" w:rsidRDefault="0027396B" w:rsidP="0027396B">
      <w:pPr>
        <w:spacing w:line="360" w:lineRule="auto"/>
        <w:ind w:right="-232"/>
        <w:rPr>
          <w:rFonts w:asciiTheme="majorHAnsi" w:hAnsiTheme="majorHAnsi" w:cstheme="majorHAnsi"/>
          <w:szCs w:val="24"/>
          <w:lang w:val="es-MX"/>
        </w:rPr>
      </w:pPr>
    </w:p>
    <w:p w14:paraId="30C16B03" w14:textId="77777777" w:rsidR="0027396B" w:rsidRPr="00D33F49" w:rsidRDefault="0027396B" w:rsidP="0027396B">
      <w:pPr>
        <w:spacing w:line="360" w:lineRule="auto"/>
        <w:ind w:right="-232"/>
        <w:rPr>
          <w:rFonts w:asciiTheme="majorHAnsi" w:hAnsiTheme="majorHAnsi" w:cstheme="majorHAnsi"/>
          <w:szCs w:val="24"/>
        </w:rPr>
      </w:pPr>
      <w:r w:rsidRPr="00D33F49">
        <w:rPr>
          <w:rFonts w:asciiTheme="majorHAnsi" w:hAnsiTheme="majorHAnsi" w:cstheme="majorHAnsi"/>
          <w:szCs w:val="24"/>
        </w:rPr>
        <w:t>II. Que la autoridad fiscal competente requiera en términos del artículo 36 del Código Fiscal del Estado, a quien ostente la tenencia y uso del vehículo sujeto a la suspensión administrativa de obligaciones vehiculares, para efectos de que cumpla con la obligación a que se refiere el artículo 82 fracción II de la Ley de Hacienda del Estado de Tabasco;</w:t>
      </w:r>
    </w:p>
    <w:p w14:paraId="073310E2" w14:textId="77777777" w:rsidR="0027396B" w:rsidRPr="00D33F49" w:rsidRDefault="0027396B" w:rsidP="0027396B">
      <w:pPr>
        <w:spacing w:line="360" w:lineRule="auto"/>
        <w:ind w:right="-232"/>
        <w:rPr>
          <w:rFonts w:asciiTheme="majorHAnsi" w:hAnsiTheme="majorHAnsi" w:cstheme="majorHAnsi"/>
          <w:szCs w:val="24"/>
        </w:rPr>
      </w:pPr>
    </w:p>
    <w:p w14:paraId="4D1B69D2" w14:textId="77777777" w:rsidR="0027396B" w:rsidRPr="00D33F49" w:rsidRDefault="0027396B" w:rsidP="0027396B">
      <w:pPr>
        <w:spacing w:line="360" w:lineRule="auto"/>
        <w:ind w:right="-232"/>
        <w:rPr>
          <w:rFonts w:asciiTheme="majorHAnsi" w:hAnsiTheme="majorHAnsi" w:cstheme="majorHAnsi"/>
          <w:szCs w:val="24"/>
        </w:rPr>
      </w:pPr>
      <w:r w:rsidRPr="00D33F49">
        <w:rPr>
          <w:rFonts w:asciiTheme="majorHAnsi" w:hAnsiTheme="majorHAnsi" w:cstheme="majorHAnsi"/>
          <w:szCs w:val="24"/>
        </w:rPr>
        <w:t>III. Que hasta en tanto no se efectúe el cambio de propietario del vehículo sujeto a la suspensión administrativa de obligaciones vehiculares, no deberá realizarse ningún otro trámite que afecte lo asentado respecto de dicho vehículo en el Registro Estatal de Vehículos; y</w:t>
      </w:r>
    </w:p>
    <w:p w14:paraId="0476525F" w14:textId="77777777" w:rsidR="0027396B" w:rsidRPr="00D33F49" w:rsidRDefault="0027396B" w:rsidP="0027396B">
      <w:pPr>
        <w:spacing w:line="360" w:lineRule="auto"/>
        <w:ind w:right="-232"/>
        <w:rPr>
          <w:rFonts w:asciiTheme="majorHAnsi" w:hAnsiTheme="majorHAnsi" w:cstheme="majorHAnsi"/>
          <w:szCs w:val="24"/>
        </w:rPr>
      </w:pPr>
    </w:p>
    <w:p w14:paraId="7C865459" w14:textId="77777777" w:rsidR="0027396B"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IV. Que la Secretaría de Planeación y Finanzas informe a la Dirección General de la Policía Estatal de Caminos, cuales son los vehículos sujetos a la suspensión administrativa de obligaciones vehiculares, para los efectos señalados en los artículos 35 de la Ley General de Tránsito y Vialidad del Estado de Tabasco; 6, fracción III y 7 fracción V del Reglamento de la citada legislación.</w:t>
      </w:r>
    </w:p>
    <w:p w14:paraId="485EC781" w14:textId="77777777" w:rsidR="0027396B" w:rsidRPr="00D33F49" w:rsidRDefault="0027396B" w:rsidP="0027396B">
      <w:pPr>
        <w:spacing w:line="360" w:lineRule="auto"/>
        <w:ind w:right="-232"/>
        <w:rPr>
          <w:rFonts w:asciiTheme="majorHAnsi" w:hAnsiTheme="majorHAnsi" w:cstheme="majorHAnsi"/>
          <w:szCs w:val="24"/>
          <w:lang w:val="es-MX"/>
        </w:rPr>
      </w:pPr>
    </w:p>
    <w:p w14:paraId="771A5C8B" w14:textId="12C9D041" w:rsidR="00BD36E3" w:rsidRPr="00D33F49" w:rsidRDefault="0027396B" w:rsidP="0027396B">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Cuando el contribuyente que solicite la suspensión administrativa de obligaciones vehiculares proporcione datos o documentos falsos, la Secretaría de Planeación y Finanzas cancelará dicho trámite, quedando sin efectos incluso las previamente autorizada</w:t>
      </w:r>
      <w:r w:rsidR="009E1181" w:rsidRPr="00D33F49">
        <w:rPr>
          <w:rFonts w:asciiTheme="majorHAnsi" w:hAnsiTheme="majorHAnsi" w:cstheme="majorHAnsi"/>
          <w:szCs w:val="24"/>
          <w:lang w:val="es-MX"/>
        </w:rPr>
        <w:t>s;</w:t>
      </w:r>
      <w:r w:rsidRPr="00D33F49">
        <w:rPr>
          <w:rFonts w:asciiTheme="majorHAnsi" w:hAnsiTheme="majorHAnsi" w:cstheme="majorHAnsi"/>
          <w:szCs w:val="24"/>
          <w:lang w:val="es-MX"/>
        </w:rPr>
        <w:t xml:space="preserve"> así como</w:t>
      </w:r>
      <w:r w:rsidR="009E1181" w:rsidRPr="00D33F49">
        <w:rPr>
          <w:rFonts w:asciiTheme="majorHAnsi" w:hAnsiTheme="majorHAnsi" w:cstheme="majorHAnsi"/>
          <w:szCs w:val="24"/>
          <w:lang w:val="es-MX"/>
        </w:rPr>
        <w:t>,</w:t>
      </w:r>
      <w:r w:rsidRPr="00D33F49">
        <w:rPr>
          <w:rFonts w:asciiTheme="majorHAnsi" w:hAnsiTheme="majorHAnsi" w:cstheme="majorHAnsi"/>
          <w:szCs w:val="24"/>
          <w:lang w:val="es-MX"/>
        </w:rPr>
        <w:t xml:space="preserve"> todo acto que se haya realizado con posterioridad a la autorización del trámite a que se refiere el presente artículo, sin menoscabo de las sanciones administrativas y penales que procedan.</w:t>
      </w:r>
    </w:p>
    <w:p w14:paraId="0E3C5EAB" w14:textId="77777777" w:rsidR="0027396B" w:rsidRPr="00D33F49" w:rsidRDefault="0027396B" w:rsidP="0027396B">
      <w:pPr>
        <w:spacing w:line="360" w:lineRule="auto"/>
        <w:ind w:right="-232"/>
        <w:rPr>
          <w:rFonts w:asciiTheme="majorHAnsi" w:hAnsiTheme="majorHAnsi" w:cstheme="majorHAnsi"/>
          <w:szCs w:val="24"/>
        </w:rPr>
      </w:pPr>
    </w:p>
    <w:p w14:paraId="43B2A14F" w14:textId="77777777" w:rsidR="00B70207" w:rsidRPr="00D33F49" w:rsidRDefault="0037677C" w:rsidP="00B70207">
      <w:pPr>
        <w:spacing w:line="360" w:lineRule="auto"/>
        <w:ind w:right="-232"/>
        <w:rPr>
          <w:rFonts w:asciiTheme="majorHAnsi" w:hAnsiTheme="majorHAnsi" w:cstheme="majorHAnsi"/>
          <w:szCs w:val="24"/>
          <w:lang w:val="es-MX"/>
        </w:rPr>
      </w:pPr>
      <w:r w:rsidRPr="00D33F49">
        <w:rPr>
          <w:rFonts w:asciiTheme="majorHAnsi" w:hAnsiTheme="majorHAnsi" w:cstheme="majorHAnsi"/>
          <w:b/>
          <w:szCs w:val="24"/>
          <w:lang w:val="es-MX"/>
        </w:rPr>
        <w:t xml:space="preserve">ARTÍCULO </w:t>
      </w:r>
      <w:r w:rsidR="00BD36E3" w:rsidRPr="00D33F49">
        <w:rPr>
          <w:rFonts w:asciiTheme="majorHAnsi" w:hAnsiTheme="majorHAnsi" w:cstheme="majorHAnsi"/>
          <w:b/>
          <w:szCs w:val="24"/>
          <w:lang w:val="es-MX"/>
        </w:rPr>
        <w:t>OCTAVO.</w:t>
      </w:r>
      <w:r w:rsidR="00BD36E3" w:rsidRPr="00D33F49">
        <w:rPr>
          <w:rFonts w:asciiTheme="majorHAnsi" w:hAnsiTheme="majorHAnsi" w:cstheme="majorHAnsi"/>
          <w:szCs w:val="24"/>
          <w:lang w:val="es-MX"/>
        </w:rPr>
        <w:t xml:space="preserve"> </w:t>
      </w:r>
      <w:r w:rsidR="00B70207" w:rsidRPr="00D33F49">
        <w:rPr>
          <w:rFonts w:asciiTheme="majorHAnsi" w:hAnsiTheme="majorHAnsi" w:cstheme="majorHAnsi"/>
          <w:szCs w:val="24"/>
          <w:lang w:val="es-MX"/>
        </w:rPr>
        <w:t xml:space="preserve">El Ejecutivo Estatal por conducto de la Secretaría de Planeación y Finanzas, implementará a partir del 1° de enero de 2019 un programa adicional al contemplado en el artículo Sexto transitorio del presente Decreto, dicho programa </w:t>
      </w:r>
      <w:r w:rsidR="00B70207" w:rsidRPr="00D33F49">
        <w:rPr>
          <w:rFonts w:asciiTheme="majorHAnsi" w:hAnsiTheme="majorHAnsi" w:cstheme="majorHAnsi"/>
          <w:szCs w:val="24"/>
          <w:lang w:val="es-MX"/>
        </w:rPr>
        <w:lastRenderedPageBreak/>
        <w:t>contemplará la condonación de pagos y beneficios fiscales, respecto a los créditos fiscales y obligaciones omitidas del Impuesto Vehicular Estatal y del derecho de refrendo de placas, tarjeta de circulación y calcomanías de motocicletas y motonetas.</w:t>
      </w:r>
    </w:p>
    <w:p w14:paraId="36E32586" w14:textId="77777777" w:rsidR="00B70207" w:rsidRPr="00D33F49" w:rsidRDefault="00B70207" w:rsidP="00B70207">
      <w:pPr>
        <w:spacing w:line="360" w:lineRule="auto"/>
        <w:ind w:right="-232"/>
        <w:rPr>
          <w:rFonts w:asciiTheme="majorHAnsi" w:hAnsiTheme="majorHAnsi" w:cstheme="majorHAnsi"/>
          <w:szCs w:val="24"/>
          <w:lang w:val="es-MX"/>
        </w:rPr>
      </w:pPr>
    </w:p>
    <w:p w14:paraId="43235DA5" w14:textId="77777777" w:rsidR="00B70207" w:rsidRPr="00D33F49" w:rsidRDefault="00B70207" w:rsidP="00B70207">
      <w:pPr>
        <w:spacing w:line="360" w:lineRule="auto"/>
        <w:ind w:right="-232"/>
        <w:rPr>
          <w:rFonts w:asciiTheme="majorHAnsi" w:hAnsiTheme="majorHAnsi" w:cstheme="majorHAnsi"/>
          <w:szCs w:val="24"/>
          <w:lang w:val="es-MX"/>
        </w:rPr>
      </w:pPr>
      <w:r w:rsidRPr="00D33F49">
        <w:rPr>
          <w:rFonts w:asciiTheme="majorHAnsi" w:hAnsiTheme="majorHAnsi" w:cstheme="majorHAnsi"/>
          <w:szCs w:val="24"/>
          <w:lang w:val="es-MX"/>
        </w:rPr>
        <w:t>Dicho programa deberá contribuir a fortalecer la eficiencia recaudatoria del Gobierno del Estado, contemplando un esquema de depuración de créditos incobrables, con el objetivo de incrementar el número de contribuyentes que se inscriban en el Registro Estatal de Vehículos y obtengan su placa de circulación vigente, lo que permitirá identificar a los propietarios de las motocicletas y motonetas que circulan en el Estado de Tabasco.</w:t>
      </w:r>
    </w:p>
    <w:p w14:paraId="2D11EBCD" w14:textId="77777777" w:rsidR="00B70207" w:rsidRPr="00D33F49" w:rsidRDefault="00B70207" w:rsidP="00B70207">
      <w:pPr>
        <w:spacing w:line="360" w:lineRule="auto"/>
        <w:ind w:right="-232"/>
        <w:rPr>
          <w:rFonts w:asciiTheme="majorHAnsi" w:hAnsiTheme="majorHAnsi" w:cstheme="majorHAnsi"/>
          <w:szCs w:val="24"/>
        </w:rPr>
      </w:pPr>
    </w:p>
    <w:p w14:paraId="5006B772" w14:textId="129D0693" w:rsidR="00BD36E3" w:rsidRPr="00D33F49" w:rsidRDefault="00B70207" w:rsidP="00B70207">
      <w:pPr>
        <w:spacing w:line="360" w:lineRule="auto"/>
        <w:ind w:right="-232"/>
        <w:rPr>
          <w:rFonts w:asciiTheme="majorHAnsi" w:hAnsiTheme="majorHAnsi" w:cstheme="majorHAnsi"/>
          <w:szCs w:val="24"/>
        </w:rPr>
      </w:pPr>
      <w:r w:rsidRPr="00D33F49">
        <w:rPr>
          <w:rFonts w:asciiTheme="majorHAnsi" w:hAnsiTheme="majorHAnsi" w:cstheme="majorHAnsi"/>
          <w:szCs w:val="24"/>
        </w:rPr>
        <w:t>Con la finalidad de vigilar el cumplimiento de las disposiciones fiscales relativas a la inscripción en el Registro Estatal de Vehículos y al emplacamiento de las motocicletas y motonetas que circulan en la entidad, el Ejecutivo Estatal por conducto de la Secretaría de Seguridad Pública y las autoridades municipales en materia de tránsito y vialidad, implementarán a partir del 1º de enero de 2019 un programa de vigilancia e inspección en relación a aquellos ciudadanos que circulen en el Estado en vehículos sin placas de circulación o con placas de circulación que no se encuentren vigentes, tomando en consideración la vigencia establecida por las autoridades federales en la normatividad aplicable.</w:t>
      </w:r>
    </w:p>
    <w:p w14:paraId="2CB8721F" w14:textId="241974FA" w:rsidR="00BD36E3" w:rsidRPr="00D33F49" w:rsidRDefault="00BD36E3" w:rsidP="00BD36E3">
      <w:pPr>
        <w:spacing w:line="360" w:lineRule="auto"/>
        <w:ind w:right="-232"/>
        <w:rPr>
          <w:rFonts w:asciiTheme="majorHAnsi" w:hAnsiTheme="majorHAnsi" w:cstheme="majorHAnsi"/>
          <w:szCs w:val="24"/>
          <w:lang w:val="es-MX"/>
        </w:rPr>
      </w:pPr>
    </w:p>
    <w:bookmarkEnd w:id="0"/>
    <w:p w14:paraId="6D6A4FA6" w14:textId="3FA5836E" w:rsidR="001610F5" w:rsidRDefault="001610F5">
      <w:pPr>
        <w:jc w:val="left"/>
        <w:rPr>
          <w:szCs w:val="24"/>
          <w:lang w:val="es-MX"/>
        </w:rPr>
      </w:pPr>
      <w:r>
        <w:rPr>
          <w:szCs w:val="24"/>
          <w:lang w:val="es-MX"/>
        </w:rPr>
        <w:br w:type="page"/>
      </w:r>
    </w:p>
    <w:p w14:paraId="02A014AA" w14:textId="77777777" w:rsidR="00931EF3" w:rsidRDefault="00931EF3" w:rsidP="001610F5">
      <w:pPr>
        <w:pStyle w:val="Sinespaciado"/>
        <w:spacing w:line="276" w:lineRule="auto"/>
        <w:jc w:val="center"/>
        <w:rPr>
          <w:rFonts w:asciiTheme="majorHAnsi" w:eastAsia="Meiryo UI" w:hAnsiTheme="majorHAnsi" w:cstheme="majorHAnsi"/>
          <w:b/>
          <w:sz w:val="24"/>
          <w:szCs w:val="24"/>
        </w:rPr>
      </w:pPr>
    </w:p>
    <w:p w14:paraId="4D8037AF" w14:textId="77777777" w:rsidR="00931EF3" w:rsidRDefault="00931EF3" w:rsidP="001610F5">
      <w:pPr>
        <w:pStyle w:val="Sinespaciado"/>
        <w:spacing w:line="276" w:lineRule="auto"/>
        <w:jc w:val="center"/>
        <w:rPr>
          <w:rFonts w:asciiTheme="majorHAnsi" w:eastAsia="Meiryo UI" w:hAnsiTheme="majorHAnsi" w:cstheme="majorHAnsi"/>
          <w:b/>
          <w:sz w:val="24"/>
          <w:szCs w:val="24"/>
        </w:rPr>
      </w:pPr>
    </w:p>
    <w:p w14:paraId="2F95C11C" w14:textId="52457401" w:rsidR="001610F5" w:rsidRPr="001610F5" w:rsidRDefault="001610F5" w:rsidP="001610F5">
      <w:pPr>
        <w:pStyle w:val="Sinespaciado"/>
        <w:spacing w:line="276" w:lineRule="auto"/>
        <w:jc w:val="center"/>
        <w:rPr>
          <w:rFonts w:asciiTheme="majorHAnsi" w:eastAsia="Meiryo UI" w:hAnsiTheme="majorHAnsi" w:cstheme="majorHAnsi"/>
          <w:b/>
          <w:sz w:val="24"/>
          <w:szCs w:val="24"/>
        </w:rPr>
      </w:pPr>
      <w:r w:rsidRPr="001610F5">
        <w:rPr>
          <w:rFonts w:asciiTheme="majorHAnsi" w:eastAsia="Meiryo UI" w:hAnsiTheme="majorHAnsi" w:cstheme="majorHAnsi"/>
          <w:b/>
          <w:sz w:val="24"/>
          <w:szCs w:val="24"/>
        </w:rPr>
        <w:t>ATENTAMENTE</w:t>
      </w:r>
    </w:p>
    <w:p w14:paraId="1F1E15D5" w14:textId="77777777" w:rsidR="001610F5" w:rsidRPr="001610F5" w:rsidRDefault="001610F5" w:rsidP="001610F5">
      <w:pPr>
        <w:pStyle w:val="Sinespaciado"/>
        <w:spacing w:line="276" w:lineRule="auto"/>
        <w:jc w:val="center"/>
        <w:rPr>
          <w:rFonts w:asciiTheme="majorHAnsi" w:eastAsia="Meiryo UI" w:hAnsiTheme="majorHAnsi" w:cstheme="majorHAnsi"/>
          <w:b/>
          <w:sz w:val="24"/>
          <w:szCs w:val="24"/>
        </w:rPr>
      </w:pPr>
      <w:r w:rsidRPr="001610F5">
        <w:rPr>
          <w:rFonts w:asciiTheme="majorHAnsi" w:eastAsia="Meiryo UI" w:hAnsiTheme="majorHAnsi" w:cstheme="majorHAnsi"/>
          <w:b/>
          <w:sz w:val="24"/>
          <w:szCs w:val="24"/>
        </w:rPr>
        <w:t>“SUFRAGIO EFECTIVO. NO REELECCIÓN.”</w:t>
      </w:r>
    </w:p>
    <w:p w14:paraId="60384ADE" w14:textId="77777777" w:rsidR="001610F5" w:rsidRPr="001610F5" w:rsidRDefault="001610F5" w:rsidP="001610F5">
      <w:pPr>
        <w:pStyle w:val="Sinespaciado"/>
        <w:spacing w:line="276" w:lineRule="auto"/>
        <w:jc w:val="center"/>
        <w:rPr>
          <w:rFonts w:asciiTheme="majorHAnsi" w:eastAsia="Meiryo UI" w:hAnsiTheme="majorHAnsi" w:cstheme="majorHAnsi"/>
          <w:b/>
          <w:sz w:val="24"/>
          <w:szCs w:val="24"/>
        </w:rPr>
      </w:pPr>
    </w:p>
    <w:p w14:paraId="6A9D1338" w14:textId="77777777" w:rsidR="001610F5" w:rsidRPr="001610F5" w:rsidRDefault="001610F5" w:rsidP="001610F5">
      <w:pPr>
        <w:pStyle w:val="Sinespaciado"/>
        <w:spacing w:line="276" w:lineRule="auto"/>
        <w:jc w:val="center"/>
        <w:rPr>
          <w:rFonts w:asciiTheme="majorHAnsi" w:eastAsia="Meiryo UI" w:hAnsiTheme="majorHAnsi" w:cstheme="majorHAnsi"/>
          <w:b/>
          <w:sz w:val="24"/>
          <w:szCs w:val="24"/>
        </w:rPr>
      </w:pPr>
    </w:p>
    <w:p w14:paraId="26F72CC1" w14:textId="77777777" w:rsidR="001610F5" w:rsidRPr="001610F5" w:rsidRDefault="001610F5" w:rsidP="001610F5">
      <w:pPr>
        <w:pStyle w:val="Sinespaciado"/>
        <w:spacing w:line="276" w:lineRule="auto"/>
        <w:jc w:val="center"/>
        <w:rPr>
          <w:rFonts w:asciiTheme="majorHAnsi" w:eastAsia="Meiryo UI" w:hAnsiTheme="majorHAnsi" w:cstheme="majorHAnsi"/>
          <w:b/>
          <w:sz w:val="24"/>
          <w:szCs w:val="24"/>
        </w:rPr>
      </w:pPr>
    </w:p>
    <w:p w14:paraId="737CA0AE" w14:textId="77777777" w:rsidR="001610F5" w:rsidRPr="001610F5" w:rsidRDefault="001610F5" w:rsidP="001610F5">
      <w:pPr>
        <w:pStyle w:val="Sinespaciado"/>
        <w:spacing w:line="276" w:lineRule="auto"/>
        <w:jc w:val="center"/>
        <w:rPr>
          <w:rFonts w:asciiTheme="majorHAnsi" w:eastAsia="Meiryo UI" w:hAnsiTheme="majorHAnsi" w:cstheme="majorHAnsi"/>
          <w:b/>
          <w:sz w:val="24"/>
          <w:szCs w:val="24"/>
        </w:rPr>
      </w:pPr>
      <w:r w:rsidRPr="001610F5">
        <w:rPr>
          <w:rFonts w:asciiTheme="majorHAnsi" w:eastAsia="Meiryo UI" w:hAnsiTheme="majorHAnsi" w:cstheme="majorHAnsi"/>
          <w:b/>
          <w:sz w:val="24"/>
          <w:szCs w:val="24"/>
        </w:rPr>
        <w:t>LIC. ARTURO NÚÑEZ JIMÉNEZ</w:t>
      </w:r>
    </w:p>
    <w:p w14:paraId="0F2D38BD" w14:textId="77777777" w:rsidR="001610F5" w:rsidRPr="001610F5" w:rsidRDefault="001610F5" w:rsidP="001610F5">
      <w:pPr>
        <w:pStyle w:val="Sinespaciado"/>
        <w:spacing w:line="276" w:lineRule="auto"/>
        <w:jc w:val="center"/>
        <w:rPr>
          <w:rFonts w:asciiTheme="majorHAnsi" w:eastAsia="Meiryo UI" w:hAnsiTheme="majorHAnsi" w:cstheme="majorHAnsi"/>
          <w:b/>
          <w:sz w:val="24"/>
          <w:szCs w:val="24"/>
        </w:rPr>
      </w:pPr>
      <w:r w:rsidRPr="001610F5">
        <w:rPr>
          <w:rFonts w:asciiTheme="majorHAnsi" w:eastAsia="Meiryo UI" w:hAnsiTheme="majorHAnsi" w:cstheme="majorHAnsi"/>
          <w:b/>
          <w:noProof/>
          <w:sz w:val="24"/>
          <w:szCs w:val="24"/>
          <w:lang w:val="es-ES" w:eastAsia="es-ES" w:bidi="ar-SA"/>
        </w:rPr>
        <mc:AlternateContent>
          <mc:Choice Requires="wps">
            <w:drawing>
              <wp:anchor distT="0" distB="0" distL="114300" distR="114300" simplePos="0" relativeHeight="251657728" behindDoc="0" locked="0" layoutInCell="1" allowOverlap="1" wp14:anchorId="54E65225" wp14:editId="17932DF1">
                <wp:simplePos x="0" y="0"/>
                <wp:positionH relativeFrom="column">
                  <wp:posOffset>2465070</wp:posOffset>
                </wp:positionH>
                <wp:positionV relativeFrom="paragraph">
                  <wp:posOffset>6500495</wp:posOffset>
                </wp:positionV>
                <wp:extent cx="664210" cy="396875"/>
                <wp:effectExtent l="1905" t="2540" r="635" b="63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E9C437" id="Rectangle 2" o:spid="_x0000_s1026" style="position:absolute;margin-left:194.1pt;margin-top:511.85pt;width:52.3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roeg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" stroked="f"/>
            </w:pict>
          </mc:Fallback>
        </mc:AlternateContent>
      </w:r>
      <w:r w:rsidRPr="001610F5">
        <w:rPr>
          <w:rFonts w:asciiTheme="majorHAnsi" w:eastAsia="Meiryo UI" w:hAnsiTheme="majorHAnsi" w:cstheme="majorHAnsi"/>
          <w:b/>
          <w:sz w:val="24"/>
          <w:szCs w:val="24"/>
        </w:rPr>
        <w:t>GOBERNADOR DEL ESTADO DE TABASCO</w:t>
      </w:r>
    </w:p>
    <w:p w14:paraId="4BAFEFF2" w14:textId="77777777" w:rsidR="00004306" w:rsidRPr="00B875F4" w:rsidRDefault="00004306">
      <w:pPr>
        <w:spacing w:line="360" w:lineRule="auto"/>
        <w:ind w:right="-232"/>
        <w:rPr>
          <w:szCs w:val="24"/>
          <w:lang w:val="es-MX"/>
        </w:rPr>
      </w:pPr>
    </w:p>
    <w:sectPr w:rsidR="00004306" w:rsidRPr="00B875F4" w:rsidSect="00931EF3">
      <w:headerReference w:type="default" r:id="rId28"/>
      <w:footerReference w:type="default" r:id="rId29"/>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BB9FA" w14:textId="77777777" w:rsidR="000B4DAA" w:rsidRDefault="000B4DAA" w:rsidP="000E1ED8">
      <w:r>
        <w:separator/>
      </w:r>
    </w:p>
  </w:endnote>
  <w:endnote w:type="continuationSeparator" w:id="0">
    <w:p w14:paraId="28870741" w14:textId="77777777" w:rsidR="000B4DAA" w:rsidRDefault="000B4DAA" w:rsidP="000E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MGNP K+ Eureka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eiryo UI">
    <w:altName w:val="Tahoma"/>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A1437" w14:textId="06E80069" w:rsidR="000B4DAA" w:rsidRPr="0096121D" w:rsidRDefault="000B4DAA" w:rsidP="0096121D">
    <w:pPr>
      <w:pStyle w:val="Piedepgina"/>
      <w:jc w:val="center"/>
      <w:rPr>
        <w:rFonts w:asciiTheme="majorHAnsi" w:hAnsiTheme="majorHAnsi" w:cstheme="majorHAnsi"/>
        <w:b/>
        <w:sz w:val="16"/>
      </w:rPr>
    </w:pPr>
    <w:r w:rsidRPr="0096121D">
      <w:rPr>
        <w:rFonts w:asciiTheme="majorHAnsi" w:hAnsiTheme="majorHAnsi" w:cstheme="majorHAnsi"/>
        <w:b/>
        <w:sz w:val="16"/>
      </w:rPr>
      <w:fldChar w:fldCharType="begin"/>
    </w:r>
    <w:r w:rsidRPr="0096121D">
      <w:rPr>
        <w:rFonts w:asciiTheme="majorHAnsi" w:hAnsiTheme="majorHAnsi" w:cstheme="majorHAnsi"/>
        <w:b/>
        <w:sz w:val="16"/>
      </w:rPr>
      <w:instrText xml:space="preserve"> PAGE   \* MERGEFORMAT </w:instrText>
    </w:r>
    <w:r w:rsidRPr="0096121D">
      <w:rPr>
        <w:rFonts w:asciiTheme="majorHAnsi" w:hAnsiTheme="majorHAnsi" w:cstheme="majorHAnsi"/>
        <w:b/>
        <w:sz w:val="16"/>
      </w:rPr>
      <w:fldChar w:fldCharType="separate"/>
    </w:r>
    <w:r w:rsidR="00FA2446">
      <w:rPr>
        <w:rFonts w:asciiTheme="majorHAnsi" w:hAnsiTheme="majorHAnsi" w:cstheme="majorHAnsi"/>
        <w:b/>
        <w:noProof/>
        <w:sz w:val="16"/>
      </w:rPr>
      <w:t>74</w:t>
    </w:r>
    <w:r w:rsidRPr="0096121D">
      <w:rPr>
        <w:rFonts w:asciiTheme="majorHAnsi" w:hAnsiTheme="majorHAnsi" w:cstheme="majorHAnsi"/>
        <w:b/>
        <w:noProof/>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C983C" w14:textId="77777777" w:rsidR="000B4DAA" w:rsidRDefault="000B4DAA" w:rsidP="000E1ED8">
      <w:r>
        <w:separator/>
      </w:r>
    </w:p>
  </w:footnote>
  <w:footnote w:type="continuationSeparator" w:id="0">
    <w:p w14:paraId="2F556B9C" w14:textId="77777777" w:rsidR="000B4DAA" w:rsidRDefault="000B4DAA" w:rsidP="000E1ED8">
      <w:r>
        <w:continuationSeparator/>
      </w:r>
    </w:p>
  </w:footnote>
  <w:footnote w:id="1">
    <w:p w14:paraId="3B0E618C" w14:textId="77777777" w:rsidR="000B4DAA" w:rsidRPr="00585427" w:rsidRDefault="000B4DAA" w:rsidP="00D55CFB">
      <w:pPr>
        <w:pStyle w:val="Textonotapie"/>
        <w:rPr>
          <w:rFonts w:cs="Arial"/>
          <w:sz w:val="14"/>
          <w:lang w:val="es-MX"/>
        </w:rPr>
      </w:pPr>
      <w:r w:rsidRPr="00F05491">
        <w:rPr>
          <w:rStyle w:val="Refdenotaalpie"/>
          <w:rFonts w:cs="Arial"/>
        </w:rPr>
        <w:footnoteRef/>
      </w:r>
      <w:r>
        <w:rPr>
          <w:rFonts w:cs="Arial"/>
          <w:sz w:val="14"/>
        </w:rPr>
        <w:t xml:space="preserve"> </w:t>
      </w:r>
      <w:r w:rsidRPr="00F05491">
        <w:rPr>
          <w:rFonts w:cs="Arial"/>
          <w:sz w:val="14"/>
        </w:rPr>
        <w:t>Perspectivas de la Economía Mundial. Fondo Monetario Internacional. Octubre 201</w:t>
      </w:r>
      <w:r>
        <w:rPr>
          <w:rFonts w:cs="Arial"/>
          <w:sz w:val="14"/>
        </w:rPr>
        <w:t>8</w:t>
      </w:r>
      <w:r w:rsidRPr="00F05491">
        <w:rPr>
          <w:rFonts w:cs="Arial"/>
          <w:sz w:val="14"/>
        </w:rPr>
        <w:t>.</w:t>
      </w:r>
      <w:r w:rsidRPr="00F05491">
        <w:rPr>
          <w:rFonts w:cs="Arial"/>
          <w:sz w:val="14"/>
          <w:lang w:val="es-MX"/>
        </w:rPr>
        <w:t xml:space="preserve"> </w:t>
      </w:r>
    </w:p>
  </w:footnote>
  <w:footnote w:id="2">
    <w:p w14:paraId="31C11B11" w14:textId="77777777" w:rsidR="000B4DAA" w:rsidRPr="00585427" w:rsidRDefault="000B4DAA" w:rsidP="00D55CFB">
      <w:pPr>
        <w:pStyle w:val="Textonotapie"/>
        <w:rPr>
          <w:rFonts w:cs="Arial"/>
          <w:lang w:val="es-MX"/>
        </w:rPr>
      </w:pPr>
      <w:r w:rsidRPr="0010492F">
        <w:rPr>
          <w:rStyle w:val="Refdenotaalpie"/>
          <w:rFonts w:cs="Arial"/>
        </w:rPr>
        <w:footnoteRef/>
      </w:r>
      <w:r>
        <w:rPr>
          <w:rFonts w:cs="Arial"/>
          <w:sz w:val="14"/>
        </w:rPr>
        <w:t xml:space="preserve"> </w:t>
      </w:r>
      <w:r w:rsidRPr="0010492F">
        <w:rPr>
          <w:rFonts w:cs="Arial"/>
          <w:sz w:val="14"/>
        </w:rPr>
        <w:t xml:space="preserve">Perspectivas de la Economía Mundial. Fondo Monetario Internacional. Octubre </w:t>
      </w:r>
      <w:r>
        <w:rPr>
          <w:rFonts w:cs="Arial"/>
          <w:sz w:val="14"/>
        </w:rPr>
        <w:t>2018</w:t>
      </w:r>
    </w:p>
  </w:footnote>
  <w:footnote w:id="3">
    <w:p w14:paraId="58382188" w14:textId="77777777" w:rsidR="000B4DAA" w:rsidRPr="006508B0" w:rsidRDefault="000B4DAA" w:rsidP="00D55CFB">
      <w:pPr>
        <w:pStyle w:val="Textonotapie"/>
        <w:rPr>
          <w:lang w:val="es-MX"/>
        </w:rPr>
      </w:pPr>
      <w:r w:rsidRPr="0010492F">
        <w:rPr>
          <w:rStyle w:val="Refdenotaalpie"/>
          <w:rFonts w:cs="Arial"/>
        </w:rPr>
        <w:footnoteRef/>
      </w:r>
      <w:r>
        <w:rPr>
          <w:rFonts w:cs="Arial"/>
          <w:sz w:val="14"/>
        </w:rPr>
        <w:t xml:space="preserve"> </w:t>
      </w:r>
      <w:r w:rsidRPr="0010492F">
        <w:rPr>
          <w:rFonts w:cs="Arial"/>
          <w:sz w:val="14"/>
        </w:rPr>
        <w:t>Criterios Generales de Política Económica 201</w:t>
      </w:r>
      <w:r>
        <w:rPr>
          <w:rFonts w:cs="Arial"/>
          <w:sz w:val="14"/>
        </w:rPr>
        <w:t>9.</w:t>
      </w:r>
    </w:p>
  </w:footnote>
  <w:footnote w:id="4">
    <w:p w14:paraId="7C6B4DBF" w14:textId="77777777" w:rsidR="000B4DAA" w:rsidRPr="003E2BF4" w:rsidRDefault="000B4DAA" w:rsidP="00D55CFB">
      <w:pPr>
        <w:pStyle w:val="Textonotapie"/>
        <w:rPr>
          <w:lang w:val="es-MX"/>
        </w:rPr>
      </w:pPr>
      <w:r w:rsidRPr="0010492F">
        <w:rPr>
          <w:rStyle w:val="Refdenotaalpie"/>
          <w:rFonts w:cs="Arial"/>
        </w:rPr>
        <w:footnoteRef/>
      </w:r>
      <w:r>
        <w:rPr>
          <w:rFonts w:cs="Arial"/>
          <w:sz w:val="14"/>
        </w:rPr>
        <w:t xml:space="preserve"> </w:t>
      </w:r>
      <w:r w:rsidRPr="0010492F">
        <w:rPr>
          <w:rFonts w:cs="Arial"/>
          <w:sz w:val="14"/>
        </w:rPr>
        <w:t>Criterios Generales de Política Económica 201</w:t>
      </w:r>
      <w:r>
        <w:rPr>
          <w:rFonts w:cs="Arial"/>
          <w:sz w:val="14"/>
        </w:rPr>
        <w:t>9.</w:t>
      </w:r>
    </w:p>
  </w:footnote>
  <w:footnote w:id="5">
    <w:p w14:paraId="3B929571" w14:textId="77777777" w:rsidR="000B4DAA" w:rsidRPr="002400AD" w:rsidRDefault="000B4DAA" w:rsidP="00D55CFB">
      <w:pPr>
        <w:pStyle w:val="Textonotapie"/>
      </w:pPr>
      <w:r>
        <w:rPr>
          <w:rStyle w:val="Refdenotaalpie"/>
        </w:rPr>
        <w:footnoteRef/>
      </w:r>
      <w:r>
        <w:t xml:space="preserve"> </w:t>
      </w:r>
      <w:r w:rsidRPr="00137123">
        <w:rPr>
          <w:rFonts w:cs="Arial"/>
          <w:sz w:val="14"/>
          <w:szCs w:val="16"/>
        </w:rPr>
        <w:t xml:space="preserve">Informe sobre la Situación Económica, las Finanzas Públicas y la Deuda Pública </w:t>
      </w:r>
      <w:r>
        <w:rPr>
          <w:rFonts w:cs="Arial"/>
          <w:sz w:val="14"/>
          <w:szCs w:val="16"/>
        </w:rPr>
        <w:t>Tercer Trimestre 2018.- SHCP.- 30</w:t>
      </w:r>
      <w:r w:rsidRPr="00137123">
        <w:rPr>
          <w:rFonts w:cs="Arial"/>
          <w:sz w:val="14"/>
          <w:szCs w:val="16"/>
        </w:rPr>
        <w:t xml:space="preserve"> de</w:t>
      </w:r>
      <w:r>
        <w:rPr>
          <w:rFonts w:cs="Arial"/>
          <w:sz w:val="14"/>
          <w:szCs w:val="16"/>
        </w:rPr>
        <w:t xml:space="preserve"> octubre</w:t>
      </w:r>
      <w:r w:rsidRPr="00137123">
        <w:rPr>
          <w:rFonts w:cs="Arial"/>
          <w:sz w:val="14"/>
          <w:szCs w:val="16"/>
        </w:rPr>
        <w:t xml:space="preserve"> 201</w:t>
      </w:r>
      <w:r>
        <w:rPr>
          <w:rFonts w:cs="Arial"/>
          <w:sz w:val="14"/>
          <w:szCs w:val="16"/>
        </w:rPr>
        <w:t>8.</w:t>
      </w:r>
    </w:p>
  </w:footnote>
  <w:footnote w:id="6">
    <w:p w14:paraId="017BF00A" w14:textId="77777777" w:rsidR="000B4DAA" w:rsidRPr="005B1B9E" w:rsidRDefault="000B4DAA" w:rsidP="00D55CFB">
      <w:pPr>
        <w:pStyle w:val="Textonotapie"/>
        <w:rPr>
          <w:rFonts w:cs="Arial"/>
        </w:rPr>
      </w:pPr>
      <w:r w:rsidRPr="00402F61">
        <w:rPr>
          <w:rStyle w:val="Refdenotaalpie"/>
          <w:rFonts w:cs="Arial"/>
        </w:rPr>
        <w:footnoteRef/>
      </w:r>
      <w:r w:rsidRPr="00402F61">
        <w:rPr>
          <w:rFonts w:cs="Arial"/>
        </w:rPr>
        <w:t xml:space="preserve"> </w:t>
      </w:r>
      <w:r>
        <w:rPr>
          <w:rFonts w:cs="Arial"/>
          <w:sz w:val="14"/>
          <w:szCs w:val="16"/>
        </w:rPr>
        <w:t>INEGI.- Boletín no. 491/18.- 24 de Octubre 2018.</w:t>
      </w:r>
    </w:p>
  </w:footnote>
  <w:footnote w:id="7">
    <w:p w14:paraId="0AB456E6" w14:textId="77777777" w:rsidR="000B4DAA" w:rsidRPr="001E0A66" w:rsidRDefault="000B4DAA" w:rsidP="00D55CFB">
      <w:pPr>
        <w:pStyle w:val="Textonotapie"/>
      </w:pPr>
      <w:r w:rsidRPr="001076EA">
        <w:rPr>
          <w:rStyle w:val="Refdenotaalpie"/>
          <w:rFonts w:cs="Arial"/>
        </w:rPr>
        <w:footnoteRef/>
      </w:r>
      <w:r>
        <w:rPr>
          <w:rStyle w:val="Refdenotaalpie"/>
          <w:rFonts w:cs="Arial"/>
        </w:rPr>
        <w:t xml:space="preserve"> Comunicado IMSS 255/2018.- 13 de Octubre </w:t>
      </w:r>
      <w:r w:rsidRPr="001076EA">
        <w:rPr>
          <w:rStyle w:val="Refdenotaalpie"/>
          <w:rFonts w:cs="Arial"/>
        </w:rPr>
        <w:t>201</w:t>
      </w:r>
      <w:r>
        <w:rPr>
          <w:rStyle w:val="Refdenotaalpie"/>
          <w:rFonts w:cs="Arial"/>
        </w:rPr>
        <w:t>8.</w:t>
      </w:r>
    </w:p>
  </w:footnote>
  <w:footnote w:id="8">
    <w:p w14:paraId="43766FED" w14:textId="77777777" w:rsidR="000B4DAA" w:rsidRPr="00352177" w:rsidRDefault="000B4DAA" w:rsidP="00D55CFB">
      <w:pPr>
        <w:pStyle w:val="Textonotapie"/>
      </w:pPr>
      <w:r>
        <w:rPr>
          <w:rStyle w:val="Refdenotaalpie"/>
        </w:rPr>
        <w:footnoteRef/>
      </w:r>
      <w:r>
        <w:t xml:space="preserve"> </w:t>
      </w:r>
      <w:r w:rsidRPr="0010492F">
        <w:rPr>
          <w:rFonts w:cs="Arial"/>
          <w:sz w:val="14"/>
        </w:rPr>
        <w:t>Criterios Generales de Política Económica 201</w:t>
      </w:r>
      <w:r>
        <w:rPr>
          <w:rFonts w:cs="Arial"/>
          <w:sz w:val="14"/>
        </w:rPr>
        <w:t>9.</w:t>
      </w:r>
    </w:p>
  </w:footnote>
  <w:footnote w:id="9">
    <w:p w14:paraId="31B0A92F" w14:textId="77777777" w:rsidR="000B4DAA" w:rsidRPr="00F13508" w:rsidRDefault="000B4DAA" w:rsidP="00D55CFB">
      <w:pPr>
        <w:pStyle w:val="Textonotapie"/>
      </w:pPr>
      <w:r w:rsidRPr="00402F61">
        <w:rPr>
          <w:rStyle w:val="Refdenotaalpie"/>
          <w:rFonts w:cs="Arial"/>
        </w:rPr>
        <w:footnoteRef/>
      </w:r>
      <w:r w:rsidRPr="00402F61">
        <w:rPr>
          <w:rFonts w:cs="Arial"/>
          <w:sz w:val="14"/>
          <w:szCs w:val="16"/>
        </w:rPr>
        <w:t xml:space="preserve"> Informe sobre la Situación Económica, las Finanzas Públicas y la Deuda Pública </w:t>
      </w:r>
      <w:r>
        <w:rPr>
          <w:rFonts w:cs="Arial"/>
          <w:sz w:val="14"/>
          <w:szCs w:val="16"/>
        </w:rPr>
        <w:t>Tercer</w:t>
      </w:r>
      <w:r w:rsidRPr="00402F61">
        <w:rPr>
          <w:rFonts w:cs="Arial"/>
          <w:sz w:val="14"/>
          <w:szCs w:val="16"/>
        </w:rPr>
        <w:t xml:space="preserve"> T</w:t>
      </w:r>
      <w:r>
        <w:rPr>
          <w:rFonts w:cs="Arial"/>
          <w:sz w:val="14"/>
          <w:szCs w:val="16"/>
        </w:rPr>
        <w:t>rimestre 2018.- SHCP.- 30</w:t>
      </w:r>
      <w:r w:rsidRPr="00402F61">
        <w:rPr>
          <w:rFonts w:cs="Arial"/>
          <w:sz w:val="14"/>
          <w:szCs w:val="16"/>
        </w:rPr>
        <w:t xml:space="preserve"> de </w:t>
      </w:r>
      <w:r>
        <w:rPr>
          <w:rFonts w:cs="Arial"/>
          <w:sz w:val="14"/>
          <w:szCs w:val="16"/>
        </w:rPr>
        <w:t>Octubre 2018</w:t>
      </w:r>
    </w:p>
  </w:footnote>
  <w:footnote w:id="10">
    <w:p w14:paraId="61573648" w14:textId="226D1CE4" w:rsidR="000B4DAA" w:rsidRPr="007205B6" w:rsidRDefault="000B4DAA" w:rsidP="00D55CFB">
      <w:pPr>
        <w:pStyle w:val="Textonotapie"/>
        <w:rPr>
          <w:rFonts w:cs="Arial"/>
        </w:rPr>
      </w:pPr>
      <w:r w:rsidRPr="00402F61">
        <w:rPr>
          <w:rStyle w:val="Refdenotaalpie"/>
          <w:rFonts w:cs="Arial"/>
        </w:rPr>
        <w:footnoteRef/>
      </w:r>
      <w:r w:rsidRPr="00402F61">
        <w:rPr>
          <w:rFonts w:cs="Arial"/>
        </w:rPr>
        <w:t xml:space="preserve"> </w:t>
      </w:r>
      <w:r w:rsidRPr="00402F61">
        <w:rPr>
          <w:rFonts w:cs="Arial"/>
          <w:sz w:val="14"/>
          <w:szCs w:val="16"/>
        </w:rPr>
        <w:t xml:space="preserve">Informe sobre la Situación Económica, las Finanzas Públicas y la Deuda Pública </w:t>
      </w:r>
      <w:r>
        <w:rPr>
          <w:rFonts w:cs="Arial"/>
          <w:sz w:val="14"/>
          <w:szCs w:val="16"/>
        </w:rPr>
        <w:t>Tercer</w:t>
      </w:r>
      <w:r w:rsidRPr="00402F61">
        <w:rPr>
          <w:rFonts w:cs="Arial"/>
          <w:sz w:val="14"/>
          <w:szCs w:val="16"/>
        </w:rPr>
        <w:t xml:space="preserve"> T</w:t>
      </w:r>
      <w:r>
        <w:rPr>
          <w:rFonts w:cs="Arial"/>
          <w:sz w:val="14"/>
          <w:szCs w:val="16"/>
        </w:rPr>
        <w:t>rimestre 2018.- SHCP.- 30</w:t>
      </w:r>
      <w:r w:rsidRPr="00402F61">
        <w:rPr>
          <w:rFonts w:cs="Arial"/>
          <w:sz w:val="14"/>
          <w:szCs w:val="16"/>
        </w:rPr>
        <w:t xml:space="preserve"> de </w:t>
      </w:r>
      <w:r>
        <w:rPr>
          <w:rFonts w:cs="Arial"/>
          <w:sz w:val="14"/>
          <w:szCs w:val="16"/>
          <w:lang w:val="es-MX"/>
        </w:rPr>
        <w:t>o</w:t>
      </w:r>
      <w:r>
        <w:rPr>
          <w:rFonts w:cs="Arial"/>
          <w:sz w:val="14"/>
          <w:szCs w:val="16"/>
        </w:rPr>
        <w:t>ctubre 2018</w:t>
      </w:r>
    </w:p>
  </w:footnote>
  <w:footnote w:id="11">
    <w:p w14:paraId="69CA4990" w14:textId="77777777" w:rsidR="000B4DAA" w:rsidRPr="001A66A1" w:rsidRDefault="000B4DAA" w:rsidP="00D55CFB">
      <w:pPr>
        <w:pStyle w:val="Textonotapie"/>
        <w:rPr>
          <w:lang w:val="es-MX"/>
        </w:rPr>
      </w:pPr>
      <w:r>
        <w:rPr>
          <w:rStyle w:val="Refdenotaalpie"/>
        </w:rPr>
        <w:footnoteRef/>
      </w:r>
      <w:r>
        <w:t xml:space="preserve"> </w:t>
      </w:r>
      <w:r w:rsidRPr="00402F61">
        <w:rPr>
          <w:rFonts w:cs="Arial"/>
          <w:sz w:val="14"/>
          <w:szCs w:val="16"/>
        </w:rPr>
        <w:t xml:space="preserve">Informe sobre la Situación Económica, las Finanzas Públicas y la Deuda Pública </w:t>
      </w:r>
      <w:r>
        <w:rPr>
          <w:rFonts w:cs="Arial"/>
          <w:sz w:val="14"/>
          <w:szCs w:val="16"/>
        </w:rPr>
        <w:t>Tercer</w:t>
      </w:r>
      <w:r w:rsidRPr="00402F61">
        <w:rPr>
          <w:rFonts w:cs="Arial"/>
          <w:sz w:val="14"/>
          <w:szCs w:val="16"/>
        </w:rPr>
        <w:t xml:space="preserve"> T</w:t>
      </w:r>
      <w:r>
        <w:rPr>
          <w:rFonts w:cs="Arial"/>
          <w:sz w:val="14"/>
          <w:szCs w:val="16"/>
        </w:rPr>
        <w:t>rimestre 2018.- SHCP.- 30</w:t>
      </w:r>
      <w:r w:rsidRPr="00402F61">
        <w:rPr>
          <w:rFonts w:cs="Arial"/>
          <w:sz w:val="14"/>
          <w:szCs w:val="16"/>
        </w:rPr>
        <w:t xml:space="preserve"> de </w:t>
      </w:r>
      <w:r>
        <w:rPr>
          <w:rFonts w:cs="Arial"/>
          <w:sz w:val="14"/>
          <w:szCs w:val="16"/>
        </w:rPr>
        <w:t>Octubre 2018</w:t>
      </w:r>
    </w:p>
  </w:footnote>
  <w:footnote w:id="12">
    <w:p w14:paraId="1074F840" w14:textId="77777777" w:rsidR="000B4DAA" w:rsidRDefault="000B4DAA" w:rsidP="00D55CFB">
      <w:pPr>
        <w:pStyle w:val="Textonotapie"/>
      </w:pPr>
      <w:r w:rsidRPr="00DE451A">
        <w:rPr>
          <w:rStyle w:val="Refdenotaalpie"/>
          <w:rFonts w:cs="Arial"/>
        </w:rPr>
        <w:footnoteRef/>
      </w:r>
      <w:r w:rsidRPr="00DE451A">
        <w:rPr>
          <w:rFonts w:cs="Arial"/>
        </w:rPr>
        <w:t xml:space="preserve"> </w:t>
      </w:r>
      <w:r>
        <w:rPr>
          <w:rFonts w:cs="Arial"/>
          <w:sz w:val="14"/>
        </w:rPr>
        <w:t>INEGI.- Boletín no. 516</w:t>
      </w:r>
      <w:r w:rsidRPr="00DE451A">
        <w:rPr>
          <w:rFonts w:cs="Arial"/>
          <w:sz w:val="14"/>
        </w:rPr>
        <w:t xml:space="preserve">/18.- </w:t>
      </w:r>
      <w:r>
        <w:rPr>
          <w:rFonts w:cs="Arial"/>
          <w:sz w:val="14"/>
        </w:rPr>
        <w:t>30</w:t>
      </w:r>
      <w:r w:rsidRPr="00DE451A">
        <w:rPr>
          <w:rFonts w:cs="Arial"/>
          <w:sz w:val="14"/>
        </w:rPr>
        <w:t xml:space="preserve"> de </w:t>
      </w:r>
      <w:r>
        <w:rPr>
          <w:rFonts w:cs="Arial"/>
          <w:sz w:val="14"/>
        </w:rPr>
        <w:t>Octubre 2018.</w:t>
      </w:r>
    </w:p>
  </w:footnote>
  <w:footnote w:id="13">
    <w:p w14:paraId="7264680B" w14:textId="77777777" w:rsidR="000B4DAA" w:rsidRDefault="000B4DAA" w:rsidP="00D55CFB">
      <w:pPr>
        <w:pStyle w:val="Textonotapie"/>
      </w:pPr>
      <w:r w:rsidRPr="00ED72AC">
        <w:rPr>
          <w:rStyle w:val="Refdenotaalpie"/>
          <w:rFonts w:cs="Arial"/>
        </w:rPr>
        <w:footnoteRef/>
      </w:r>
      <w:r w:rsidRPr="00ED72AC">
        <w:rPr>
          <w:rFonts w:cs="Arial"/>
        </w:rPr>
        <w:t xml:space="preserve"> </w:t>
      </w:r>
      <w:r>
        <w:rPr>
          <w:rFonts w:cs="Arial"/>
          <w:sz w:val="14"/>
        </w:rPr>
        <w:t>INEGI.- Boletín no. 516</w:t>
      </w:r>
      <w:r w:rsidRPr="00DE451A">
        <w:rPr>
          <w:rFonts w:cs="Arial"/>
          <w:sz w:val="14"/>
        </w:rPr>
        <w:t xml:space="preserve">/18.- </w:t>
      </w:r>
      <w:r>
        <w:rPr>
          <w:rFonts w:cs="Arial"/>
          <w:sz w:val="14"/>
        </w:rPr>
        <w:t>30</w:t>
      </w:r>
      <w:r w:rsidRPr="00DE451A">
        <w:rPr>
          <w:rFonts w:cs="Arial"/>
          <w:sz w:val="14"/>
        </w:rPr>
        <w:t xml:space="preserve"> de </w:t>
      </w:r>
      <w:r>
        <w:rPr>
          <w:rFonts w:cs="Arial"/>
          <w:sz w:val="14"/>
        </w:rPr>
        <w:t>Octubre 2018.</w:t>
      </w:r>
    </w:p>
  </w:footnote>
  <w:footnote w:id="14">
    <w:p w14:paraId="10F86210" w14:textId="77777777" w:rsidR="000B4DAA" w:rsidRPr="00CD1B54" w:rsidRDefault="000B4DAA" w:rsidP="00D55CFB">
      <w:pPr>
        <w:pStyle w:val="Textonotapie"/>
        <w:rPr>
          <w:lang w:val="es-MX"/>
        </w:rPr>
      </w:pPr>
      <w:r>
        <w:rPr>
          <w:rStyle w:val="Refdenotaalpie"/>
        </w:rPr>
        <w:footnoteRef/>
      </w:r>
      <w:r>
        <w:t xml:space="preserve"> </w:t>
      </w:r>
      <w:r w:rsidRPr="00137123">
        <w:rPr>
          <w:rFonts w:cs="Arial"/>
          <w:sz w:val="14"/>
        </w:rPr>
        <w:t xml:space="preserve">INEGI.- Boletín no. </w:t>
      </w:r>
      <w:r>
        <w:rPr>
          <w:rFonts w:cs="Arial"/>
          <w:sz w:val="14"/>
        </w:rPr>
        <w:t>542/18.- 8 de Noviembre 2018.</w:t>
      </w:r>
      <w:r w:rsidRPr="00137123">
        <w:rPr>
          <w:rFonts w:cs="Arial"/>
          <w:sz w:val="14"/>
        </w:rPr>
        <w:t xml:space="preserve"> </w:t>
      </w:r>
    </w:p>
  </w:footnote>
  <w:footnote w:id="15">
    <w:p w14:paraId="23D6C13A" w14:textId="77777777" w:rsidR="000B4DAA" w:rsidRDefault="000B4DAA" w:rsidP="00D55CFB">
      <w:pPr>
        <w:pStyle w:val="Textonotapie"/>
      </w:pPr>
      <w:r w:rsidRPr="00B35CB0">
        <w:rPr>
          <w:rStyle w:val="Refdenotaalpie"/>
          <w:rFonts w:cs="Arial"/>
        </w:rPr>
        <w:footnoteRef/>
      </w:r>
      <w:r w:rsidRPr="00B35CB0">
        <w:rPr>
          <w:rFonts w:cs="Arial"/>
        </w:rPr>
        <w:t xml:space="preserve"> </w:t>
      </w:r>
      <w:r w:rsidRPr="008E29FF">
        <w:rPr>
          <w:rFonts w:cs="Arial"/>
          <w:sz w:val="14"/>
        </w:rPr>
        <w:t xml:space="preserve">INEGI.- </w:t>
      </w:r>
      <w:r>
        <w:rPr>
          <w:rFonts w:cs="Arial"/>
          <w:sz w:val="14"/>
        </w:rPr>
        <w:t>Boletín no.363/18.- 15 de Agosto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56682" w14:textId="7C375DC3" w:rsidR="000B4DAA" w:rsidRDefault="000B4DAA">
    <w:pPr>
      <w:pStyle w:val="Encabezado"/>
    </w:pPr>
    <w:r>
      <w:rPr>
        <w:noProof/>
        <w:lang w:eastAsia="es-ES"/>
      </w:rPr>
      <mc:AlternateContent>
        <mc:Choice Requires="wps">
          <w:drawing>
            <wp:anchor distT="4294967293" distB="4294967293" distL="114300" distR="114300" simplePos="0" relativeHeight="251663360" behindDoc="0" locked="0" layoutInCell="1" allowOverlap="1" wp14:anchorId="731505C9" wp14:editId="42807250">
              <wp:simplePos x="0" y="0"/>
              <wp:positionH relativeFrom="column">
                <wp:posOffset>-19050</wp:posOffset>
              </wp:positionH>
              <wp:positionV relativeFrom="paragraph">
                <wp:posOffset>408940</wp:posOffset>
              </wp:positionV>
              <wp:extent cx="5760085" cy="0"/>
              <wp:effectExtent l="0" t="0" r="0" b="0"/>
              <wp:wrapNone/>
              <wp:docPr id="13"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F36B7" id="2 Conector recto"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pt,32.2pt" to="452.0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" strokecolor="black [3040]" strokeweight="1.5pt">
              <o:lock v:ext="edit" shapetype="f"/>
            </v:line>
          </w:pict>
        </mc:Fallback>
      </mc:AlternateContent>
    </w:r>
    <w:r>
      <w:rPr>
        <w:noProof/>
        <w:lang w:eastAsia="es-ES"/>
      </w:rPr>
      <mc:AlternateContent>
        <mc:Choice Requires="wps">
          <w:drawing>
            <wp:anchor distT="0" distB="0" distL="114300" distR="114300" simplePos="0" relativeHeight="251659264" behindDoc="1" locked="0" layoutInCell="1" allowOverlap="1" wp14:anchorId="7E944694" wp14:editId="2DB90462">
              <wp:simplePos x="0" y="0"/>
              <wp:positionH relativeFrom="column">
                <wp:posOffset>0</wp:posOffset>
              </wp:positionH>
              <wp:positionV relativeFrom="paragraph">
                <wp:posOffset>180340</wp:posOffset>
              </wp:positionV>
              <wp:extent cx="1476375" cy="2751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7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87102" w14:textId="77777777" w:rsidR="000B4DAA" w:rsidRPr="00D22F0D" w:rsidRDefault="000B4DAA" w:rsidP="00D22F0D">
                          <w:pPr>
                            <w:rPr>
                              <w:rFonts w:asciiTheme="majorHAnsi" w:hAnsiTheme="majorHAnsi" w:cstheme="majorHAnsi"/>
                              <w:sz w:val="22"/>
                              <w:szCs w:val="22"/>
                            </w:rPr>
                          </w:pPr>
                          <w:r w:rsidRPr="00D22F0D">
                            <w:rPr>
                              <w:rFonts w:asciiTheme="majorHAnsi" w:hAnsiTheme="majorHAnsi" w:cstheme="majorHAnsi"/>
                              <w:b/>
                              <w:sz w:val="22"/>
                              <w:szCs w:val="22"/>
                            </w:rPr>
                            <w:t>MISCELÁNEA FISCAL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14.2pt;width:116.2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rf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" filled="f" stroked="f">
              <v:textbox>
                <w:txbxContent>
                  <w:p w14:paraId="32187102" w14:textId="77777777" w:rsidR="00E61371" w:rsidRPr="00D22F0D" w:rsidRDefault="00E61371" w:rsidP="00D22F0D">
                    <w:pPr>
                      <w:rPr>
                        <w:rFonts w:asciiTheme="majorHAnsi" w:hAnsiTheme="majorHAnsi" w:cstheme="majorHAnsi"/>
                        <w:sz w:val="22"/>
                        <w:szCs w:val="22"/>
                      </w:rPr>
                    </w:pPr>
                    <w:r w:rsidRPr="00D22F0D">
                      <w:rPr>
                        <w:rFonts w:asciiTheme="majorHAnsi" w:hAnsiTheme="majorHAnsi" w:cstheme="majorHAnsi"/>
                        <w:b/>
                        <w:sz w:val="22"/>
                        <w:szCs w:val="22"/>
                      </w:rPr>
                      <w:t>MISCELÁNEA FISCAL</w:t>
                    </w:r>
                  </w:p>
                </w:txbxContent>
              </v:textbox>
            </v:shape>
          </w:pict>
        </mc:Fallback>
      </mc:AlternateContent>
    </w:r>
    <w:r>
      <w:rPr>
        <w:noProof/>
        <w:lang w:eastAsia="es-ES"/>
      </w:rPr>
      <w:drawing>
        <wp:anchor distT="0" distB="0" distL="114300" distR="114300" simplePos="0" relativeHeight="251655168" behindDoc="1" locked="0" layoutInCell="1" allowOverlap="1" wp14:anchorId="6CAE9F16" wp14:editId="4A9414B8">
          <wp:simplePos x="0" y="0"/>
          <wp:positionH relativeFrom="column">
            <wp:posOffset>4244340</wp:posOffset>
          </wp:positionH>
          <wp:positionV relativeFrom="paragraph">
            <wp:posOffset>-307340</wp:posOffset>
          </wp:positionV>
          <wp:extent cx="1304925" cy="665432"/>
          <wp:effectExtent l="0" t="0" r="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o2019.png"/>
                  <pic:cNvPicPr/>
                </pic:nvPicPr>
                <pic:blipFill>
                  <a:blip r:embed="rId1"/>
                  <a:stretch>
                    <a:fillRect/>
                  </a:stretch>
                </pic:blipFill>
                <pic:spPr>
                  <a:xfrm>
                    <a:off x="0" y="0"/>
                    <a:ext cx="1304925" cy="6654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EEE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6E8"/>
    <w:multiLevelType w:val="hybridMultilevel"/>
    <w:tmpl w:val="69EE6B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333837"/>
    <w:multiLevelType w:val="hybridMultilevel"/>
    <w:tmpl w:val="4B902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3E42C5"/>
    <w:multiLevelType w:val="hybridMultilevel"/>
    <w:tmpl w:val="15526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675522"/>
    <w:multiLevelType w:val="hybridMultilevel"/>
    <w:tmpl w:val="92F2EF5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CD10F5"/>
    <w:multiLevelType w:val="hybridMultilevel"/>
    <w:tmpl w:val="7C8A56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A50140"/>
    <w:multiLevelType w:val="hybridMultilevel"/>
    <w:tmpl w:val="403CA49A"/>
    <w:lvl w:ilvl="0" w:tplc="60A61DA2">
      <w:start w:val="4"/>
      <w:numFmt w:val="upperRoman"/>
      <w:lvlText w:val="%1."/>
      <w:lvlJc w:val="righ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E8196A"/>
    <w:multiLevelType w:val="hybridMultilevel"/>
    <w:tmpl w:val="698A6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FB67D4E"/>
    <w:multiLevelType w:val="hybridMultilevel"/>
    <w:tmpl w:val="DBC003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15513D9"/>
    <w:multiLevelType w:val="hybridMultilevel"/>
    <w:tmpl w:val="3B989C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33930A8"/>
    <w:multiLevelType w:val="hybridMultilevel"/>
    <w:tmpl w:val="898C3ED8"/>
    <w:lvl w:ilvl="0" w:tplc="421CB1E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4C50B2D"/>
    <w:multiLevelType w:val="hybridMultilevel"/>
    <w:tmpl w:val="86DE6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5A87974"/>
    <w:multiLevelType w:val="hybridMultilevel"/>
    <w:tmpl w:val="3684D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9520D8F"/>
    <w:multiLevelType w:val="hybridMultilevel"/>
    <w:tmpl w:val="77E63B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96863D0"/>
    <w:multiLevelType w:val="hybridMultilevel"/>
    <w:tmpl w:val="BB505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AF3132A"/>
    <w:multiLevelType w:val="hybridMultilevel"/>
    <w:tmpl w:val="76F401EC"/>
    <w:lvl w:ilvl="0" w:tplc="AF62F03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C5E7C50"/>
    <w:multiLevelType w:val="hybridMultilevel"/>
    <w:tmpl w:val="6CB82E60"/>
    <w:lvl w:ilvl="0" w:tplc="DB142E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D481B71"/>
    <w:multiLevelType w:val="singleLevel"/>
    <w:tmpl w:val="C6D685E8"/>
    <w:lvl w:ilvl="0">
      <w:start w:val="1"/>
      <w:numFmt w:val="bullet"/>
      <w:pStyle w:val="bullet"/>
      <w:lvlText w:val=""/>
      <w:lvlJc w:val="left"/>
      <w:pPr>
        <w:tabs>
          <w:tab w:val="num" w:pos="360"/>
        </w:tabs>
        <w:ind w:left="360" w:hanging="360"/>
      </w:pPr>
      <w:rPr>
        <w:rFonts w:ascii="Symbol" w:hAnsi="Symbol" w:hint="default"/>
      </w:rPr>
    </w:lvl>
  </w:abstractNum>
  <w:abstractNum w:abstractNumId="18">
    <w:nsid w:val="1FBC2DF1"/>
    <w:multiLevelType w:val="hybridMultilevel"/>
    <w:tmpl w:val="7A7EB6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38E2998"/>
    <w:multiLevelType w:val="hybridMultilevel"/>
    <w:tmpl w:val="5B9008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4064562"/>
    <w:multiLevelType w:val="hybridMultilevel"/>
    <w:tmpl w:val="078AA8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58F11A6"/>
    <w:multiLevelType w:val="hybridMultilevel"/>
    <w:tmpl w:val="7E8A0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5C36363"/>
    <w:multiLevelType w:val="hybridMultilevel"/>
    <w:tmpl w:val="A98AB036"/>
    <w:lvl w:ilvl="0" w:tplc="74068702">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1386985"/>
    <w:multiLevelType w:val="hybridMultilevel"/>
    <w:tmpl w:val="A01CC7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3DF4075"/>
    <w:multiLevelType w:val="hybridMultilevel"/>
    <w:tmpl w:val="010A56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CC21283"/>
    <w:multiLevelType w:val="hybridMultilevel"/>
    <w:tmpl w:val="A88ED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5603AE"/>
    <w:multiLevelType w:val="hybridMultilevel"/>
    <w:tmpl w:val="AD529D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F82205F"/>
    <w:multiLevelType w:val="hybridMultilevel"/>
    <w:tmpl w:val="08329F2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423F3C23"/>
    <w:multiLevelType w:val="hybridMultilevel"/>
    <w:tmpl w:val="A1B05EF6"/>
    <w:lvl w:ilvl="0" w:tplc="304424F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2A20FAC"/>
    <w:multiLevelType w:val="hybridMultilevel"/>
    <w:tmpl w:val="D1E49586"/>
    <w:lvl w:ilvl="0" w:tplc="9848A1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6F55E6C"/>
    <w:multiLevelType w:val="hybridMultilevel"/>
    <w:tmpl w:val="1A3A7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95204F3"/>
    <w:multiLevelType w:val="hybridMultilevel"/>
    <w:tmpl w:val="3C90C9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E513720"/>
    <w:multiLevelType w:val="hybridMultilevel"/>
    <w:tmpl w:val="0F28A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F9D7CB5"/>
    <w:multiLevelType w:val="hybridMultilevel"/>
    <w:tmpl w:val="E154DC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2DB4F84"/>
    <w:multiLevelType w:val="hybridMultilevel"/>
    <w:tmpl w:val="8794A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D05BD3"/>
    <w:multiLevelType w:val="hybridMultilevel"/>
    <w:tmpl w:val="CA721A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6622E87"/>
    <w:multiLevelType w:val="hybridMultilevel"/>
    <w:tmpl w:val="53AA0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78A2237"/>
    <w:multiLevelType w:val="hybridMultilevel"/>
    <w:tmpl w:val="B754A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AC805DE"/>
    <w:multiLevelType w:val="hybridMultilevel"/>
    <w:tmpl w:val="A2D42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3B73BEB"/>
    <w:multiLevelType w:val="hybridMultilevel"/>
    <w:tmpl w:val="E9223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A5D2F27"/>
    <w:multiLevelType w:val="hybridMultilevel"/>
    <w:tmpl w:val="7444B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3892FC0"/>
    <w:multiLevelType w:val="hybridMultilevel"/>
    <w:tmpl w:val="25349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45E7C16"/>
    <w:multiLevelType w:val="hybridMultilevel"/>
    <w:tmpl w:val="7B222B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8B1658C"/>
    <w:multiLevelType w:val="hybridMultilevel"/>
    <w:tmpl w:val="0950B5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C051246"/>
    <w:multiLevelType w:val="hybridMultilevel"/>
    <w:tmpl w:val="F07ED356"/>
    <w:lvl w:ilvl="0" w:tplc="080A0003">
      <w:start w:val="1"/>
      <w:numFmt w:val="bullet"/>
      <w:lvlText w:val="o"/>
      <w:lvlJc w:val="left"/>
      <w:pPr>
        <w:ind w:left="1004" w:hanging="360"/>
      </w:pPr>
      <w:rPr>
        <w:rFonts w:ascii="Courier New" w:hAnsi="Courier New" w:cs="Courier New" w:hint="default"/>
      </w:rPr>
    </w:lvl>
    <w:lvl w:ilvl="1" w:tplc="30BE4E54">
      <w:numFmt w:val="bullet"/>
      <w:lvlText w:val="•"/>
      <w:lvlJc w:val="left"/>
      <w:pPr>
        <w:ind w:left="1724" w:hanging="360"/>
      </w:pPr>
      <w:rPr>
        <w:rFonts w:ascii="Arial" w:eastAsia="Calibri" w:hAnsi="Arial" w:cs="Arial"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5">
    <w:nsid w:val="7C940E82"/>
    <w:multiLevelType w:val="hybridMultilevel"/>
    <w:tmpl w:val="FE6C2D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DBF5EB0"/>
    <w:multiLevelType w:val="hybridMultilevel"/>
    <w:tmpl w:val="F182938E"/>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
  </w:num>
  <w:num w:numId="3">
    <w:abstractNumId w:val="35"/>
  </w:num>
  <w:num w:numId="4">
    <w:abstractNumId w:val="43"/>
  </w:num>
  <w:num w:numId="5">
    <w:abstractNumId w:val="24"/>
  </w:num>
  <w:num w:numId="6">
    <w:abstractNumId w:val="42"/>
  </w:num>
  <w:num w:numId="7">
    <w:abstractNumId w:val="5"/>
  </w:num>
  <w:num w:numId="8">
    <w:abstractNumId w:val="8"/>
  </w:num>
  <w:num w:numId="9">
    <w:abstractNumId w:val="36"/>
  </w:num>
  <w:num w:numId="10">
    <w:abstractNumId w:val="45"/>
  </w:num>
  <w:num w:numId="11">
    <w:abstractNumId w:val="17"/>
  </w:num>
  <w:num w:numId="12">
    <w:abstractNumId w:val="25"/>
  </w:num>
  <w:num w:numId="13">
    <w:abstractNumId w:val="38"/>
  </w:num>
  <w:num w:numId="14">
    <w:abstractNumId w:val="15"/>
  </w:num>
  <w:num w:numId="15">
    <w:abstractNumId w:val="0"/>
  </w:num>
  <w:num w:numId="16">
    <w:abstractNumId w:val="19"/>
  </w:num>
  <w:num w:numId="17">
    <w:abstractNumId w:val="46"/>
  </w:num>
  <w:num w:numId="18">
    <w:abstractNumId w:val="27"/>
  </w:num>
  <w:num w:numId="19">
    <w:abstractNumId w:val="10"/>
  </w:num>
  <w:num w:numId="20">
    <w:abstractNumId w:val="28"/>
  </w:num>
  <w:num w:numId="21">
    <w:abstractNumId w:val="22"/>
  </w:num>
  <w:num w:numId="22">
    <w:abstractNumId w:val="7"/>
  </w:num>
  <w:num w:numId="23">
    <w:abstractNumId w:val="39"/>
  </w:num>
  <w:num w:numId="24">
    <w:abstractNumId w:val="34"/>
  </w:num>
  <w:num w:numId="25">
    <w:abstractNumId w:val="32"/>
  </w:num>
  <w:num w:numId="26">
    <w:abstractNumId w:val="3"/>
  </w:num>
  <w:num w:numId="27">
    <w:abstractNumId w:val="33"/>
  </w:num>
  <w:num w:numId="28">
    <w:abstractNumId w:val="18"/>
  </w:num>
  <w:num w:numId="29">
    <w:abstractNumId w:val="26"/>
  </w:num>
  <w:num w:numId="30">
    <w:abstractNumId w:val="31"/>
  </w:num>
  <w:num w:numId="31">
    <w:abstractNumId w:val="44"/>
  </w:num>
  <w:num w:numId="32">
    <w:abstractNumId w:val="9"/>
  </w:num>
  <w:num w:numId="33">
    <w:abstractNumId w:val="4"/>
  </w:num>
  <w:num w:numId="34">
    <w:abstractNumId w:val="40"/>
  </w:num>
  <w:num w:numId="35">
    <w:abstractNumId w:val="11"/>
  </w:num>
  <w:num w:numId="36">
    <w:abstractNumId w:val="12"/>
  </w:num>
  <w:num w:numId="37">
    <w:abstractNumId w:val="21"/>
  </w:num>
  <w:num w:numId="38">
    <w:abstractNumId w:val="16"/>
  </w:num>
  <w:num w:numId="39">
    <w:abstractNumId w:val="41"/>
  </w:num>
  <w:num w:numId="40">
    <w:abstractNumId w:val="2"/>
  </w:num>
  <w:num w:numId="41">
    <w:abstractNumId w:val="14"/>
  </w:num>
  <w:num w:numId="42">
    <w:abstractNumId w:val="30"/>
  </w:num>
  <w:num w:numId="43">
    <w:abstractNumId w:val="37"/>
  </w:num>
  <w:num w:numId="44">
    <w:abstractNumId w:val="29"/>
  </w:num>
  <w:num w:numId="45">
    <w:abstractNumId w:val="13"/>
  </w:num>
  <w:num w:numId="46">
    <w:abstractNumId w:val="2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8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55"/>
    <w:rsid w:val="00001250"/>
    <w:rsid w:val="000025B4"/>
    <w:rsid w:val="000027BA"/>
    <w:rsid w:val="000033C1"/>
    <w:rsid w:val="00003B50"/>
    <w:rsid w:val="00004306"/>
    <w:rsid w:val="0000488F"/>
    <w:rsid w:val="000049D8"/>
    <w:rsid w:val="00005A86"/>
    <w:rsid w:val="00005B3E"/>
    <w:rsid w:val="00007547"/>
    <w:rsid w:val="000125C6"/>
    <w:rsid w:val="000129D1"/>
    <w:rsid w:val="000134F5"/>
    <w:rsid w:val="00013A57"/>
    <w:rsid w:val="0001652D"/>
    <w:rsid w:val="00016C7D"/>
    <w:rsid w:val="0001720C"/>
    <w:rsid w:val="0001768D"/>
    <w:rsid w:val="00017FF1"/>
    <w:rsid w:val="00020010"/>
    <w:rsid w:val="000201A4"/>
    <w:rsid w:val="000238E8"/>
    <w:rsid w:val="000251AA"/>
    <w:rsid w:val="00026164"/>
    <w:rsid w:val="0002632E"/>
    <w:rsid w:val="00026517"/>
    <w:rsid w:val="00027A38"/>
    <w:rsid w:val="00032BFA"/>
    <w:rsid w:val="00032D85"/>
    <w:rsid w:val="000330F8"/>
    <w:rsid w:val="00035A37"/>
    <w:rsid w:val="000424ED"/>
    <w:rsid w:val="0004506B"/>
    <w:rsid w:val="00047CAA"/>
    <w:rsid w:val="00047DBD"/>
    <w:rsid w:val="000519B5"/>
    <w:rsid w:val="00053055"/>
    <w:rsid w:val="000545CF"/>
    <w:rsid w:val="0005541A"/>
    <w:rsid w:val="000568CD"/>
    <w:rsid w:val="00060FBE"/>
    <w:rsid w:val="000621BC"/>
    <w:rsid w:val="00064444"/>
    <w:rsid w:val="000646DC"/>
    <w:rsid w:val="000648EB"/>
    <w:rsid w:val="00064CCD"/>
    <w:rsid w:val="000667AD"/>
    <w:rsid w:val="00070BC3"/>
    <w:rsid w:val="000727F3"/>
    <w:rsid w:val="00073500"/>
    <w:rsid w:val="00073F9B"/>
    <w:rsid w:val="0007568B"/>
    <w:rsid w:val="00075E0F"/>
    <w:rsid w:val="00075E8B"/>
    <w:rsid w:val="00080DE3"/>
    <w:rsid w:val="00080F85"/>
    <w:rsid w:val="00082251"/>
    <w:rsid w:val="00082BB7"/>
    <w:rsid w:val="00084092"/>
    <w:rsid w:val="00086036"/>
    <w:rsid w:val="00086FF4"/>
    <w:rsid w:val="0008744E"/>
    <w:rsid w:val="00087ED2"/>
    <w:rsid w:val="00090207"/>
    <w:rsid w:val="0009197A"/>
    <w:rsid w:val="00092B4E"/>
    <w:rsid w:val="00092B6B"/>
    <w:rsid w:val="00092C4C"/>
    <w:rsid w:val="000934F3"/>
    <w:rsid w:val="00093954"/>
    <w:rsid w:val="00093C1C"/>
    <w:rsid w:val="000955A7"/>
    <w:rsid w:val="00097A7B"/>
    <w:rsid w:val="000A0FCB"/>
    <w:rsid w:val="000A18BF"/>
    <w:rsid w:val="000A305B"/>
    <w:rsid w:val="000A5BFC"/>
    <w:rsid w:val="000A5CE8"/>
    <w:rsid w:val="000A676D"/>
    <w:rsid w:val="000B0888"/>
    <w:rsid w:val="000B0950"/>
    <w:rsid w:val="000B0EE1"/>
    <w:rsid w:val="000B173C"/>
    <w:rsid w:val="000B4BF8"/>
    <w:rsid w:val="000B4DAA"/>
    <w:rsid w:val="000B5302"/>
    <w:rsid w:val="000B6463"/>
    <w:rsid w:val="000B67FB"/>
    <w:rsid w:val="000B6C51"/>
    <w:rsid w:val="000B7493"/>
    <w:rsid w:val="000B7572"/>
    <w:rsid w:val="000B7FCD"/>
    <w:rsid w:val="000C0368"/>
    <w:rsid w:val="000C1C8C"/>
    <w:rsid w:val="000C592E"/>
    <w:rsid w:val="000C6463"/>
    <w:rsid w:val="000C6D5B"/>
    <w:rsid w:val="000C6E33"/>
    <w:rsid w:val="000C7725"/>
    <w:rsid w:val="000C794B"/>
    <w:rsid w:val="000C7B55"/>
    <w:rsid w:val="000D0745"/>
    <w:rsid w:val="000D1995"/>
    <w:rsid w:val="000D3343"/>
    <w:rsid w:val="000D3CEE"/>
    <w:rsid w:val="000D42BF"/>
    <w:rsid w:val="000D4451"/>
    <w:rsid w:val="000D4606"/>
    <w:rsid w:val="000D4890"/>
    <w:rsid w:val="000D6B84"/>
    <w:rsid w:val="000D7304"/>
    <w:rsid w:val="000D7809"/>
    <w:rsid w:val="000E0FDB"/>
    <w:rsid w:val="000E1ED8"/>
    <w:rsid w:val="000E2721"/>
    <w:rsid w:val="000E508A"/>
    <w:rsid w:val="000E5F5B"/>
    <w:rsid w:val="000E6AF3"/>
    <w:rsid w:val="000E6DB9"/>
    <w:rsid w:val="000E7956"/>
    <w:rsid w:val="000F0341"/>
    <w:rsid w:val="000F1116"/>
    <w:rsid w:val="000F1FDC"/>
    <w:rsid w:val="000F220A"/>
    <w:rsid w:val="000F511D"/>
    <w:rsid w:val="000F53DA"/>
    <w:rsid w:val="000F5D17"/>
    <w:rsid w:val="000F687E"/>
    <w:rsid w:val="001006AD"/>
    <w:rsid w:val="00104032"/>
    <w:rsid w:val="001041FE"/>
    <w:rsid w:val="001044FA"/>
    <w:rsid w:val="00104A09"/>
    <w:rsid w:val="00106030"/>
    <w:rsid w:val="0011172B"/>
    <w:rsid w:val="001133F6"/>
    <w:rsid w:val="0011556D"/>
    <w:rsid w:val="00115F49"/>
    <w:rsid w:val="0011661D"/>
    <w:rsid w:val="00120325"/>
    <w:rsid w:val="0012054A"/>
    <w:rsid w:val="00120B93"/>
    <w:rsid w:val="00122008"/>
    <w:rsid w:val="00122258"/>
    <w:rsid w:val="00122EAB"/>
    <w:rsid w:val="001231FA"/>
    <w:rsid w:val="0012328E"/>
    <w:rsid w:val="0012428F"/>
    <w:rsid w:val="00125D4A"/>
    <w:rsid w:val="001265BD"/>
    <w:rsid w:val="00130D99"/>
    <w:rsid w:val="001323C9"/>
    <w:rsid w:val="0013338A"/>
    <w:rsid w:val="00136422"/>
    <w:rsid w:val="00137545"/>
    <w:rsid w:val="001379D9"/>
    <w:rsid w:val="00137F92"/>
    <w:rsid w:val="00137FE4"/>
    <w:rsid w:val="0014075D"/>
    <w:rsid w:val="00143AE5"/>
    <w:rsid w:val="00144317"/>
    <w:rsid w:val="00146415"/>
    <w:rsid w:val="0014671D"/>
    <w:rsid w:val="0015075A"/>
    <w:rsid w:val="0015077C"/>
    <w:rsid w:val="00150E5A"/>
    <w:rsid w:val="001519F9"/>
    <w:rsid w:val="0015432C"/>
    <w:rsid w:val="00155186"/>
    <w:rsid w:val="0015545C"/>
    <w:rsid w:val="001560F2"/>
    <w:rsid w:val="00157B9F"/>
    <w:rsid w:val="0016091F"/>
    <w:rsid w:val="001610F5"/>
    <w:rsid w:val="001638C2"/>
    <w:rsid w:val="00163C38"/>
    <w:rsid w:val="0016579A"/>
    <w:rsid w:val="00165BB3"/>
    <w:rsid w:val="00166928"/>
    <w:rsid w:val="001705EA"/>
    <w:rsid w:val="00171923"/>
    <w:rsid w:val="00172250"/>
    <w:rsid w:val="00172B03"/>
    <w:rsid w:val="00176EC7"/>
    <w:rsid w:val="0017730F"/>
    <w:rsid w:val="0018045A"/>
    <w:rsid w:val="001811BD"/>
    <w:rsid w:val="0018146B"/>
    <w:rsid w:val="001819DB"/>
    <w:rsid w:val="00181DD8"/>
    <w:rsid w:val="00182AED"/>
    <w:rsid w:val="00182D7A"/>
    <w:rsid w:val="001838D7"/>
    <w:rsid w:val="001852D9"/>
    <w:rsid w:val="00186B5E"/>
    <w:rsid w:val="001875DD"/>
    <w:rsid w:val="00187AE9"/>
    <w:rsid w:val="00187BB0"/>
    <w:rsid w:val="00190AC6"/>
    <w:rsid w:val="00192E66"/>
    <w:rsid w:val="00193944"/>
    <w:rsid w:val="00195218"/>
    <w:rsid w:val="0019653A"/>
    <w:rsid w:val="001A076B"/>
    <w:rsid w:val="001A2600"/>
    <w:rsid w:val="001A3715"/>
    <w:rsid w:val="001A6DF8"/>
    <w:rsid w:val="001A7FB7"/>
    <w:rsid w:val="001B1FEC"/>
    <w:rsid w:val="001B360D"/>
    <w:rsid w:val="001B3F41"/>
    <w:rsid w:val="001B401F"/>
    <w:rsid w:val="001B5D59"/>
    <w:rsid w:val="001B6465"/>
    <w:rsid w:val="001B7199"/>
    <w:rsid w:val="001C04B7"/>
    <w:rsid w:val="001C08EB"/>
    <w:rsid w:val="001C2065"/>
    <w:rsid w:val="001C2CF5"/>
    <w:rsid w:val="001C30CF"/>
    <w:rsid w:val="001C4A6A"/>
    <w:rsid w:val="001C4F71"/>
    <w:rsid w:val="001C5BB3"/>
    <w:rsid w:val="001D0CCC"/>
    <w:rsid w:val="001D16CB"/>
    <w:rsid w:val="001D418D"/>
    <w:rsid w:val="001D439D"/>
    <w:rsid w:val="001D5B02"/>
    <w:rsid w:val="001D5D37"/>
    <w:rsid w:val="001E6010"/>
    <w:rsid w:val="001E64F8"/>
    <w:rsid w:val="001F0D5F"/>
    <w:rsid w:val="001F1CC2"/>
    <w:rsid w:val="001F57EA"/>
    <w:rsid w:val="001F5890"/>
    <w:rsid w:val="001F5AF6"/>
    <w:rsid w:val="001F5BB3"/>
    <w:rsid w:val="001F6B87"/>
    <w:rsid w:val="001F74F8"/>
    <w:rsid w:val="00200223"/>
    <w:rsid w:val="00201405"/>
    <w:rsid w:val="00203C73"/>
    <w:rsid w:val="00206005"/>
    <w:rsid w:val="002075A0"/>
    <w:rsid w:val="00207D29"/>
    <w:rsid w:val="00212201"/>
    <w:rsid w:val="002132AC"/>
    <w:rsid w:val="00215807"/>
    <w:rsid w:val="0021662C"/>
    <w:rsid w:val="00220083"/>
    <w:rsid w:val="00220F68"/>
    <w:rsid w:val="00221A32"/>
    <w:rsid w:val="00223A70"/>
    <w:rsid w:val="0022442E"/>
    <w:rsid w:val="002245C9"/>
    <w:rsid w:val="00225B4D"/>
    <w:rsid w:val="00226AC5"/>
    <w:rsid w:val="0023150A"/>
    <w:rsid w:val="00231890"/>
    <w:rsid w:val="00231E5A"/>
    <w:rsid w:val="002322EB"/>
    <w:rsid w:val="002344EF"/>
    <w:rsid w:val="00236D71"/>
    <w:rsid w:val="002405F3"/>
    <w:rsid w:val="00240F3E"/>
    <w:rsid w:val="00241BCD"/>
    <w:rsid w:val="00243A72"/>
    <w:rsid w:val="00243C90"/>
    <w:rsid w:val="00244917"/>
    <w:rsid w:val="00244C0B"/>
    <w:rsid w:val="00245F5D"/>
    <w:rsid w:val="0024650A"/>
    <w:rsid w:val="0025112F"/>
    <w:rsid w:val="00251410"/>
    <w:rsid w:val="00252FD1"/>
    <w:rsid w:val="0025359F"/>
    <w:rsid w:val="002547C9"/>
    <w:rsid w:val="00254DE3"/>
    <w:rsid w:val="002560FA"/>
    <w:rsid w:val="0026105C"/>
    <w:rsid w:val="002632BE"/>
    <w:rsid w:val="002640EF"/>
    <w:rsid w:val="0026631A"/>
    <w:rsid w:val="0026694D"/>
    <w:rsid w:val="00267ABC"/>
    <w:rsid w:val="00270A7F"/>
    <w:rsid w:val="00270CBB"/>
    <w:rsid w:val="0027136A"/>
    <w:rsid w:val="00271CC9"/>
    <w:rsid w:val="00271E82"/>
    <w:rsid w:val="0027396B"/>
    <w:rsid w:val="00274C0B"/>
    <w:rsid w:val="00275465"/>
    <w:rsid w:val="00276558"/>
    <w:rsid w:val="00277212"/>
    <w:rsid w:val="002774D3"/>
    <w:rsid w:val="00277ABC"/>
    <w:rsid w:val="00280604"/>
    <w:rsid w:val="00280D68"/>
    <w:rsid w:val="00281443"/>
    <w:rsid w:val="0028236D"/>
    <w:rsid w:val="002826D0"/>
    <w:rsid w:val="00282C8A"/>
    <w:rsid w:val="00282F08"/>
    <w:rsid w:val="00283626"/>
    <w:rsid w:val="00284E87"/>
    <w:rsid w:val="00284FDE"/>
    <w:rsid w:val="00286817"/>
    <w:rsid w:val="00286C51"/>
    <w:rsid w:val="002871A8"/>
    <w:rsid w:val="0028720D"/>
    <w:rsid w:val="00287976"/>
    <w:rsid w:val="00287DE1"/>
    <w:rsid w:val="002901B9"/>
    <w:rsid w:val="002908DC"/>
    <w:rsid w:val="00290A53"/>
    <w:rsid w:val="00291D00"/>
    <w:rsid w:val="002947AA"/>
    <w:rsid w:val="00294A93"/>
    <w:rsid w:val="00294B6C"/>
    <w:rsid w:val="00295D12"/>
    <w:rsid w:val="00296774"/>
    <w:rsid w:val="002967F9"/>
    <w:rsid w:val="00296BD6"/>
    <w:rsid w:val="0029751E"/>
    <w:rsid w:val="002A0FF7"/>
    <w:rsid w:val="002A1E88"/>
    <w:rsid w:val="002A3FC1"/>
    <w:rsid w:val="002A5A0F"/>
    <w:rsid w:val="002A5B05"/>
    <w:rsid w:val="002A6639"/>
    <w:rsid w:val="002A68A0"/>
    <w:rsid w:val="002B1DDE"/>
    <w:rsid w:val="002B2C6F"/>
    <w:rsid w:val="002B3065"/>
    <w:rsid w:val="002B3207"/>
    <w:rsid w:val="002C0234"/>
    <w:rsid w:val="002C25EF"/>
    <w:rsid w:val="002C2C0D"/>
    <w:rsid w:val="002C36E3"/>
    <w:rsid w:val="002C53DA"/>
    <w:rsid w:val="002C5D43"/>
    <w:rsid w:val="002C6EA5"/>
    <w:rsid w:val="002C6F90"/>
    <w:rsid w:val="002C74A0"/>
    <w:rsid w:val="002C79A7"/>
    <w:rsid w:val="002D0E7C"/>
    <w:rsid w:val="002D2232"/>
    <w:rsid w:val="002D2E58"/>
    <w:rsid w:val="002D3910"/>
    <w:rsid w:val="002D3EE4"/>
    <w:rsid w:val="002D50FD"/>
    <w:rsid w:val="002D5718"/>
    <w:rsid w:val="002D7292"/>
    <w:rsid w:val="002D7C41"/>
    <w:rsid w:val="002D7F5E"/>
    <w:rsid w:val="002E14D9"/>
    <w:rsid w:val="002E2C0F"/>
    <w:rsid w:val="002E352D"/>
    <w:rsid w:val="002E788A"/>
    <w:rsid w:val="002E7D6F"/>
    <w:rsid w:val="002F2B6F"/>
    <w:rsid w:val="002F2D04"/>
    <w:rsid w:val="002F6BEC"/>
    <w:rsid w:val="002F7284"/>
    <w:rsid w:val="0030034D"/>
    <w:rsid w:val="003020CD"/>
    <w:rsid w:val="0030687F"/>
    <w:rsid w:val="00307F71"/>
    <w:rsid w:val="00311777"/>
    <w:rsid w:val="00311FAD"/>
    <w:rsid w:val="00312A54"/>
    <w:rsid w:val="0031376E"/>
    <w:rsid w:val="00313EF8"/>
    <w:rsid w:val="00322417"/>
    <w:rsid w:val="003234FD"/>
    <w:rsid w:val="00324720"/>
    <w:rsid w:val="0032477B"/>
    <w:rsid w:val="00325FAE"/>
    <w:rsid w:val="0033064E"/>
    <w:rsid w:val="0033139C"/>
    <w:rsid w:val="003324C3"/>
    <w:rsid w:val="003334F5"/>
    <w:rsid w:val="003371AD"/>
    <w:rsid w:val="003371F8"/>
    <w:rsid w:val="00337467"/>
    <w:rsid w:val="003407C5"/>
    <w:rsid w:val="00341423"/>
    <w:rsid w:val="00341891"/>
    <w:rsid w:val="00343BA6"/>
    <w:rsid w:val="0034449E"/>
    <w:rsid w:val="00344553"/>
    <w:rsid w:val="00344DFA"/>
    <w:rsid w:val="0034596B"/>
    <w:rsid w:val="00345A75"/>
    <w:rsid w:val="00345DFF"/>
    <w:rsid w:val="00346870"/>
    <w:rsid w:val="003468FA"/>
    <w:rsid w:val="00353B82"/>
    <w:rsid w:val="00354CD9"/>
    <w:rsid w:val="00355F57"/>
    <w:rsid w:val="00357CDE"/>
    <w:rsid w:val="00360527"/>
    <w:rsid w:val="00360665"/>
    <w:rsid w:val="00360800"/>
    <w:rsid w:val="0036150C"/>
    <w:rsid w:val="00361CB7"/>
    <w:rsid w:val="0036251A"/>
    <w:rsid w:val="0036261D"/>
    <w:rsid w:val="00363010"/>
    <w:rsid w:val="0036555C"/>
    <w:rsid w:val="00365945"/>
    <w:rsid w:val="00366049"/>
    <w:rsid w:val="00366735"/>
    <w:rsid w:val="00366D35"/>
    <w:rsid w:val="00370225"/>
    <w:rsid w:val="00370F21"/>
    <w:rsid w:val="00373986"/>
    <w:rsid w:val="003746E9"/>
    <w:rsid w:val="0037677C"/>
    <w:rsid w:val="00376EB0"/>
    <w:rsid w:val="00377524"/>
    <w:rsid w:val="00380A66"/>
    <w:rsid w:val="00380A9E"/>
    <w:rsid w:val="003815F0"/>
    <w:rsid w:val="00381CCD"/>
    <w:rsid w:val="003856AD"/>
    <w:rsid w:val="00386C28"/>
    <w:rsid w:val="0038782D"/>
    <w:rsid w:val="003917CC"/>
    <w:rsid w:val="003950E0"/>
    <w:rsid w:val="00395406"/>
    <w:rsid w:val="00395778"/>
    <w:rsid w:val="0039656F"/>
    <w:rsid w:val="00396F89"/>
    <w:rsid w:val="003A0E6C"/>
    <w:rsid w:val="003A2DD4"/>
    <w:rsid w:val="003A389A"/>
    <w:rsid w:val="003A3B69"/>
    <w:rsid w:val="003A6B9F"/>
    <w:rsid w:val="003A7F17"/>
    <w:rsid w:val="003B2F82"/>
    <w:rsid w:val="003B307D"/>
    <w:rsid w:val="003B3095"/>
    <w:rsid w:val="003B4125"/>
    <w:rsid w:val="003B4E0D"/>
    <w:rsid w:val="003C0D8E"/>
    <w:rsid w:val="003C0E9A"/>
    <w:rsid w:val="003C123D"/>
    <w:rsid w:val="003C3EA2"/>
    <w:rsid w:val="003C642D"/>
    <w:rsid w:val="003C729C"/>
    <w:rsid w:val="003D195F"/>
    <w:rsid w:val="003D274E"/>
    <w:rsid w:val="003D2C2D"/>
    <w:rsid w:val="003D48EF"/>
    <w:rsid w:val="003D54C8"/>
    <w:rsid w:val="003D54F8"/>
    <w:rsid w:val="003D7743"/>
    <w:rsid w:val="003E3232"/>
    <w:rsid w:val="003E41CE"/>
    <w:rsid w:val="003E45D4"/>
    <w:rsid w:val="003E4C5F"/>
    <w:rsid w:val="003E5446"/>
    <w:rsid w:val="003E5ECA"/>
    <w:rsid w:val="003E7275"/>
    <w:rsid w:val="003F0022"/>
    <w:rsid w:val="003F100F"/>
    <w:rsid w:val="003F2AC4"/>
    <w:rsid w:val="003F31D8"/>
    <w:rsid w:val="003F4111"/>
    <w:rsid w:val="003F4B2B"/>
    <w:rsid w:val="003F4D59"/>
    <w:rsid w:val="003F5595"/>
    <w:rsid w:val="004020A4"/>
    <w:rsid w:val="004026AC"/>
    <w:rsid w:val="00404358"/>
    <w:rsid w:val="004046D6"/>
    <w:rsid w:val="00405672"/>
    <w:rsid w:val="00405777"/>
    <w:rsid w:val="00407A69"/>
    <w:rsid w:val="00410602"/>
    <w:rsid w:val="004115AA"/>
    <w:rsid w:val="00411E95"/>
    <w:rsid w:val="00414146"/>
    <w:rsid w:val="004148CC"/>
    <w:rsid w:val="004160C9"/>
    <w:rsid w:val="00417A41"/>
    <w:rsid w:val="00426180"/>
    <w:rsid w:val="004278BB"/>
    <w:rsid w:val="00431D2F"/>
    <w:rsid w:val="004323A5"/>
    <w:rsid w:val="0043366E"/>
    <w:rsid w:val="00435020"/>
    <w:rsid w:val="004354F6"/>
    <w:rsid w:val="00436611"/>
    <w:rsid w:val="00437F3D"/>
    <w:rsid w:val="004409C2"/>
    <w:rsid w:val="00440F79"/>
    <w:rsid w:val="0044105A"/>
    <w:rsid w:val="00441A20"/>
    <w:rsid w:val="0044238E"/>
    <w:rsid w:val="00444762"/>
    <w:rsid w:val="0044584D"/>
    <w:rsid w:val="0045034F"/>
    <w:rsid w:val="004506E7"/>
    <w:rsid w:val="00451BED"/>
    <w:rsid w:val="0045232A"/>
    <w:rsid w:val="00453DAD"/>
    <w:rsid w:val="0045460F"/>
    <w:rsid w:val="0045501F"/>
    <w:rsid w:val="00455DAF"/>
    <w:rsid w:val="004567D2"/>
    <w:rsid w:val="00456A22"/>
    <w:rsid w:val="00456FD1"/>
    <w:rsid w:val="00457A89"/>
    <w:rsid w:val="00460AEF"/>
    <w:rsid w:val="00461B23"/>
    <w:rsid w:val="004631F4"/>
    <w:rsid w:val="004642A7"/>
    <w:rsid w:val="00467CAC"/>
    <w:rsid w:val="00470495"/>
    <w:rsid w:val="00470686"/>
    <w:rsid w:val="00470F0D"/>
    <w:rsid w:val="004715A5"/>
    <w:rsid w:val="00472C6D"/>
    <w:rsid w:val="00473A39"/>
    <w:rsid w:val="0047421D"/>
    <w:rsid w:val="0047491C"/>
    <w:rsid w:val="00476018"/>
    <w:rsid w:val="004773FA"/>
    <w:rsid w:val="00477B60"/>
    <w:rsid w:val="00480147"/>
    <w:rsid w:val="0048078C"/>
    <w:rsid w:val="00480D89"/>
    <w:rsid w:val="00482085"/>
    <w:rsid w:val="00482321"/>
    <w:rsid w:val="004828B3"/>
    <w:rsid w:val="00484C29"/>
    <w:rsid w:val="004856A6"/>
    <w:rsid w:val="00485B51"/>
    <w:rsid w:val="00485BC1"/>
    <w:rsid w:val="004874CA"/>
    <w:rsid w:val="004878DE"/>
    <w:rsid w:val="00492014"/>
    <w:rsid w:val="00493795"/>
    <w:rsid w:val="00493806"/>
    <w:rsid w:val="00494DE9"/>
    <w:rsid w:val="00495D34"/>
    <w:rsid w:val="00495E73"/>
    <w:rsid w:val="00496010"/>
    <w:rsid w:val="00496D0D"/>
    <w:rsid w:val="004A1E49"/>
    <w:rsid w:val="004A2810"/>
    <w:rsid w:val="004A2EBF"/>
    <w:rsid w:val="004A4008"/>
    <w:rsid w:val="004A432B"/>
    <w:rsid w:val="004A4433"/>
    <w:rsid w:val="004A449A"/>
    <w:rsid w:val="004A45F6"/>
    <w:rsid w:val="004A45FA"/>
    <w:rsid w:val="004A4F37"/>
    <w:rsid w:val="004A59EC"/>
    <w:rsid w:val="004B013B"/>
    <w:rsid w:val="004B4776"/>
    <w:rsid w:val="004B54BA"/>
    <w:rsid w:val="004B57DA"/>
    <w:rsid w:val="004B638B"/>
    <w:rsid w:val="004C05BE"/>
    <w:rsid w:val="004C16B3"/>
    <w:rsid w:val="004C1B5F"/>
    <w:rsid w:val="004C2425"/>
    <w:rsid w:val="004C25BB"/>
    <w:rsid w:val="004C38B0"/>
    <w:rsid w:val="004C3DB3"/>
    <w:rsid w:val="004C4EF8"/>
    <w:rsid w:val="004D40C8"/>
    <w:rsid w:val="004D4261"/>
    <w:rsid w:val="004D6A67"/>
    <w:rsid w:val="004D79C9"/>
    <w:rsid w:val="004D7C9D"/>
    <w:rsid w:val="004E1E29"/>
    <w:rsid w:val="004E2AC8"/>
    <w:rsid w:val="004E2E26"/>
    <w:rsid w:val="004E2F06"/>
    <w:rsid w:val="004E4BD6"/>
    <w:rsid w:val="004F1261"/>
    <w:rsid w:val="004F23DF"/>
    <w:rsid w:val="004F2F74"/>
    <w:rsid w:val="004F2FD2"/>
    <w:rsid w:val="004F345B"/>
    <w:rsid w:val="004F35E3"/>
    <w:rsid w:val="004F53DF"/>
    <w:rsid w:val="004F5F2F"/>
    <w:rsid w:val="004F6753"/>
    <w:rsid w:val="004F7CD1"/>
    <w:rsid w:val="0050098F"/>
    <w:rsid w:val="00500C9D"/>
    <w:rsid w:val="0050163E"/>
    <w:rsid w:val="00501CC2"/>
    <w:rsid w:val="005024C7"/>
    <w:rsid w:val="00504A35"/>
    <w:rsid w:val="00504AE9"/>
    <w:rsid w:val="00506108"/>
    <w:rsid w:val="00506C17"/>
    <w:rsid w:val="00507D46"/>
    <w:rsid w:val="0051002F"/>
    <w:rsid w:val="00510302"/>
    <w:rsid w:val="005105F9"/>
    <w:rsid w:val="00511607"/>
    <w:rsid w:val="00512A6E"/>
    <w:rsid w:val="00514718"/>
    <w:rsid w:val="00514816"/>
    <w:rsid w:val="005149A9"/>
    <w:rsid w:val="0051693C"/>
    <w:rsid w:val="00516AE6"/>
    <w:rsid w:val="00517AA1"/>
    <w:rsid w:val="00517F88"/>
    <w:rsid w:val="00524C32"/>
    <w:rsid w:val="00525203"/>
    <w:rsid w:val="00526BDA"/>
    <w:rsid w:val="00531269"/>
    <w:rsid w:val="00531778"/>
    <w:rsid w:val="00532F50"/>
    <w:rsid w:val="005336BD"/>
    <w:rsid w:val="005348D6"/>
    <w:rsid w:val="00534F3D"/>
    <w:rsid w:val="0053680D"/>
    <w:rsid w:val="0054079A"/>
    <w:rsid w:val="00540AA5"/>
    <w:rsid w:val="0054227E"/>
    <w:rsid w:val="00542948"/>
    <w:rsid w:val="00542C76"/>
    <w:rsid w:val="00544270"/>
    <w:rsid w:val="005443BF"/>
    <w:rsid w:val="0054698C"/>
    <w:rsid w:val="005512DE"/>
    <w:rsid w:val="005519D0"/>
    <w:rsid w:val="005522BF"/>
    <w:rsid w:val="00553EF9"/>
    <w:rsid w:val="00554CB4"/>
    <w:rsid w:val="00554CE3"/>
    <w:rsid w:val="00556038"/>
    <w:rsid w:val="0055751E"/>
    <w:rsid w:val="0056142E"/>
    <w:rsid w:val="00564344"/>
    <w:rsid w:val="00564934"/>
    <w:rsid w:val="00564F68"/>
    <w:rsid w:val="005650DD"/>
    <w:rsid w:val="00566FFE"/>
    <w:rsid w:val="00571D2A"/>
    <w:rsid w:val="00572521"/>
    <w:rsid w:val="00574050"/>
    <w:rsid w:val="00574768"/>
    <w:rsid w:val="00575BBD"/>
    <w:rsid w:val="005765A5"/>
    <w:rsid w:val="005766ED"/>
    <w:rsid w:val="005776A0"/>
    <w:rsid w:val="00577C98"/>
    <w:rsid w:val="00581BB9"/>
    <w:rsid w:val="005825FE"/>
    <w:rsid w:val="00583399"/>
    <w:rsid w:val="005835E3"/>
    <w:rsid w:val="00583CA9"/>
    <w:rsid w:val="00585E49"/>
    <w:rsid w:val="00586030"/>
    <w:rsid w:val="005876A1"/>
    <w:rsid w:val="005901C2"/>
    <w:rsid w:val="00592EED"/>
    <w:rsid w:val="005932B1"/>
    <w:rsid w:val="00593813"/>
    <w:rsid w:val="00593AB6"/>
    <w:rsid w:val="00594277"/>
    <w:rsid w:val="005956B9"/>
    <w:rsid w:val="005A0213"/>
    <w:rsid w:val="005A38D1"/>
    <w:rsid w:val="005A3D06"/>
    <w:rsid w:val="005A4B18"/>
    <w:rsid w:val="005A4F3D"/>
    <w:rsid w:val="005A5874"/>
    <w:rsid w:val="005A7B66"/>
    <w:rsid w:val="005B039E"/>
    <w:rsid w:val="005B0E43"/>
    <w:rsid w:val="005B16B1"/>
    <w:rsid w:val="005B25CB"/>
    <w:rsid w:val="005B2B63"/>
    <w:rsid w:val="005B31BF"/>
    <w:rsid w:val="005B3F5C"/>
    <w:rsid w:val="005B3FBD"/>
    <w:rsid w:val="005B4C23"/>
    <w:rsid w:val="005B5015"/>
    <w:rsid w:val="005B525D"/>
    <w:rsid w:val="005B5E5B"/>
    <w:rsid w:val="005B6367"/>
    <w:rsid w:val="005C044A"/>
    <w:rsid w:val="005C1D0C"/>
    <w:rsid w:val="005C21E9"/>
    <w:rsid w:val="005C4322"/>
    <w:rsid w:val="005C59D1"/>
    <w:rsid w:val="005D0257"/>
    <w:rsid w:val="005D1717"/>
    <w:rsid w:val="005D25F2"/>
    <w:rsid w:val="005D2FB6"/>
    <w:rsid w:val="005D4179"/>
    <w:rsid w:val="005D43C3"/>
    <w:rsid w:val="005D4837"/>
    <w:rsid w:val="005D557C"/>
    <w:rsid w:val="005D6F3E"/>
    <w:rsid w:val="005D747D"/>
    <w:rsid w:val="005D78C4"/>
    <w:rsid w:val="005E0164"/>
    <w:rsid w:val="005E0631"/>
    <w:rsid w:val="005E1105"/>
    <w:rsid w:val="005E18DF"/>
    <w:rsid w:val="005E1A0E"/>
    <w:rsid w:val="005E1FB7"/>
    <w:rsid w:val="005E3AF8"/>
    <w:rsid w:val="005E4411"/>
    <w:rsid w:val="005E525B"/>
    <w:rsid w:val="005E5676"/>
    <w:rsid w:val="005E6102"/>
    <w:rsid w:val="005E6420"/>
    <w:rsid w:val="005F0412"/>
    <w:rsid w:val="005F1431"/>
    <w:rsid w:val="005F14A3"/>
    <w:rsid w:val="005F203F"/>
    <w:rsid w:val="005F3073"/>
    <w:rsid w:val="005F4951"/>
    <w:rsid w:val="005F7931"/>
    <w:rsid w:val="00600370"/>
    <w:rsid w:val="00603B6C"/>
    <w:rsid w:val="00607A6C"/>
    <w:rsid w:val="00610B26"/>
    <w:rsid w:val="006127A0"/>
    <w:rsid w:val="00612A9C"/>
    <w:rsid w:val="00613788"/>
    <w:rsid w:val="00613B11"/>
    <w:rsid w:val="00613D96"/>
    <w:rsid w:val="00617D37"/>
    <w:rsid w:val="0062205B"/>
    <w:rsid w:val="00622AA5"/>
    <w:rsid w:val="00624157"/>
    <w:rsid w:val="006260FD"/>
    <w:rsid w:val="00626973"/>
    <w:rsid w:val="0063006C"/>
    <w:rsid w:val="00630C1E"/>
    <w:rsid w:val="0063119D"/>
    <w:rsid w:val="00631990"/>
    <w:rsid w:val="00631AC1"/>
    <w:rsid w:val="00631DA8"/>
    <w:rsid w:val="00633CB1"/>
    <w:rsid w:val="00633D3D"/>
    <w:rsid w:val="00635BEE"/>
    <w:rsid w:val="00636083"/>
    <w:rsid w:val="006365D0"/>
    <w:rsid w:val="00637806"/>
    <w:rsid w:val="0064158D"/>
    <w:rsid w:val="0064335D"/>
    <w:rsid w:val="00646463"/>
    <w:rsid w:val="0064685A"/>
    <w:rsid w:val="00647241"/>
    <w:rsid w:val="00652580"/>
    <w:rsid w:val="006533F8"/>
    <w:rsid w:val="00653647"/>
    <w:rsid w:val="006547AC"/>
    <w:rsid w:val="00654ACE"/>
    <w:rsid w:val="00654F73"/>
    <w:rsid w:val="00655848"/>
    <w:rsid w:val="006566C5"/>
    <w:rsid w:val="006566E4"/>
    <w:rsid w:val="00656E9E"/>
    <w:rsid w:val="006614B6"/>
    <w:rsid w:val="00661E00"/>
    <w:rsid w:val="00663685"/>
    <w:rsid w:val="006637E2"/>
    <w:rsid w:val="00664C4B"/>
    <w:rsid w:val="00664D8A"/>
    <w:rsid w:val="00664E27"/>
    <w:rsid w:val="00670541"/>
    <w:rsid w:val="006708B9"/>
    <w:rsid w:val="00670AA9"/>
    <w:rsid w:val="00670CAE"/>
    <w:rsid w:val="006714C5"/>
    <w:rsid w:val="006724CD"/>
    <w:rsid w:val="006726E8"/>
    <w:rsid w:val="006737E8"/>
    <w:rsid w:val="0067617E"/>
    <w:rsid w:val="00676B6D"/>
    <w:rsid w:val="006778C3"/>
    <w:rsid w:val="00680D5F"/>
    <w:rsid w:val="00681425"/>
    <w:rsid w:val="0068394A"/>
    <w:rsid w:val="00683E55"/>
    <w:rsid w:val="00686894"/>
    <w:rsid w:val="00686B5F"/>
    <w:rsid w:val="0068720D"/>
    <w:rsid w:val="00687E64"/>
    <w:rsid w:val="00693BE8"/>
    <w:rsid w:val="0069447E"/>
    <w:rsid w:val="00694BF0"/>
    <w:rsid w:val="00695497"/>
    <w:rsid w:val="00695B4F"/>
    <w:rsid w:val="00696587"/>
    <w:rsid w:val="0069677C"/>
    <w:rsid w:val="00696A67"/>
    <w:rsid w:val="006A0D3F"/>
    <w:rsid w:val="006A1B15"/>
    <w:rsid w:val="006A2953"/>
    <w:rsid w:val="006A4504"/>
    <w:rsid w:val="006A7E8D"/>
    <w:rsid w:val="006B2169"/>
    <w:rsid w:val="006B2481"/>
    <w:rsid w:val="006B4B7D"/>
    <w:rsid w:val="006B56ED"/>
    <w:rsid w:val="006B6110"/>
    <w:rsid w:val="006C1B85"/>
    <w:rsid w:val="006C1F01"/>
    <w:rsid w:val="006C4605"/>
    <w:rsid w:val="006C60E0"/>
    <w:rsid w:val="006C6A6D"/>
    <w:rsid w:val="006C797D"/>
    <w:rsid w:val="006C7AA3"/>
    <w:rsid w:val="006D1440"/>
    <w:rsid w:val="006D35B7"/>
    <w:rsid w:val="006D5106"/>
    <w:rsid w:val="006D54FA"/>
    <w:rsid w:val="006D5D6F"/>
    <w:rsid w:val="006D7004"/>
    <w:rsid w:val="006D78EF"/>
    <w:rsid w:val="006E3062"/>
    <w:rsid w:val="006E5B0D"/>
    <w:rsid w:val="006E777E"/>
    <w:rsid w:val="006F2266"/>
    <w:rsid w:val="006F3361"/>
    <w:rsid w:val="006F338D"/>
    <w:rsid w:val="006F4807"/>
    <w:rsid w:val="006F5A2A"/>
    <w:rsid w:val="006F7E15"/>
    <w:rsid w:val="006F7EE0"/>
    <w:rsid w:val="006F7F1F"/>
    <w:rsid w:val="00700D62"/>
    <w:rsid w:val="0070358B"/>
    <w:rsid w:val="007053AE"/>
    <w:rsid w:val="00706D71"/>
    <w:rsid w:val="00706E51"/>
    <w:rsid w:val="0070739D"/>
    <w:rsid w:val="007107A7"/>
    <w:rsid w:val="0071136A"/>
    <w:rsid w:val="0071139A"/>
    <w:rsid w:val="00711721"/>
    <w:rsid w:val="00711D40"/>
    <w:rsid w:val="007121C2"/>
    <w:rsid w:val="007124A5"/>
    <w:rsid w:val="00712C41"/>
    <w:rsid w:val="0071338A"/>
    <w:rsid w:val="00715B8C"/>
    <w:rsid w:val="00715EE6"/>
    <w:rsid w:val="00716CC2"/>
    <w:rsid w:val="00720459"/>
    <w:rsid w:val="00722AB0"/>
    <w:rsid w:val="00726883"/>
    <w:rsid w:val="00727ABF"/>
    <w:rsid w:val="00731B6E"/>
    <w:rsid w:val="00732F37"/>
    <w:rsid w:val="0073457C"/>
    <w:rsid w:val="00734AF7"/>
    <w:rsid w:val="007353F1"/>
    <w:rsid w:val="00740138"/>
    <w:rsid w:val="00742783"/>
    <w:rsid w:val="00745558"/>
    <w:rsid w:val="00745727"/>
    <w:rsid w:val="007471A6"/>
    <w:rsid w:val="007476C5"/>
    <w:rsid w:val="007536F4"/>
    <w:rsid w:val="00753E37"/>
    <w:rsid w:val="0075474B"/>
    <w:rsid w:val="00754A03"/>
    <w:rsid w:val="00755123"/>
    <w:rsid w:val="007558E8"/>
    <w:rsid w:val="007568F3"/>
    <w:rsid w:val="0075701E"/>
    <w:rsid w:val="0075715B"/>
    <w:rsid w:val="0076178C"/>
    <w:rsid w:val="00763266"/>
    <w:rsid w:val="007636BB"/>
    <w:rsid w:val="00763BAA"/>
    <w:rsid w:val="00763BDB"/>
    <w:rsid w:val="007647DD"/>
    <w:rsid w:val="007653EA"/>
    <w:rsid w:val="00766778"/>
    <w:rsid w:val="007669D0"/>
    <w:rsid w:val="00766F26"/>
    <w:rsid w:val="00770D2F"/>
    <w:rsid w:val="007711B4"/>
    <w:rsid w:val="00771DBD"/>
    <w:rsid w:val="007721B1"/>
    <w:rsid w:val="00772C03"/>
    <w:rsid w:val="00772F9B"/>
    <w:rsid w:val="007734EB"/>
    <w:rsid w:val="00773AB4"/>
    <w:rsid w:val="00774464"/>
    <w:rsid w:val="00775B03"/>
    <w:rsid w:val="00775B30"/>
    <w:rsid w:val="0077734F"/>
    <w:rsid w:val="00777E1B"/>
    <w:rsid w:val="00782C4D"/>
    <w:rsid w:val="00783301"/>
    <w:rsid w:val="00785B4F"/>
    <w:rsid w:val="00785F97"/>
    <w:rsid w:val="0078618C"/>
    <w:rsid w:val="00786AB2"/>
    <w:rsid w:val="0079167E"/>
    <w:rsid w:val="00794135"/>
    <w:rsid w:val="00794E11"/>
    <w:rsid w:val="007960C8"/>
    <w:rsid w:val="007A30B0"/>
    <w:rsid w:val="007A322D"/>
    <w:rsid w:val="007A3346"/>
    <w:rsid w:val="007A4655"/>
    <w:rsid w:val="007A4CAF"/>
    <w:rsid w:val="007A6165"/>
    <w:rsid w:val="007B0DA8"/>
    <w:rsid w:val="007B6C81"/>
    <w:rsid w:val="007B71FF"/>
    <w:rsid w:val="007B76BC"/>
    <w:rsid w:val="007C0D56"/>
    <w:rsid w:val="007C1DD5"/>
    <w:rsid w:val="007C20D3"/>
    <w:rsid w:val="007C27E8"/>
    <w:rsid w:val="007C4B9B"/>
    <w:rsid w:val="007C4CB7"/>
    <w:rsid w:val="007C5AD8"/>
    <w:rsid w:val="007C664D"/>
    <w:rsid w:val="007C6C22"/>
    <w:rsid w:val="007D103B"/>
    <w:rsid w:val="007D13C6"/>
    <w:rsid w:val="007D24FB"/>
    <w:rsid w:val="007D2B66"/>
    <w:rsid w:val="007D4FB4"/>
    <w:rsid w:val="007D55AF"/>
    <w:rsid w:val="007D5B41"/>
    <w:rsid w:val="007E1A75"/>
    <w:rsid w:val="007E36BB"/>
    <w:rsid w:val="007E3C11"/>
    <w:rsid w:val="007E3DC4"/>
    <w:rsid w:val="007E543B"/>
    <w:rsid w:val="007E5D2E"/>
    <w:rsid w:val="007E6A19"/>
    <w:rsid w:val="007E76DC"/>
    <w:rsid w:val="007E7B73"/>
    <w:rsid w:val="007E7EFF"/>
    <w:rsid w:val="007F00B0"/>
    <w:rsid w:val="007F0944"/>
    <w:rsid w:val="007F1226"/>
    <w:rsid w:val="007F1E73"/>
    <w:rsid w:val="007F4B80"/>
    <w:rsid w:val="007F5CA6"/>
    <w:rsid w:val="007F6EE7"/>
    <w:rsid w:val="00802087"/>
    <w:rsid w:val="00803A26"/>
    <w:rsid w:val="0080426E"/>
    <w:rsid w:val="008061D6"/>
    <w:rsid w:val="00806D66"/>
    <w:rsid w:val="00806E13"/>
    <w:rsid w:val="00807596"/>
    <w:rsid w:val="00810C69"/>
    <w:rsid w:val="00810EBE"/>
    <w:rsid w:val="008138FC"/>
    <w:rsid w:val="00813DB3"/>
    <w:rsid w:val="00815673"/>
    <w:rsid w:val="00816BBD"/>
    <w:rsid w:val="008175E5"/>
    <w:rsid w:val="00817E45"/>
    <w:rsid w:val="008213B4"/>
    <w:rsid w:val="0082363D"/>
    <w:rsid w:val="00824049"/>
    <w:rsid w:val="008243F9"/>
    <w:rsid w:val="008251E4"/>
    <w:rsid w:val="0082580E"/>
    <w:rsid w:val="00826467"/>
    <w:rsid w:val="00827689"/>
    <w:rsid w:val="008300ED"/>
    <w:rsid w:val="00830A41"/>
    <w:rsid w:val="00830AFB"/>
    <w:rsid w:val="00835F9F"/>
    <w:rsid w:val="00840309"/>
    <w:rsid w:val="00840DA2"/>
    <w:rsid w:val="00842F4E"/>
    <w:rsid w:val="008432B2"/>
    <w:rsid w:val="008432C2"/>
    <w:rsid w:val="00845B47"/>
    <w:rsid w:val="00845F43"/>
    <w:rsid w:val="008463F1"/>
    <w:rsid w:val="008464AB"/>
    <w:rsid w:val="008469E4"/>
    <w:rsid w:val="008508F7"/>
    <w:rsid w:val="0085277A"/>
    <w:rsid w:val="00855330"/>
    <w:rsid w:val="008559BA"/>
    <w:rsid w:val="008561BC"/>
    <w:rsid w:val="00856B5E"/>
    <w:rsid w:val="008613B4"/>
    <w:rsid w:val="008621E1"/>
    <w:rsid w:val="008621F3"/>
    <w:rsid w:val="00862BFB"/>
    <w:rsid w:val="00863AEE"/>
    <w:rsid w:val="00864F6C"/>
    <w:rsid w:val="00871278"/>
    <w:rsid w:val="00872456"/>
    <w:rsid w:val="00873760"/>
    <w:rsid w:val="0087594C"/>
    <w:rsid w:val="00875A3A"/>
    <w:rsid w:val="00876687"/>
    <w:rsid w:val="008766F8"/>
    <w:rsid w:val="00880D2B"/>
    <w:rsid w:val="00881D2F"/>
    <w:rsid w:val="00882474"/>
    <w:rsid w:val="008828D4"/>
    <w:rsid w:val="00882E84"/>
    <w:rsid w:val="00883367"/>
    <w:rsid w:val="0088463F"/>
    <w:rsid w:val="00885BF8"/>
    <w:rsid w:val="00885D35"/>
    <w:rsid w:val="00890E60"/>
    <w:rsid w:val="00890EEE"/>
    <w:rsid w:val="00893ED3"/>
    <w:rsid w:val="00894B24"/>
    <w:rsid w:val="00895852"/>
    <w:rsid w:val="00895D77"/>
    <w:rsid w:val="0089635C"/>
    <w:rsid w:val="00896D54"/>
    <w:rsid w:val="008A050D"/>
    <w:rsid w:val="008A179F"/>
    <w:rsid w:val="008A313D"/>
    <w:rsid w:val="008A5DCE"/>
    <w:rsid w:val="008A6F25"/>
    <w:rsid w:val="008A6F34"/>
    <w:rsid w:val="008A6F81"/>
    <w:rsid w:val="008B04EA"/>
    <w:rsid w:val="008B088D"/>
    <w:rsid w:val="008B1163"/>
    <w:rsid w:val="008B34C2"/>
    <w:rsid w:val="008B388C"/>
    <w:rsid w:val="008B3DB7"/>
    <w:rsid w:val="008B6112"/>
    <w:rsid w:val="008B6D45"/>
    <w:rsid w:val="008C1AF4"/>
    <w:rsid w:val="008C1DC5"/>
    <w:rsid w:val="008C334F"/>
    <w:rsid w:val="008C4D3A"/>
    <w:rsid w:val="008C5569"/>
    <w:rsid w:val="008C5859"/>
    <w:rsid w:val="008C76F1"/>
    <w:rsid w:val="008D3B23"/>
    <w:rsid w:val="008D40BC"/>
    <w:rsid w:val="008E064F"/>
    <w:rsid w:val="008E25B8"/>
    <w:rsid w:val="008E2C28"/>
    <w:rsid w:val="008E3792"/>
    <w:rsid w:val="008E3E86"/>
    <w:rsid w:val="008E4E77"/>
    <w:rsid w:val="008E5BE5"/>
    <w:rsid w:val="008E6792"/>
    <w:rsid w:val="008E6C83"/>
    <w:rsid w:val="008E6D68"/>
    <w:rsid w:val="008E7E15"/>
    <w:rsid w:val="008F212E"/>
    <w:rsid w:val="008F4B73"/>
    <w:rsid w:val="008F4C9E"/>
    <w:rsid w:val="008F551F"/>
    <w:rsid w:val="008F6F8B"/>
    <w:rsid w:val="008F788F"/>
    <w:rsid w:val="008F7D35"/>
    <w:rsid w:val="00901360"/>
    <w:rsid w:val="00903749"/>
    <w:rsid w:val="00903E6C"/>
    <w:rsid w:val="00903EC6"/>
    <w:rsid w:val="00904110"/>
    <w:rsid w:val="009043F7"/>
    <w:rsid w:val="00904F94"/>
    <w:rsid w:val="0090555A"/>
    <w:rsid w:val="009059C5"/>
    <w:rsid w:val="00905B6E"/>
    <w:rsid w:val="00906DCB"/>
    <w:rsid w:val="009079AE"/>
    <w:rsid w:val="0091143D"/>
    <w:rsid w:val="009119FC"/>
    <w:rsid w:val="00911F02"/>
    <w:rsid w:val="0091225B"/>
    <w:rsid w:val="00913BB3"/>
    <w:rsid w:val="00913C6B"/>
    <w:rsid w:val="00916414"/>
    <w:rsid w:val="00916C83"/>
    <w:rsid w:val="0091763C"/>
    <w:rsid w:val="0092056A"/>
    <w:rsid w:val="0092111F"/>
    <w:rsid w:val="00921492"/>
    <w:rsid w:val="00922A4B"/>
    <w:rsid w:val="00922D2C"/>
    <w:rsid w:val="00923114"/>
    <w:rsid w:val="00923AB6"/>
    <w:rsid w:val="00923B71"/>
    <w:rsid w:val="00925E8B"/>
    <w:rsid w:val="009267AF"/>
    <w:rsid w:val="00926B16"/>
    <w:rsid w:val="00926CAC"/>
    <w:rsid w:val="00926D67"/>
    <w:rsid w:val="0092705A"/>
    <w:rsid w:val="00927336"/>
    <w:rsid w:val="009300BE"/>
    <w:rsid w:val="00931EF3"/>
    <w:rsid w:val="00934D48"/>
    <w:rsid w:val="009356DB"/>
    <w:rsid w:val="00935D38"/>
    <w:rsid w:val="009367EA"/>
    <w:rsid w:val="00936C04"/>
    <w:rsid w:val="00936F93"/>
    <w:rsid w:val="009373A5"/>
    <w:rsid w:val="00940544"/>
    <w:rsid w:val="00942238"/>
    <w:rsid w:val="009424C2"/>
    <w:rsid w:val="00942667"/>
    <w:rsid w:val="009458E2"/>
    <w:rsid w:val="00947724"/>
    <w:rsid w:val="00947B3E"/>
    <w:rsid w:val="00951710"/>
    <w:rsid w:val="009523D7"/>
    <w:rsid w:val="00953962"/>
    <w:rsid w:val="00955491"/>
    <w:rsid w:val="00957892"/>
    <w:rsid w:val="00957BDB"/>
    <w:rsid w:val="00960EF9"/>
    <w:rsid w:val="0096121D"/>
    <w:rsid w:val="00963556"/>
    <w:rsid w:val="00963594"/>
    <w:rsid w:val="00965AB5"/>
    <w:rsid w:val="00966D00"/>
    <w:rsid w:val="00972335"/>
    <w:rsid w:val="009728B1"/>
    <w:rsid w:val="0097321A"/>
    <w:rsid w:val="00977D00"/>
    <w:rsid w:val="00980377"/>
    <w:rsid w:val="00981BAA"/>
    <w:rsid w:val="00982E50"/>
    <w:rsid w:val="00984B6D"/>
    <w:rsid w:val="0098500B"/>
    <w:rsid w:val="00985910"/>
    <w:rsid w:val="00986056"/>
    <w:rsid w:val="009879B5"/>
    <w:rsid w:val="009900D3"/>
    <w:rsid w:val="00990A33"/>
    <w:rsid w:val="00990CFB"/>
    <w:rsid w:val="009918FE"/>
    <w:rsid w:val="00993189"/>
    <w:rsid w:val="00994B6D"/>
    <w:rsid w:val="00995D52"/>
    <w:rsid w:val="00997BA1"/>
    <w:rsid w:val="009A0289"/>
    <w:rsid w:val="009A09D7"/>
    <w:rsid w:val="009A0ACD"/>
    <w:rsid w:val="009A0E0E"/>
    <w:rsid w:val="009A22AE"/>
    <w:rsid w:val="009A2AF2"/>
    <w:rsid w:val="009A592E"/>
    <w:rsid w:val="009A5C04"/>
    <w:rsid w:val="009B26B1"/>
    <w:rsid w:val="009B2971"/>
    <w:rsid w:val="009B34B4"/>
    <w:rsid w:val="009B46E6"/>
    <w:rsid w:val="009B52CE"/>
    <w:rsid w:val="009B7C13"/>
    <w:rsid w:val="009C18DF"/>
    <w:rsid w:val="009C7CA3"/>
    <w:rsid w:val="009C7F2F"/>
    <w:rsid w:val="009D293A"/>
    <w:rsid w:val="009D2961"/>
    <w:rsid w:val="009D29D2"/>
    <w:rsid w:val="009D368B"/>
    <w:rsid w:val="009D380E"/>
    <w:rsid w:val="009D7E22"/>
    <w:rsid w:val="009E01E6"/>
    <w:rsid w:val="009E060B"/>
    <w:rsid w:val="009E1181"/>
    <w:rsid w:val="009E124A"/>
    <w:rsid w:val="009E1C98"/>
    <w:rsid w:val="009E2B20"/>
    <w:rsid w:val="009E3893"/>
    <w:rsid w:val="009E6B84"/>
    <w:rsid w:val="009E6D84"/>
    <w:rsid w:val="009E7716"/>
    <w:rsid w:val="009E78A5"/>
    <w:rsid w:val="009E7AFB"/>
    <w:rsid w:val="009F05DD"/>
    <w:rsid w:val="009F099E"/>
    <w:rsid w:val="009F0AE4"/>
    <w:rsid w:val="009F1FBD"/>
    <w:rsid w:val="009F2599"/>
    <w:rsid w:val="009F2B1E"/>
    <w:rsid w:val="009F3A7D"/>
    <w:rsid w:val="009F424E"/>
    <w:rsid w:val="009F4BBD"/>
    <w:rsid w:val="009F4E20"/>
    <w:rsid w:val="009F5832"/>
    <w:rsid w:val="009F64FF"/>
    <w:rsid w:val="00A00CC3"/>
    <w:rsid w:val="00A00D33"/>
    <w:rsid w:val="00A02240"/>
    <w:rsid w:val="00A04C90"/>
    <w:rsid w:val="00A11976"/>
    <w:rsid w:val="00A12034"/>
    <w:rsid w:val="00A12969"/>
    <w:rsid w:val="00A13077"/>
    <w:rsid w:val="00A14368"/>
    <w:rsid w:val="00A16E9A"/>
    <w:rsid w:val="00A173AB"/>
    <w:rsid w:val="00A17D0B"/>
    <w:rsid w:val="00A20D61"/>
    <w:rsid w:val="00A22C88"/>
    <w:rsid w:val="00A23020"/>
    <w:rsid w:val="00A249CA"/>
    <w:rsid w:val="00A266C2"/>
    <w:rsid w:val="00A30D9C"/>
    <w:rsid w:val="00A313DB"/>
    <w:rsid w:val="00A3163A"/>
    <w:rsid w:val="00A32037"/>
    <w:rsid w:val="00A326C9"/>
    <w:rsid w:val="00A33E36"/>
    <w:rsid w:val="00A34C1D"/>
    <w:rsid w:val="00A3540C"/>
    <w:rsid w:val="00A359F4"/>
    <w:rsid w:val="00A3715D"/>
    <w:rsid w:val="00A42D01"/>
    <w:rsid w:val="00A436BB"/>
    <w:rsid w:val="00A45B27"/>
    <w:rsid w:val="00A471CA"/>
    <w:rsid w:val="00A47C54"/>
    <w:rsid w:val="00A51217"/>
    <w:rsid w:val="00A51EB2"/>
    <w:rsid w:val="00A51EEC"/>
    <w:rsid w:val="00A53B95"/>
    <w:rsid w:val="00A5402B"/>
    <w:rsid w:val="00A56E72"/>
    <w:rsid w:val="00A56EC1"/>
    <w:rsid w:val="00A629C5"/>
    <w:rsid w:val="00A6306A"/>
    <w:rsid w:val="00A65110"/>
    <w:rsid w:val="00A662CA"/>
    <w:rsid w:val="00A66AD3"/>
    <w:rsid w:val="00A66E40"/>
    <w:rsid w:val="00A7371F"/>
    <w:rsid w:val="00A7582D"/>
    <w:rsid w:val="00A777AA"/>
    <w:rsid w:val="00A80698"/>
    <w:rsid w:val="00A81433"/>
    <w:rsid w:val="00A85742"/>
    <w:rsid w:val="00A87E0F"/>
    <w:rsid w:val="00A9047C"/>
    <w:rsid w:val="00A921DD"/>
    <w:rsid w:val="00A94504"/>
    <w:rsid w:val="00A94D12"/>
    <w:rsid w:val="00A954AE"/>
    <w:rsid w:val="00A968BE"/>
    <w:rsid w:val="00A979B3"/>
    <w:rsid w:val="00AA164C"/>
    <w:rsid w:val="00AA291B"/>
    <w:rsid w:val="00AA35CD"/>
    <w:rsid w:val="00AA4015"/>
    <w:rsid w:val="00AA4232"/>
    <w:rsid w:val="00AA42D4"/>
    <w:rsid w:val="00AA7412"/>
    <w:rsid w:val="00AB070A"/>
    <w:rsid w:val="00AB1143"/>
    <w:rsid w:val="00AB1DB5"/>
    <w:rsid w:val="00AB2D7F"/>
    <w:rsid w:val="00AB429E"/>
    <w:rsid w:val="00AB4C2B"/>
    <w:rsid w:val="00AB5610"/>
    <w:rsid w:val="00AB5D3E"/>
    <w:rsid w:val="00AB5E96"/>
    <w:rsid w:val="00AB69D7"/>
    <w:rsid w:val="00AB7DD9"/>
    <w:rsid w:val="00AC0B61"/>
    <w:rsid w:val="00AC16B7"/>
    <w:rsid w:val="00AC1DB4"/>
    <w:rsid w:val="00AC2BFF"/>
    <w:rsid w:val="00AC451A"/>
    <w:rsid w:val="00AC4FCB"/>
    <w:rsid w:val="00AC63A3"/>
    <w:rsid w:val="00AC6A7E"/>
    <w:rsid w:val="00AC7F51"/>
    <w:rsid w:val="00AD094C"/>
    <w:rsid w:val="00AD331A"/>
    <w:rsid w:val="00AD6EC1"/>
    <w:rsid w:val="00AD7970"/>
    <w:rsid w:val="00AE0A8B"/>
    <w:rsid w:val="00AE1CE9"/>
    <w:rsid w:val="00AE34BA"/>
    <w:rsid w:val="00AE3B00"/>
    <w:rsid w:val="00AE4B70"/>
    <w:rsid w:val="00AE4F76"/>
    <w:rsid w:val="00AE7633"/>
    <w:rsid w:val="00AF08C3"/>
    <w:rsid w:val="00AF345B"/>
    <w:rsid w:val="00AF38D6"/>
    <w:rsid w:val="00AF489E"/>
    <w:rsid w:val="00AF5346"/>
    <w:rsid w:val="00AF5369"/>
    <w:rsid w:val="00AF7D67"/>
    <w:rsid w:val="00B00D29"/>
    <w:rsid w:val="00B011EC"/>
    <w:rsid w:val="00B01514"/>
    <w:rsid w:val="00B01723"/>
    <w:rsid w:val="00B01829"/>
    <w:rsid w:val="00B03008"/>
    <w:rsid w:val="00B05AB8"/>
    <w:rsid w:val="00B06502"/>
    <w:rsid w:val="00B06BEA"/>
    <w:rsid w:val="00B103D8"/>
    <w:rsid w:val="00B1103C"/>
    <w:rsid w:val="00B1129C"/>
    <w:rsid w:val="00B11F8A"/>
    <w:rsid w:val="00B131C4"/>
    <w:rsid w:val="00B14648"/>
    <w:rsid w:val="00B20847"/>
    <w:rsid w:val="00B20B20"/>
    <w:rsid w:val="00B20D0D"/>
    <w:rsid w:val="00B2307C"/>
    <w:rsid w:val="00B2490C"/>
    <w:rsid w:val="00B259CC"/>
    <w:rsid w:val="00B25CE1"/>
    <w:rsid w:val="00B273DA"/>
    <w:rsid w:val="00B3006E"/>
    <w:rsid w:val="00B331AD"/>
    <w:rsid w:val="00B342B7"/>
    <w:rsid w:val="00B34C37"/>
    <w:rsid w:val="00B35014"/>
    <w:rsid w:val="00B3792C"/>
    <w:rsid w:val="00B37E27"/>
    <w:rsid w:val="00B40A12"/>
    <w:rsid w:val="00B41349"/>
    <w:rsid w:val="00B41A5D"/>
    <w:rsid w:val="00B42CAB"/>
    <w:rsid w:val="00B4318E"/>
    <w:rsid w:val="00B441EB"/>
    <w:rsid w:val="00B44F36"/>
    <w:rsid w:val="00B45ED4"/>
    <w:rsid w:val="00B46652"/>
    <w:rsid w:val="00B47006"/>
    <w:rsid w:val="00B47B12"/>
    <w:rsid w:val="00B53234"/>
    <w:rsid w:val="00B5361E"/>
    <w:rsid w:val="00B54AB8"/>
    <w:rsid w:val="00B54E22"/>
    <w:rsid w:val="00B54F69"/>
    <w:rsid w:val="00B552AF"/>
    <w:rsid w:val="00B55A33"/>
    <w:rsid w:val="00B63765"/>
    <w:rsid w:val="00B64051"/>
    <w:rsid w:val="00B65AC8"/>
    <w:rsid w:val="00B70207"/>
    <w:rsid w:val="00B71B3B"/>
    <w:rsid w:val="00B72297"/>
    <w:rsid w:val="00B776A7"/>
    <w:rsid w:val="00B807FF"/>
    <w:rsid w:val="00B8207D"/>
    <w:rsid w:val="00B861E6"/>
    <w:rsid w:val="00B8646E"/>
    <w:rsid w:val="00B865E5"/>
    <w:rsid w:val="00B86655"/>
    <w:rsid w:val="00B870D2"/>
    <w:rsid w:val="00B875F4"/>
    <w:rsid w:val="00B9026A"/>
    <w:rsid w:val="00B91130"/>
    <w:rsid w:val="00B93599"/>
    <w:rsid w:val="00B93A7D"/>
    <w:rsid w:val="00B95ED3"/>
    <w:rsid w:val="00B978B3"/>
    <w:rsid w:val="00BA4CCE"/>
    <w:rsid w:val="00BA4E18"/>
    <w:rsid w:val="00BA5607"/>
    <w:rsid w:val="00BA5DF6"/>
    <w:rsid w:val="00BA5E27"/>
    <w:rsid w:val="00BB0499"/>
    <w:rsid w:val="00BB0A3B"/>
    <w:rsid w:val="00BB0C16"/>
    <w:rsid w:val="00BB1B92"/>
    <w:rsid w:val="00BB261C"/>
    <w:rsid w:val="00BB3A15"/>
    <w:rsid w:val="00BB5281"/>
    <w:rsid w:val="00BC011F"/>
    <w:rsid w:val="00BC071C"/>
    <w:rsid w:val="00BC41EC"/>
    <w:rsid w:val="00BC426E"/>
    <w:rsid w:val="00BC5778"/>
    <w:rsid w:val="00BD1194"/>
    <w:rsid w:val="00BD260D"/>
    <w:rsid w:val="00BD36E3"/>
    <w:rsid w:val="00BD4B28"/>
    <w:rsid w:val="00BD4F61"/>
    <w:rsid w:val="00BD5FFB"/>
    <w:rsid w:val="00BD6774"/>
    <w:rsid w:val="00BD68A3"/>
    <w:rsid w:val="00BD6C4D"/>
    <w:rsid w:val="00BD6C5A"/>
    <w:rsid w:val="00BE1135"/>
    <w:rsid w:val="00BE16A9"/>
    <w:rsid w:val="00BE1A4A"/>
    <w:rsid w:val="00BE4E6F"/>
    <w:rsid w:val="00BE7ACF"/>
    <w:rsid w:val="00BF0975"/>
    <w:rsid w:val="00BF1D2E"/>
    <w:rsid w:val="00BF203F"/>
    <w:rsid w:val="00BF4BBB"/>
    <w:rsid w:val="00BF656F"/>
    <w:rsid w:val="00BF7258"/>
    <w:rsid w:val="00BF77F6"/>
    <w:rsid w:val="00C00857"/>
    <w:rsid w:val="00C00CB8"/>
    <w:rsid w:val="00C00D8D"/>
    <w:rsid w:val="00C011FB"/>
    <w:rsid w:val="00C01D72"/>
    <w:rsid w:val="00C029D0"/>
    <w:rsid w:val="00C053D3"/>
    <w:rsid w:val="00C10A1E"/>
    <w:rsid w:val="00C11C32"/>
    <w:rsid w:val="00C11EBB"/>
    <w:rsid w:val="00C11FA2"/>
    <w:rsid w:val="00C1288E"/>
    <w:rsid w:val="00C13C63"/>
    <w:rsid w:val="00C145F2"/>
    <w:rsid w:val="00C15707"/>
    <w:rsid w:val="00C17B1B"/>
    <w:rsid w:val="00C17BCB"/>
    <w:rsid w:val="00C20DAE"/>
    <w:rsid w:val="00C229C6"/>
    <w:rsid w:val="00C23384"/>
    <w:rsid w:val="00C2517A"/>
    <w:rsid w:val="00C2533B"/>
    <w:rsid w:val="00C26EA4"/>
    <w:rsid w:val="00C300CE"/>
    <w:rsid w:val="00C30407"/>
    <w:rsid w:val="00C30A33"/>
    <w:rsid w:val="00C30CB8"/>
    <w:rsid w:val="00C31191"/>
    <w:rsid w:val="00C3230E"/>
    <w:rsid w:val="00C344EF"/>
    <w:rsid w:val="00C368EF"/>
    <w:rsid w:val="00C37645"/>
    <w:rsid w:val="00C37A63"/>
    <w:rsid w:val="00C409F1"/>
    <w:rsid w:val="00C4163E"/>
    <w:rsid w:val="00C43C21"/>
    <w:rsid w:val="00C44687"/>
    <w:rsid w:val="00C45221"/>
    <w:rsid w:val="00C455FA"/>
    <w:rsid w:val="00C46AC0"/>
    <w:rsid w:val="00C46C9D"/>
    <w:rsid w:val="00C470E9"/>
    <w:rsid w:val="00C47CA1"/>
    <w:rsid w:val="00C50077"/>
    <w:rsid w:val="00C5408F"/>
    <w:rsid w:val="00C5475E"/>
    <w:rsid w:val="00C54CBB"/>
    <w:rsid w:val="00C55A10"/>
    <w:rsid w:val="00C55EC1"/>
    <w:rsid w:val="00C56E3E"/>
    <w:rsid w:val="00C6032F"/>
    <w:rsid w:val="00C6133E"/>
    <w:rsid w:val="00C64B74"/>
    <w:rsid w:val="00C65E6A"/>
    <w:rsid w:val="00C66876"/>
    <w:rsid w:val="00C702AC"/>
    <w:rsid w:val="00C71226"/>
    <w:rsid w:val="00C718A7"/>
    <w:rsid w:val="00C71A7B"/>
    <w:rsid w:val="00C72FD0"/>
    <w:rsid w:val="00C76001"/>
    <w:rsid w:val="00C76579"/>
    <w:rsid w:val="00C77FA9"/>
    <w:rsid w:val="00C808D8"/>
    <w:rsid w:val="00C808E3"/>
    <w:rsid w:val="00C815AF"/>
    <w:rsid w:val="00C8225A"/>
    <w:rsid w:val="00C826FF"/>
    <w:rsid w:val="00C82CE1"/>
    <w:rsid w:val="00C82F7C"/>
    <w:rsid w:val="00C831E0"/>
    <w:rsid w:val="00C84504"/>
    <w:rsid w:val="00C84834"/>
    <w:rsid w:val="00C854FF"/>
    <w:rsid w:val="00C85D89"/>
    <w:rsid w:val="00C86541"/>
    <w:rsid w:val="00C86F95"/>
    <w:rsid w:val="00C93049"/>
    <w:rsid w:val="00C936B5"/>
    <w:rsid w:val="00C93A84"/>
    <w:rsid w:val="00C95989"/>
    <w:rsid w:val="00C95B36"/>
    <w:rsid w:val="00C95E83"/>
    <w:rsid w:val="00C96902"/>
    <w:rsid w:val="00CA30C0"/>
    <w:rsid w:val="00CA37AB"/>
    <w:rsid w:val="00CA4D6B"/>
    <w:rsid w:val="00CA4DA1"/>
    <w:rsid w:val="00CA5702"/>
    <w:rsid w:val="00CA64FB"/>
    <w:rsid w:val="00CA7158"/>
    <w:rsid w:val="00CA771A"/>
    <w:rsid w:val="00CA787A"/>
    <w:rsid w:val="00CB1FF6"/>
    <w:rsid w:val="00CB37A8"/>
    <w:rsid w:val="00CB3A09"/>
    <w:rsid w:val="00CB65E0"/>
    <w:rsid w:val="00CB680F"/>
    <w:rsid w:val="00CC0260"/>
    <w:rsid w:val="00CC0349"/>
    <w:rsid w:val="00CC15A5"/>
    <w:rsid w:val="00CC17C7"/>
    <w:rsid w:val="00CC21DF"/>
    <w:rsid w:val="00CC2309"/>
    <w:rsid w:val="00CC280F"/>
    <w:rsid w:val="00CC3B2C"/>
    <w:rsid w:val="00CC74C9"/>
    <w:rsid w:val="00CC7C3F"/>
    <w:rsid w:val="00CD193B"/>
    <w:rsid w:val="00CD48CB"/>
    <w:rsid w:val="00CD53DF"/>
    <w:rsid w:val="00CD5539"/>
    <w:rsid w:val="00CD5A25"/>
    <w:rsid w:val="00CD6350"/>
    <w:rsid w:val="00CD7E81"/>
    <w:rsid w:val="00CE16CE"/>
    <w:rsid w:val="00CE17B0"/>
    <w:rsid w:val="00CE1845"/>
    <w:rsid w:val="00CE1E65"/>
    <w:rsid w:val="00CE3862"/>
    <w:rsid w:val="00CE53DF"/>
    <w:rsid w:val="00CE6296"/>
    <w:rsid w:val="00CF0885"/>
    <w:rsid w:val="00CF0A99"/>
    <w:rsid w:val="00CF2124"/>
    <w:rsid w:val="00CF364A"/>
    <w:rsid w:val="00CF4CCF"/>
    <w:rsid w:val="00CF577F"/>
    <w:rsid w:val="00CF6ACF"/>
    <w:rsid w:val="00CF7C95"/>
    <w:rsid w:val="00D002EF"/>
    <w:rsid w:val="00D011E8"/>
    <w:rsid w:val="00D043E9"/>
    <w:rsid w:val="00D05696"/>
    <w:rsid w:val="00D06097"/>
    <w:rsid w:val="00D06161"/>
    <w:rsid w:val="00D06E23"/>
    <w:rsid w:val="00D10522"/>
    <w:rsid w:val="00D10CB1"/>
    <w:rsid w:val="00D11C1C"/>
    <w:rsid w:val="00D120F7"/>
    <w:rsid w:val="00D14184"/>
    <w:rsid w:val="00D14A7A"/>
    <w:rsid w:val="00D165CD"/>
    <w:rsid w:val="00D166CB"/>
    <w:rsid w:val="00D16CBB"/>
    <w:rsid w:val="00D178DE"/>
    <w:rsid w:val="00D20D55"/>
    <w:rsid w:val="00D22F0D"/>
    <w:rsid w:val="00D25BBE"/>
    <w:rsid w:val="00D30A35"/>
    <w:rsid w:val="00D3126D"/>
    <w:rsid w:val="00D3280C"/>
    <w:rsid w:val="00D33F49"/>
    <w:rsid w:val="00D37686"/>
    <w:rsid w:val="00D40B5B"/>
    <w:rsid w:val="00D4223B"/>
    <w:rsid w:val="00D437C4"/>
    <w:rsid w:val="00D43E05"/>
    <w:rsid w:val="00D44373"/>
    <w:rsid w:val="00D504A1"/>
    <w:rsid w:val="00D51CC2"/>
    <w:rsid w:val="00D524BC"/>
    <w:rsid w:val="00D52889"/>
    <w:rsid w:val="00D5327A"/>
    <w:rsid w:val="00D54E3D"/>
    <w:rsid w:val="00D55CFB"/>
    <w:rsid w:val="00D5640D"/>
    <w:rsid w:val="00D60834"/>
    <w:rsid w:val="00D60ECD"/>
    <w:rsid w:val="00D61C79"/>
    <w:rsid w:val="00D62AA7"/>
    <w:rsid w:val="00D62F89"/>
    <w:rsid w:val="00D631C3"/>
    <w:rsid w:val="00D635B3"/>
    <w:rsid w:val="00D635E6"/>
    <w:rsid w:val="00D643FF"/>
    <w:rsid w:val="00D65D91"/>
    <w:rsid w:val="00D66CF4"/>
    <w:rsid w:val="00D66DD5"/>
    <w:rsid w:val="00D67C8B"/>
    <w:rsid w:val="00D70686"/>
    <w:rsid w:val="00D70820"/>
    <w:rsid w:val="00D71359"/>
    <w:rsid w:val="00D71B84"/>
    <w:rsid w:val="00D74A62"/>
    <w:rsid w:val="00D75321"/>
    <w:rsid w:val="00D760E4"/>
    <w:rsid w:val="00D768BA"/>
    <w:rsid w:val="00D829A0"/>
    <w:rsid w:val="00D84184"/>
    <w:rsid w:val="00D85589"/>
    <w:rsid w:val="00D86F21"/>
    <w:rsid w:val="00D91D8F"/>
    <w:rsid w:val="00D9250F"/>
    <w:rsid w:val="00D9261C"/>
    <w:rsid w:val="00D93139"/>
    <w:rsid w:val="00D932CC"/>
    <w:rsid w:val="00D93D46"/>
    <w:rsid w:val="00D94C85"/>
    <w:rsid w:val="00D95111"/>
    <w:rsid w:val="00D9580A"/>
    <w:rsid w:val="00D963BA"/>
    <w:rsid w:val="00D97991"/>
    <w:rsid w:val="00DA1128"/>
    <w:rsid w:val="00DA1371"/>
    <w:rsid w:val="00DA2249"/>
    <w:rsid w:val="00DA2B9D"/>
    <w:rsid w:val="00DA35EC"/>
    <w:rsid w:val="00DA37B1"/>
    <w:rsid w:val="00DA451A"/>
    <w:rsid w:val="00DA68CC"/>
    <w:rsid w:val="00DA6B94"/>
    <w:rsid w:val="00DA77CD"/>
    <w:rsid w:val="00DA7996"/>
    <w:rsid w:val="00DA7BD1"/>
    <w:rsid w:val="00DB2E54"/>
    <w:rsid w:val="00DB3244"/>
    <w:rsid w:val="00DB42E4"/>
    <w:rsid w:val="00DB483A"/>
    <w:rsid w:val="00DB5870"/>
    <w:rsid w:val="00DB6517"/>
    <w:rsid w:val="00DB743C"/>
    <w:rsid w:val="00DC1370"/>
    <w:rsid w:val="00DC2866"/>
    <w:rsid w:val="00DC475E"/>
    <w:rsid w:val="00DC593E"/>
    <w:rsid w:val="00DC59F2"/>
    <w:rsid w:val="00DC5DE9"/>
    <w:rsid w:val="00DC6201"/>
    <w:rsid w:val="00DC6506"/>
    <w:rsid w:val="00DC6693"/>
    <w:rsid w:val="00DC7639"/>
    <w:rsid w:val="00DC7B95"/>
    <w:rsid w:val="00DD047A"/>
    <w:rsid w:val="00DD1145"/>
    <w:rsid w:val="00DD2603"/>
    <w:rsid w:val="00DD295E"/>
    <w:rsid w:val="00DD339F"/>
    <w:rsid w:val="00DD34B1"/>
    <w:rsid w:val="00DD4419"/>
    <w:rsid w:val="00DD601B"/>
    <w:rsid w:val="00DD622D"/>
    <w:rsid w:val="00DD7284"/>
    <w:rsid w:val="00DE0595"/>
    <w:rsid w:val="00DE2622"/>
    <w:rsid w:val="00DE3D07"/>
    <w:rsid w:val="00DE3EC8"/>
    <w:rsid w:val="00DE5902"/>
    <w:rsid w:val="00DE5C79"/>
    <w:rsid w:val="00DF09E7"/>
    <w:rsid w:val="00DF1676"/>
    <w:rsid w:val="00DF1EEA"/>
    <w:rsid w:val="00DF40A9"/>
    <w:rsid w:val="00DF468D"/>
    <w:rsid w:val="00DF492E"/>
    <w:rsid w:val="00DF5AA1"/>
    <w:rsid w:val="00DF5B5B"/>
    <w:rsid w:val="00DF5CBA"/>
    <w:rsid w:val="00DF6070"/>
    <w:rsid w:val="00DF709D"/>
    <w:rsid w:val="00E03BC4"/>
    <w:rsid w:val="00E04172"/>
    <w:rsid w:val="00E052AF"/>
    <w:rsid w:val="00E063F1"/>
    <w:rsid w:val="00E10AF0"/>
    <w:rsid w:val="00E11826"/>
    <w:rsid w:val="00E12AFE"/>
    <w:rsid w:val="00E12F0F"/>
    <w:rsid w:val="00E13797"/>
    <w:rsid w:val="00E1399C"/>
    <w:rsid w:val="00E139E2"/>
    <w:rsid w:val="00E14A95"/>
    <w:rsid w:val="00E16B0C"/>
    <w:rsid w:val="00E2002A"/>
    <w:rsid w:val="00E22A59"/>
    <w:rsid w:val="00E23D0F"/>
    <w:rsid w:val="00E24819"/>
    <w:rsid w:val="00E24D0B"/>
    <w:rsid w:val="00E2563E"/>
    <w:rsid w:val="00E25837"/>
    <w:rsid w:val="00E2786C"/>
    <w:rsid w:val="00E34946"/>
    <w:rsid w:val="00E34F86"/>
    <w:rsid w:val="00E35B65"/>
    <w:rsid w:val="00E3724D"/>
    <w:rsid w:val="00E37513"/>
    <w:rsid w:val="00E37D05"/>
    <w:rsid w:val="00E4172A"/>
    <w:rsid w:val="00E42DF7"/>
    <w:rsid w:val="00E44B1B"/>
    <w:rsid w:val="00E452C0"/>
    <w:rsid w:val="00E46145"/>
    <w:rsid w:val="00E46DE6"/>
    <w:rsid w:val="00E504D9"/>
    <w:rsid w:val="00E50F51"/>
    <w:rsid w:val="00E51CE4"/>
    <w:rsid w:val="00E51FC0"/>
    <w:rsid w:val="00E546B9"/>
    <w:rsid w:val="00E549F4"/>
    <w:rsid w:val="00E56B02"/>
    <w:rsid w:val="00E5707A"/>
    <w:rsid w:val="00E61371"/>
    <w:rsid w:val="00E614E7"/>
    <w:rsid w:val="00E61BCB"/>
    <w:rsid w:val="00E620D7"/>
    <w:rsid w:val="00E621D3"/>
    <w:rsid w:val="00E62556"/>
    <w:rsid w:val="00E6287C"/>
    <w:rsid w:val="00E64C96"/>
    <w:rsid w:val="00E65081"/>
    <w:rsid w:val="00E65562"/>
    <w:rsid w:val="00E671FC"/>
    <w:rsid w:val="00E676A2"/>
    <w:rsid w:val="00E70DC6"/>
    <w:rsid w:val="00E71202"/>
    <w:rsid w:val="00E726E9"/>
    <w:rsid w:val="00E735FC"/>
    <w:rsid w:val="00E7414D"/>
    <w:rsid w:val="00E76787"/>
    <w:rsid w:val="00E768B8"/>
    <w:rsid w:val="00E76E0F"/>
    <w:rsid w:val="00E8249C"/>
    <w:rsid w:val="00E82FAD"/>
    <w:rsid w:val="00E835B1"/>
    <w:rsid w:val="00E9137D"/>
    <w:rsid w:val="00E91CD4"/>
    <w:rsid w:val="00E9224F"/>
    <w:rsid w:val="00E93A18"/>
    <w:rsid w:val="00E94002"/>
    <w:rsid w:val="00E942B2"/>
    <w:rsid w:val="00E94413"/>
    <w:rsid w:val="00E963A3"/>
    <w:rsid w:val="00E97213"/>
    <w:rsid w:val="00E97462"/>
    <w:rsid w:val="00EA0EE2"/>
    <w:rsid w:val="00EA6027"/>
    <w:rsid w:val="00EA69ED"/>
    <w:rsid w:val="00EA6B68"/>
    <w:rsid w:val="00EA7A49"/>
    <w:rsid w:val="00EA7D91"/>
    <w:rsid w:val="00EB03CD"/>
    <w:rsid w:val="00EB0489"/>
    <w:rsid w:val="00EB1804"/>
    <w:rsid w:val="00EB2595"/>
    <w:rsid w:val="00EB3326"/>
    <w:rsid w:val="00EB3A8B"/>
    <w:rsid w:val="00EB3CE1"/>
    <w:rsid w:val="00EB4003"/>
    <w:rsid w:val="00EB4505"/>
    <w:rsid w:val="00EB7B53"/>
    <w:rsid w:val="00EC01E7"/>
    <w:rsid w:val="00EC11EE"/>
    <w:rsid w:val="00EC3D17"/>
    <w:rsid w:val="00EC4EA1"/>
    <w:rsid w:val="00EC5FC2"/>
    <w:rsid w:val="00EC6675"/>
    <w:rsid w:val="00EC6F14"/>
    <w:rsid w:val="00EC7358"/>
    <w:rsid w:val="00EC751C"/>
    <w:rsid w:val="00EC762C"/>
    <w:rsid w:val="00EC79EE"/>
    <w:rsid w:val="00ED1CD0"/>
    <w:rsid w:val="00ED5B6E"/>
    <w:rsid w:val="00ED6D11"/>
    <w:rsid w:val="00ED775A"/>
    <w:rsid w:val="00ED7F47"/>
    <w:rsid w:val="00EE10A4"/>
    <w:rsid w:val="00EE2074"/>
    <w:rsid w:val="00EE47CE"/>
    <w:rsid w:val="00EE4F8B"/>
    <w:rsid w:val="00EE6C65"/>
    <w:rsid w:val="00EE74CA"/>
    <w:rsid w:val="00EE76EF"/>
    <w:rsid w:val="00EE7AFC"/>
    <w:rsid w:val="00EF0224"/>
    <w:rsid w:val="00EF05E5"/>
    <w:rsid w:val="00EF5BEB"/>
    <w:rsid w:val="00EF78FF"/>
    <w:rsid w:val="00F01D23"/>
    <w:rsid w:val="00F02EF5"/>
    <w:rsid w:val="00F036C8"/>
    <w:rsid w:val="00F04248"/>
    <w:rsid w:val="00F04C00"/>
    <w:rsid w:val="00F06EF5"/>
    <w:rsid w:val="00F1101B"/>
    <w:rsid w:val="00F1141F"/>
    <w:rsid w:val="00F1414C"/>
    <w:rsid w:val="00F141DB"/>
    <w:rsid w:val="00F159CA"/>
    <w:rsid w:val="00F17BC5"/>
    <w:rsid w:val="00F20CC9"/>
    <w:rsid w:val="00F21307"/>
    <w:rsid w:val="00F21F02"/>
    <w:rsid w:val="00F233F8"/>
    <w:rsid w:val="00F254AD"/>
    <w:rsid w:val="00F26AC6"/>
    <w:rsid w:val="00F27335"/>
    <w:rsid w:val="00F27F5F"/>
    <w:rsid w:val="00F30A07"/>
    <w:rsid w:val="00F33408"/>
    <w:rsid w:val="00F342F5"/>
    <w:rsid w:val="00F34CC5"/>
    <w:rsid w:val="00F4022C"/>
    <w:rsid w:val="00F40900"/>
    <w:rsid w:val="00F4163E"/>
    <w:rsid w:val="00F41696"/>
    <w:rsid w:val="00F428E7"/>
    <w:rsid w:val="00F42CCF"/>
    <w:rsid w:val="00F445E0"/>
    <w:rsid w:val="00F4477F"/>
    <w:rsid w:val="00F44C24"/>
    <w:rsid w:val="00F45C63"/>
    <w:rsid w:val="00F4603D"/>
    <w:rsid w:val="00F47B45"/>
    <w:rsid w:val="00F52517"/>
    <w:rsid w:val="00F53FBD"/>
    <w:rsid w:val="00F547CD"/>
    <w:rsid w:val="00F54834"/>
    <w:rsid w:val="00F54E83"/>
    <w:rsid w:val="00F55481"/>
    <w:rsid w:val="00F555E1"/>
    <w:rsid w:val="00F565FA"/>
    <w:rsid w:val="00F57215"/>
    <w:rsid w:val="00F60A4E"/>
    <w:rsid w:val="00F6489B"/>
    <w:rsid w:val="00F667CB"/>
    <w:rsid w:val="00F67BBF"/>
    <w:rsid w:val="00F7044F"/>
    <w:rsid w:val="00F71D23"/>
    <w:rsid w:val="00F72CFF"/>
    <w:rsid w:val="00F7383E"/>
    <w:rsid w:val="00F73897"/>
    <w:rsid w:val="00F74B04"/>
    <w:rsid w:val="00F77636"/>
    <w:rsid w:val="00F804BA"/>
    <w:rsid w:val="00F82753"/>
    <w:rsid w:val="00F838CE"/>
    <w:rsid w:val="00F83A87"/>
    <w:rsid w:val="00F83DAE"/>
    <w:rsid w:val="00F83FB5"/>
    <w:rsid w:val="00F843FF"/>
    <w:rsid w:val="00F85641"/>
    <w:rsid w:val="00F8715E"/>
    <w:rsid w:val="00F87723"/>
    <w:rsid w:val="00F9012D"/>
    <w:rsid w:val="00F90893"/>
    <w:rsid w:val="00F92CD4"/>
    <w:rsid w:val="00F92D11"/>
    <w:rsid w:val="00F93022"/>
    <w:rsid w:val="00F93E6E"/>
    <w:rsid w:val="00F956FC"/>
    <w:rsid w:val="00F965F7"/>
    <w:rsid w:val="00F9705E"/>
    <w:rsid w:val="00F971BF"/>
    <w:rsid w:val="00FA223A"/>
    <w:rsid w:val="00FA2446"/>
    <w:rsid w:val="00FA3860"/>
    <w:rsid w:val="00FA3952"/>
    <w:rsid w:val="00FA43B2"/>
    <w:rsid w:val="00FA7876"/>
    <w:rsid w:val="00FA7EEF"/>
    <w:rsid w:val="00FB1191"/>
    <w:rsid w:val="00FB13A1"/>
    <w:rsid w:val="00FB1AF2"/>
    <w:rsid w:val="00FB2487"/>
    <w:rsid w:val="00FB66B2"/>
    <w:rsid w:val="00FB6FEF"/>
    <w:rsid w:val="00FB74AC"/>
    <w:rsid w:val="00FC06A5"/>
    <w:rsid w:val="00FC0D59"/>
    <w:rsid w:val="00FC14F4"/>
    <w:rsid w:val="00FC2119"/>
    <w:rsid w:val="00FC4BE4"/>
    <w:rsid w:val="00FC6132"/>
    <w:rsid w:val="00FC659E"/>
    <w:rsid w:val="00FC69E4"/>
    <w:rsid w:val="00FC69EE"/>
    <w:rsid w:val="00FC754A"/>
    <w:rsid w:val="00FD044A"/>
    <w:rsid w:val="00FD3DB7"/>
    <w:rsid w:val="00FD5563"/>
    <w:rsid w:val="00FD5F35"/>
    <w:rsid w:val="00FD5FEA"/>
    <w:rsid w:val="00FD6AEE"/>
    <w:rsid w:val="00FD756D"/>
    <w:rsid w:val="00FE02B1"/>
    <w:rsid w:val="00FE219C"/>
    <w:rsid w:val="00FE27FD"/>
    <w:rsid w:val="00FE4296"/>
    <w:rsid w:val="00FE48B8"/>
    <w:rsid w:val="00FE4DF9"/>
    <w:rsid w:val="00FE7260"/>
    <w:rsid w:val="00FE7860"/>
    <w:rsid w:val="00FF14D5"/>
    <w:rsid w:val="00FF15EE"/>
    <w:rsid w:val="00FF170F"/>
    <w:rsid w:val="00FF3036"/>
    <w:rsid w:val="00FF33F1"/>
    <w:rsid w:val="00FF34DA"/>
    <w:rsid w:val="00FF3FD3"/>
    <w:rsid w:val="00FF5855"/>
    <w:rsid w:val="00FF72CE"/>
    <w:rsid w:val="00FF7E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69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92"/>
    <w:pPr>
      <w:jc w:val="both"/>
    </w:pPr>
    <w:rPr>
      <w:sz w:val="24"/>
      <w:szCs w:val="1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ED8"/>
    <w:pPr>
      <w:tabs>
        <w:tab w:val="center" w:pos="4252"/>
        <w:tab w:val="right" w:pos="8504"/>
      </w:tabs>
    </w:pPr>
  </w:style>
  <w:style w:type="character" w:customStyle="1" w:styleId="EncabezadoCar">
    <w:name w:val="Encabezado Car"/>
    <w:basedOn w:val="Fuentedeprrafopredeter"/>
    <w:link w:val="Encabezado"/>
    <w:uiPriority w:val="99"/>
    <w:rsid w:val="000E1ED8"/>
  </w:style>
  <w:style w:type="paragraph" w:styleId="Piedepgina">
    <w:name w:val="footer"/>
    <w:basedOn w:val="Normal"/>
    <w:link w:val="PiedepginaCar"/>
    <w:uiPriority w:val="99"/>
    <w:unhideWhenUsed/>
    <w:rsid w:val="000E1ED8"/>
    <w:pPr>
      <w:tabs>
        <w:tab w:val="center" w:pos="4252"/>
        <w:tab w:val="right" w:pos="8504"/>
      </w:tabs>
    </w:pPr>
  </w:style>
  <w:style w:type="character" w:customStyle="1" w:styleId="PiedepginaCar">
    <w:name w:val="Pie de página Car"/>
    <w:basedOn w:val="Fuentedeprrafopredeter"/>
    <w:link w:val="Piedepgina"/>
    <w:uiPriority w:val="99"/>
    <w:rsid w:val="000E1ED8"/>
  </w:style>
  <w:style w:type="paragraph" w:styleId="Textonotapie">
    <w:name w:val="footnote text"/>
    <w:basedOn w:val="Normal"/>
    <w:link w:val="TextonotapieCar"/>
    <w:unhideWhenUsed/>
    <w:rsid w:val="00A11976"/>
    <w:rPr>
      <w:rFonts w:cs="Times New Roman"/>
      <w:sz w:val="20"/>
      <w:szCs w:val="20"/>
      <w:lang w:val="x-none" w:eastAsia="x-none"/>
    </w:rPr>
  </w:style>
  <w:style w:type="character" w:customStyle="1" w:styleId="TextonotapieCar">
    <w:name w:val="Texto nota pie Car"/>
    <w:link w:val="Textonotapie"/>
    <w:rsid w:val="00A11976"/>
    <w:rPr>
      <w:sz w:val="20"/>
      <w:szCs w:val="20"/>
    </w:rPr>
  </w:style>
  <w:style w:type="character" w:styleId="Refdenotaalpie">
    <w:name w:val="footnote reference"/>
    <w:unhideWhenUsed/>
    <w:rsid w:val="00A11976"/>
    <w:rPr>
      <w:vertAlign w:val="superscript"/>
    </w:rPr>
  </w:style>
  <w:style w:type="paragraph" w:customStyle="1" w:styleId="Listavistosa-nfasis11">
    <w:name w:val="Lista vistosa - Énfasis 11"/>
    <w:basedOn w:val="Normal"/>
    <w:uiPriority w:val="34"/>
    <w:qFormat/>
    <w:rsid w:val="002344EF"/>
    <w:pPr>
      <w:ind w:left="720"/>
      <w:contextualSpacing/>
    </w:pPr>
  </w:style>
  <w:style w:type="paragraph" w:customStyle="1" w:styleId="Default">
    <w:name w:val="Default"/>
    <w:rsid w:val="00AC16B7"/>
    <w:pPr>
      <w:autoSpaceDE w:val="0"/>
      <w:autoSpaceDN w:val="0"/>
      <w:adjustRightInd w:val="0"/>
    </w:pPr>
    <w:rPr>
      <w:rFonts w:ascii="CMGNP K+ Eureka Sans" w:eastAsia="Times New Roman" w:hAnsi="CMGNP K+ Eureka Sans" w:cs="CMGNP K+ Eureka Sans"/>
      <w:color w:val="000000"/>
      <w:sz w:val="24"/>
      <w:szCs w:val="24"/>
      <w:lang w:val="es-ES"/>
    </w:rPr>
  </w:style>
  <w:style w:type="paragraph" w:styleId="Textodeglobo">
    <w:name w:val="Balloon Text"/>
    <w:basedOn w:val="Normal"/>
    <w:link w:val="TextodegloboCar"/>
    <w:uiPriority w:val="99"/>
    <w:semiHidden/>
    <w:unhideWhenUsed/>
    <w:rsid w:val="00163C38"/>
    <w:rPr>
      <w:rFonts w:ascii="Tahoma" w:hAnsi="Tahoma" w:cs="Times New Roman"/>
      <w:sz w:val="16"/>
    </w:rPr>
  </w:style>
  <w:style w:type="character" w:customStyle="1" w:styleId="TextodegloboCar">
    <w:name w:val="Texto de globo Car"/>
    <w:link w:val="Textodeglobo"/>
    <w:uiPriority w:val="99"/>
    <w:semiHidden/>
    <w:rsid w:val="00163C38"/>
    <w:rPr>
      <w:rFonts w:ascii="Tahoma" w:hAnsi="Tahoma" w:cs="Tahoma"/>
      <w:sz w:val="16"/>
      <w:szCs w:val="16"/>
      <w:lang w:val="es-ES" w:eastAsia="en-US"/>
    </w:rPr>
  </w:style>
  <w:style w:type="paragraph" w:styleId="Textodecuerpo">
    <w:name w:val="Body Text"/>
    <w:basedOn w:val="Normal"/>
    <w:link w:val="TextodecuerpoCar"/>
    <w:uiPriority w:val="99"/>
    <w:rsid w:val="00A921DD"/>
    <w:pPr>
      <w:spacing w:line="360" w:lineRule="auto"/>
    </w:pPr>
    <w:rPr>
      <w:rFonts w:eastAsia="Times New Roman" w:cs="Times New Roman"/>
      <w:szCs w:val="24"/>
      <w:lang w:eastAsia="es-ES"/>
    </w:rPr>
  </w:style>
  <w:style w:type="character" w:customStyle="1" w:styleId="TextodecuerpoCar">
    <w:name w:val="Texto de cuerpo Car"/>
    <w:link w:val="Textodecuerpo"/>
    <w:uiPriority w:val="99"/>
    <w:rsid w:val="00A921DD"/>
    <w:rPr>
      <w:rFonts w:eastAsia="Times New Roman"/>
      <w:sz w:val="24"/>
      <w:szCs w:val="24"/>
      <w:lang w:val="es-ES" w:eastAsia="es-ES"/>
    </w:rPr>
  </w:style>
  <w:style w:type="character" w:customStyle="1" w:styleId="TextoindependienteCar">
    <w:name w:val="Texto independiente Car"/>
    <w:uiPriority w:val="99"/>
    <w:semiHidden/>
    <w:rsid w:val="00A921DD"/>
    <w:rPr>
      <w:sz w:val="24"/>
      <w:szCs w:val="16"/>
      <w:lang w:val="es-ES" w:eastAsia="en-US"/>
    </w:rPr>
  </w:style>
  <w:style w:type="paragraph" w:customStyle="1" w:styleId="bullet">
    <w:name w:val="bullet"/>
    <w:basedOn w:val="Normal"/>
    <w:rsid w:val="00EB1804"/>
    <w:pPr>
      <w:numPr>
        <w:numId w:val="11"/>
      </w:numPr>
      <w:tabs>
        <w:tab w:val="left" w:pos="7655"/>
      </w:tabs>
      <w:spacing w:before="360"/>
      <w:ind w:right="758"/>
    </w:pPr>
    <w:rPr>
      <w:rFonts w:eastAsia="Times New Roman" w:cs="Times New Roman"/>
      <w:b/>
      <w:sz w:val="22"/>
      <w:szCs w:val="20"/>
      <w:lang w:val="es-MX" w:eastAsia="es-ES"/>
    </w:rPr>
  </w:style>
  <w:style w:type="paragraph" w:styleId="NormalWeb">
    <w:name w:val="Normal (Web)"/>
    <w:basedOn w:val="Normal"/>
    <w:link w:val="NormalWebCar"/>
    <w:uiPriority w:val="99"/>
    <w:unhideWhenUsed/>
    <w:rsid w:val="00EB1804"/>
    <w:pPr>
      <w:spacing w:before="100" w:beforeAutospacing="1" w:after="100" w:afterAutospacing="1"/>
      <w:jc w:val="left"/>
    </w:pPr>
    <w:rPr>
      <w:rFonts w:ascii="Times New Roman" w:eastAsia="Times New Roman" w:hAnsi="Times New Roman" w:cs="Times New Roman"/>
      <w:szCs w:val="24"/>
      <w:lang w:val="x-none" w:eastAsia="x-none"/>
    </w:rPr>
  </w:style>
  <w:style w:type="character" w:customStyle="1" w:styleId="NormalWebCar">
    <w:name w:val="Normal (Web) Car"/>
    <w:link w:val="NormalWeb"/>
    <w:uiPriority w:val="99"/>
    <w:rsid w:val="00EB1804"/>
    <w:rPr>
      <w:rFonts w:ascii="Times New Roman" w:eastAsia="Times New Roman" w:hAnsi="Times New Roman" w:cs="Times New Roman"/>
      <w:sz w:val="24"/>
      <w:szCs w:val="24"/>
    </w:rPr>
  </w:style>
  <w:style w:type="character" w:customStyle="1" w:styleId="firstletter">
    <w:name w:val="firstletter"/>
    <w:rsid w:val="00207D29"/>
  </w:style>
  <w:style w:type="paragraph" w:styleId="Textonotaalfinal">
    <w:name w:val="endnote text"/>
    <w:basedOn w:val="Normal"/>
    <w:link w:val="TextonotaalfinalCar"/>
    <w:uiPriority w:val="99"/>
    <w:semiHidden/>
    <w:unhideWhenUsed/>
    <w:rsid w:val="00984B6D"/>
    <w:rPr>
      <w:rFonts w:cs="Times New Roman"/>
      <w:sz w:val="20"/>
      <w:szCs w:val="20"/>
    </w:rPr>
  </w:style>
  <w:style w:type="character" w:customStyle="1" w:styleId="TextonotaalfinalCar">
    <w:name w:val="Texto nota al final Car"/>
    <w:link w:val="Textonotaalfinal"/>
    <w:uiPriority w:val="99"/>
    <w:semiHidden/>
    <w:rsid w:val="00984B6D"/>
    <w:rPr>
      <w:lang w:val="es-ES" w:eastAsia="en-US"/>
    </w:rPr>
  </w:style>
  <w:style w:type="character" w:styleId="Refdenotaalfinal">
    <w:name w:val="endnote reference"/>
    <w:uiPriority w:val="99"/>
    <w:semiHidden/>
    <w:unhideWhenUsed/>
    <w:rsid w:val="00984B6D"/>
    <w:rPr>
      <w:vertAlign w:val="superscript"/>
    </w:rPr>
  </w:style>
  <w:style w:type="character" w:styleId="Refdecomentario">
    <w:name w:val="annotation reference"/>
    <w:uiPriority w:val="99"/>
    <w:semiHidden/>
    <w:unhideWhenUsed/>
    <w:rsid w:val="00777E1B"/>
    <w:rPr>
      <w:sz w:val="16"/>
      <w:szCs w:val="16"/>
    </w:rPr>
  </w:style>
  <w:style w:type="paragraph" w:styleId="Textocomentario">
    <w:name w:val="annotation text"/>
    <w:basedOn w:val="Normal"/>
    <w:link w:val="TextocomentarioCar"/>
    <w:uiPriority w:val="99"/>
    <w:semiHidden/>
    <w:unhideWhenUsed/>
    <w:rsid w:val="00777E1B"/>
    <w:rPr>
      <w:rFonts w:cs="Times New Roman"/>
      <w:sz w:val="20"/>
      <w:szCs w:val="20"/>
    </w:rPr>
  </w:style>
  <w:style w:type="character" w:customStyle="1" w:styleId="TextocomentarioCar">
    <w:name w:val="Texto comentario Car"/>
    <w:link w:val="Textocomentario"/>
    <w:uiPriority w:val="99"/>
    <w:semiHidden/>
    <w:rsid w:val="00777E1B"/>
    <w:rPr>
      <w:lang w:val="es-ES" w:eastAsia="en-US"/>
    </w:rPr>
  </w:style>
  <w:style w:type="paragraph" w:styleId="Asuntodelcomentario">
    <w:name w:val="annotation subject"/>
    <w:basedOn w:val="Textocomentario"/>
    <w:next w:val="Textocomentario"/>
    <w:link w:val="AsuntodelcomentarioCar"/>
    <w:uiPriority w:val="99"/>
    <w:semiHidden/>
    <w:unhideWhenUsed/>
    <w:rsid w:val="00777E1B"/>
    <w:rPr>
      <w:b/>
      <w:bCs/>
    </w:rPr>
  </w:style>
  <w:style w:type="character" w:customStyle="1" w:styleId="AsuntodelcomentarioCar">
    <w:name w:val="Asunto del comentario Car"/>
    <w:link w:val="Asuntodelcomentario"/>
    <w:uiPriority w:val="99"/>
    <w:semiHidden/>
    <w:rsid w:val="00777E1B"/>
    <w:rPr>
      <w:b/>
      <w:bCs/>
      <w:lang w:val="es-ES" w:eastAsia="en-US"/>
    </w:rPr>
  </w:style>
  <w:style w:type="paragraph" w:styleId="Prrafodelista">
    <w:name w:val="List Paragraph"/>
    <w:basedOn w:val="Normal"/>
    <w:link w:val="PrrafodelistaCar"/>
    <w:uiPriority w:val="34"/>
    <w:qFormat/>
    <w:rsid w:val="00CD48CB"/>
    <w:pPr>
      <w:spacing w:after="200" w:line="276" w:lineRule="auto"/>
      <w:ind w:left="720"/>
      <w:contextualSpacing/>
      <w:jc w:val="left"/>
    </w:pPr>
    <w:rPr>
      <w:rFonts w:ascii="Calibri" w:hAnsi="Calibri" w:cs="Times New Roman"/>
      <w:sz w:val="22"/>
      <w:szCs w:val="22"/>
    </w:rPr>
  </w:style>
  <w:style w:type="character" w:customStyle="1" w:styleId="PrrafodelistaCar">
    <w:name w:val="Párrafo de lista Car"/>
    <w:link w:val="Prrafodelista"/>
    <w:uiPriority w:val="34"/>
    <w:locked/>
    <w:rsid w:val="00D3126D"/>
    <w:rPr>
      <w:rFonts w:ascii="Calibri" w:hAnsi="Calibri" w:cs="Times New Roman"/>
      <w:sz w:val="22"/>
      <w:szCs w:val="22"/>
      <w:lang w:val="es-ES" w:eastAsia="en-US"/>
    </w:rPr>
  </w:style>
  <w:style w:type="paragraph" w:customStyle="1" w:styleId="Texto">
    <w:name w:val="Texto"/>
    <w:basedOn w:val="Normal"/>
    <w:rsid w:val="006566C5"/>
    <w:pPr>
      <w:spacing w:after="101" w:line="216" w:lineRule="exact"/>
      <w:ind w:firstLine="288"/>
    </w:pPr>
    <w:rPr>
      <w:rFonts w:eastAsia="Times New Roman"/>
      <w:sz w:val="18"/>
      <w:szCs w:val="18"/>
      <w:lang w:eastAsia="es-ES"/>
    </w:rPr>
  </w:style>
  <w:style w:type="table" w:styleId="Tablaconcuadrcula">
    <w:name w:val="Table Grid"/>
    <w:basedOn w:val="Tablanormal"/>
    <w:uiPriority w:val="59"/>
    <w:rsid w:val="004F6753"/>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nhideWhenUsed/>
    <w:rsid w:val="004F6753"/>
    <w:pPr>
      <w:jc w:val="left"/>
    </w:pPr>
    <w:rPr>
      <w:rFonts w:ascii="Courier New" w:eastAsia="Times New Roman" w:hAnsi="Courier New" w:cs="Times New Roman"/>
      <w:sz w:val="20"/>
      <w:szCs w:val="20"/>
      <w:lang w:eastAsia="es-ES"/>
    </w:rPr>
  </w:style>
  <w:style w:type="character" w:customStyle="1" w:styleId="TextosinformatoCar">
    <w:name w:val="Texto sin formato Car"/>
    <w:link w:val="Textosinformato"/>
    <w:rsid w:val="004F6753"/>
    <w:rPr>
      <w:rFonts w:ascii="Courier New" w:eastAsia="Times New Roman" w:hAnsi="Courier New" w:cs="Courier New"/>
      <w:lang w:val="es-ES" w:eastAsia="es-ES"/>
    </w:rPr>
  </w:style>
  <w:style w:type="paragraph" w:styleId="Sinespaciado">
    <w:name w:val="No Spacing"/>
    <w:link w:val="SinespaciadoCar"/>
    <w:uiPriority w:val="1"/>
    <w:qFormat/>
    <w:rsid w:val="00D22F0D"/>
    <w:rPr>
      <w:rFonts w:ascii="Calibri" w:eastAsia="Times New Roman" w:hAnsi="Calibri" w:cs="Times New Roman"/>
      <w:sz w:val="22"/>
      <w:szCs w:val="22"/>
      <w:lang w:val="es-MX" w:eastAsia="es-MX" w:bidi="es-ES_tradnl"/>
    </w:rPr>
  </w:style>
  <w:style w:type="character" w:customStyle="1" w:styleId="SinespaciadoCar">
    <w:name w:val="Sin espaciado Car"/>
    <w:link w:val="Sinespaciado"/>
    <w:uiPriority w:val="1"/>
    <w:rsid w:val="00D22F0D"/>
    <w:rPr>
      <w:rFonts w:ascii="Calibri" w:eastAsia="Times New Roman" w:hAnsi="Calibri" w:cs="Times New Roman"/>
      <w:sz w:val="22"/>
      <w:szCs w:val="22"/>
      <w:lang w:val="es-MX" w:eastAsia="es-MX" w:bidi="es-ES_tradnl"/>
    </w:rPr>
  </w:style>
  <w:style w:type="paragraph" w:customStyle="1" w:styleId="Estilo">
    <w:name w:val="Estilo"/>
    <w:basedOn w:val="Sinespaciado"/>
    <w:link w:val="EstiloCar"/>
    <w:qFormat/>
    <w:rsid w:val="00026517"/>
    <w:pPr>
      <w:jc w:val="both"/>
    </w:pPr>
    <w:rPr>
      <w:rFonts w:ascii="Arial" w:eastAsiaTheme="minorHAnsi" w:hAnsi="Arial" w:cstheme="minorBidi"/>
      <w:sz w:val="24"/>
      <w:lang w:bidi="ar-SA"/>
    </w:rPr>
  </w:style>
  <w:style w:type="character" w:customStyle="1" w:styleId="EstiloCar">
    <w:name w:val="Estilo Car"/>
    <w:basedOn w:val="Fuentedeprrafopredeter"/>
    <w:link w:val="Estilo"/>
    <w:rsid w:val="00026517"/>
    <w:rPr>
      <w:rFonts w:eastAsiaTheme="minorHAnsi" w:cstheme="minorBidi"/>
      <w:sz w:val="24"/>
      <w:szCs w:val="22"/>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92"/>
    <w:pPr>
      <w:jc w:val="both"/>
    </w:pPr>
    <w:rPr>
      <w:sz w:val="24"/>
      <w:szCs w:val="1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ED8"/>
    <w:pPr>
      <w:tabs>
        <w:tab w:val="center" w:pos="4252"/>
        <w:tab w:val="right" w:pos="8504"/>
      </w:tabs>
    </w:pPr>
  </w:style>
  <w:style w:type="character" w:customStyle="1" w:styleId="EncabezadoCar">
    <w:name w:val="Encabezado Car"/>
    <w:basedOn w:val="Fuentedeprrafopredeter"/>
    <w:link w:val="Encabezado"/>
    <w:uiPriority w:val="99"/>
    <w:rsid w:val="000E1ED8"/>
  </w:style>
  <w:style w:type="paragraph" w:styleId="Piedepgina">
    <w:name w:val="footer"/>
    <w:basedOn w:val="Normal"/>
    <w:link w:val="PiedepginaCar"/>
    <w:uiPriority w:val="99"/>
    <w:unhideWhenUsed/>
    <w:rsid w:val="000E1ED8"/>
    <w:pPr>
      <w:tabs>
        <w:tab w:val="center" w:pos="4252"/>
        <w:tab w:val="right" w:pos="8504"/>
      </w:tabs>
    </w:pPr>
  </w:style>
  <w:style w:type="character" w:customStyle="1" w:styleId="PiedepginaCar">
    <w:name w:val="Pie de página Car"/>
    <w:basedOn w:val="Fuentedeprrafopredeter"/>
    <w:link w:val="Piedepgina"/>
    <w:uiPriority w:val="99"/>
    <w:rsid w:val="000E1ED8"/>
  </w:style>
  <w:style w:type="paragraph" w:styleId="Textonotapie">
    <w:name w:val="footnote text"/>
    <w:basedOn w:val="Normal"/>
    <w:link w:val="TextonotapieCar"/>
    <w:unhideWhenUsed/>
    <w:rsid w:val="00A11976"/>
    <w:rPr>
      <w:rFonts w:cs="Times New Roman"/>
      <w:sz w:val="20"/>
      <w:szCs w:val="20"/>
      <w:lang w:val="x-none" w:eastAsia="x-none"/>
    </w:rPr>
  </w:style>
  <w:style w:type="character" w:customStyle="1" w:styleId="TextonotapieCar">
    <w:name w:val="Texto nota pie Car"/>
    <w:link w:val="Textonotapie"/>
    <w:rsid w:val="00A11976"/>
    <w:rPr>
      <w:sz w:val="20"/>
      <w:szCs w:val="20"/>
    </w:rPr>
  </w:style>
  <w:style w:type="character" w:styleId="Refdenotaalpie">
    <w:name w:val="footnote reference"/>
    <w:unhideWhenUsed/>
    <w:rsid w:val="00A11976"/>
    <w:rPr>
      <w:vertAlign w:val="superscript"/>
    </w:rPr>
  </w:style>
  <w:style w:type="paragraph" w:customStyle="1" w:styleId="Listavistosa-nfasis11">
    <w:name w:val="Lista vistosa - Énfasis 11"/>
    <w:basedOn w:val="Normal"/>
    <w:uiPriority w:val="34"/>
    <w:qFormat/>
    <w:rsid w:val="002344EF"/>
    <w:pPr>
      <w:ind w:left="720"/>
      <w:contextualSpacing/>
    </w:pPr>
  </w:style>
  <w:style w:type="paragraph" w:customStyle="1" w:styleId="Default">
    <w:name w:val="Default"/>
    <w:rsid w:val="00AC16B7"/>
    <w:pPr>
      <w:autoSpaceDE w:val="0"/>
      <w:autoSpaceDN w:val="0"/>
      <w:adjustRightInd w:val="0"/>
    </w:pPr>
    <w:rPr>
      <w:rFonts w:ascii="CMGNP K+ Eureka Sans" w:eastAsia="Times New Roman" w:hAnsi="CMGNP K+ Eureka Sans" w:cs="CMGNP K+ Eureka Sans"/>
      <w:color w:val="000000"/>
      <w:sz w:val="24"/>
      <w:szCs w:val="24"/>
      <w:lang w:val="es-ES"/>
    </w:rPr>
  </w:style>
  <w:style w:type="paragraph" w:styleId="Textodeglobo">
    <w:name w:val="Balloon Text"/>
    <w:basedOn w:val="Normal"/>
    <w:link w:val="TextodegloboCar"/>
    <w:uiPriority w:val="99"/>
    <w:semiHidden/>
    <w:unhideWhenUsed/>
    <w:rsid w:val="00163C38"/>
    <w:rPr>
      <w:rFonts w:ascii="Tahoma" w:hAnsi="Tahoma" w:cs="Times New Roman"/>
      <w:sz w:val="16"/>
    </w:rPr>
  </w:style>
  <w:style w:type="character" w:customStyle="1" w:styleId="TextodegloboCar">
    <w:name w:val="Texto de globo Car"/>
    <w:link w:val="Textodeglobo"/>
    <w:uiPriority w:val="99"/>
    <w:semiHidden/>
    <w:rsid w:val="00163C38"/>
    <w:rPr>
      <w:rFonts w:ascii="Tahoma" w:hAnsi="Tahoma" w:cs="Tahoma"/>
      <w:sz w:val="16"/>
      <w:szCs w:val="16"/>
      <w:lang w:val="es-ES" w:eastAsia="en-US"/>
    </w:rPr>
  </w:style>
  <w:style w:type="paragraph" w:styleId="Textodecuerpo">
    <w:name w:val="Body Text"/>
    <w:basedOn w:val="Normal"/>
    <w:link w:val="TextodecuerpoCar"/>
    <w:uiPriority w:val="99"/>
    <w:rsid w:val="00A921DD"/>
    <w:pPr>
      <w:spacing w:line="360" w:lineRule="auto"/>
    </w:pPr>
    <w:rPr>
      <w:rFonts w:eastAsia="Times New Roman" w:cs="Times New Roman"/>
      <w:szCs w:val="24"/>
      <w:lang w:eastAsia="es-ES"/>
    </w:rPr>
  </w:style>
  <w:style w:type="character" w:customStyle="1" w:styleId="TextodecuerpoCar">
    <w:name w:val="Texto de cuerpo Car"/>
    <w:link w:val="Textodecuerpo"/>
    <w:uiPriority w:val="99"/>
    <w:rsid w:val="00A921DD"/>
    <w:rPr>
      <w:rFonts w:eastAsia="Times New Roman"/>
      <w:sz w:val="24"/>
      <w:szCs w:val="24"/>
      <w:lang w:val="es-ES" w:eastAsia="es-ES"/>
    </w:rPr>
  </w:style>
  <w:style w:type="character" w:customStyle="1" w:styleId="TextoindependienteCar">
    <w:name w:val="Texto independiente Car"/>
    <w:uiPriority w:val="99"/>
    <w:semiHidden/>
    <w:rsid w:val="00A921DD"/>
    <w:rPr>
      <w:sz w:val="24"/>
      <w:szCs w:val="16"/>
      <w:lang w:val="es-ES" w:eastAsia="en-US"/>
    </w:rPr>
  </w:style>
  <w:style w:type="paragraph" w:customStyle="1" w:styleId="bullet">
    <w:name w:val="bullet"/>
    <w:basedOn w:val="Normal"/>
    <w:rsid w:val="00EB1804"/>
    <w:pPr>
      <w:numPr>
        <w:numId w:val="11"/>
      </w:numPr>
      <w:tabs>
        <w:tab w:val="left" w:pos="7655"/>
      </w:tabs>
      <w:spacing w:before="360"/>
      <w:ind w:right="758"/>
    </w:pPr>
    <w:rPr>
      <w:rFonts w:eastAsia="Times New Roman" w:cs="Times New Roman"/>
      <w:b/>
      <w:sz w:val="22"/>
      <w:szCs w:val="20"/>
      <w:lang w:val="es-MX" w:eastAsia="es-ES"/>
    </w:rPr>
  </w:style>
  <w:style w:type="paragraph" w:styleId="NormalWeb">
    <w:name w:val="Normal (Web)"/>
    <w:basedOn w:val="Normal"/>
    <w:link w:val="NormalWebCar"/>
    <w:uiPriority w:val="99"/>
    <w:unhideWhenUsed/>
    <w:rsid w:val="00EB1804"/>
    <w:pPr>
      <w:spacing w:before="100" w:beforeAutospacing="1" w:after="100" w:afterAutospacing="1"/>
      <w:jc w:val="left"/>
    </w:pPr>
    <w:rPr>
      <w:rFonts w:ascii="Times New Roman" w:eastAsia="Times New Roman" w:hAnsi="Times New Roman" w:cs="Times New Roman"/>
      <w:szCs w:val="24"/>
      <w:lang w:val="x-none" w:eastAsia="x-none"/>
    </w:rPr>
  </w:style>
  <w:style w:type="character" w:customStyle="1" w:styleId="NormalWebCar">
    <w:name w:val="Normal (Web) Car"/>
    <w:link w:val="NormalWeb"/>
    <w:uiPriority w:val="99"/>
    <w:rsid w:val="00EB1804"/>
    <w:rPr>
      <w:rFonts w:ascii="Times New Roman" w:eastAsia="Times New Roman" w:hAnsi="Times New Roman" w:cs="Times New Roman"/>
      <w:sz w:val="24"/>
      <w:szCs w:val="24"/>
    </w:rPr>
  </w:style>
  <w:style w:type="character" w:customStyle="1" w:styleId="firstletter">
    <w:name w:val="firstletter"/>
    <w:rsid w:val="00207D29"/>
  </w:style>
  <w:style w:type="paragraph" w:styleId="Textonotaalfinal">
    <w:name w:val="endnote text"/>
    <w:basedOn w:val="Normal"/>
    <w:link w:val="TextonotaalfinalCar"/>
    <w:uiPriority w:val="99"/>
    <w:semiHidden/>
    <w:unhideWhenUsed/>
    <w:rsid w:val="00984B6D"/>
    <w:rPr>
      <w:rFonts w:cs="Times New Roman"/>
      <w:sz w:val="20"/>
      <w:szCs w:val="20"/>
    </w:rPr>
  </w:style>
  <w:style w:type="character" w:customStyle="1" w:styleId="TextonotaalfinalCar">
    <w:name w:val="Texto nota al final Car"/>
    <w:link w:val="Textonotaalfinal"/>
    <w:uiPriority w:val="99"/>
    <w:semiHidden/>
    <w:rsid w:val="00984B6D"/>
    <w:rPr>
      <w:lang w:val="es-ES" w:eastAsia="en-US"/>
    </w:rPr>
  </w:style>
  <w:style w:type="character" w:styleId="Refdenotaalfinal">
    <w:name w:val="endnote reference"/>
    <w:uiPriority w:val="99"/>
    <w:semiHidden/>
    <w:unhideWhenUsed/>
    <w:rsid w:val="00984B6D"/>
    <w:rPr>
      <w:vertAlign w:val="superscript"/>
    </w:rPr>
  </w:style>
  <w:style w:type="character" w:styleId="Refdecomentario">
    <w:name w:val="annotation reference"/>
    <w:uiPriority w:val="99"/>
    <w:semiHidden/>
    <w:unhideWhenUsed/>
    <w:rsid w:val="00777E1B"/>
    <w:rPr>
      <w:sz w:val="16"/>
      <w:szCs w:val="16"/>
    </w:rPr>
  </w:style>
  <w:style w:type="paragraph" w:styleId="Textocomentario">
    <w:name w:val="annotation text"/>
    <w:basedOn w:val="Normal"/>
    <w:link w:val="TextocomentarioCar"/>
    <w:uiPriority w:val="99"/>
    <w:semiHidden/>
    <w:unhideWhenUsed/>
    <w:rsid w:val="00777E1B"/>
    <w:rPr>
      <w:rFonts w:cs="Times New Roman"/>
      <w:sz w:val="20"/>
      <w:szCs w:val="20"/>
    </w:rPr>
  </w:style>
  <w:style w:type="character" w:customStyle="1" w:styleId="TextocomentarioCar">
    <w:name w:val="Texto comentario Car"/>
    <w:link w:val="Textocomentario"/>
    <w:uiPriority w:val="99"/>
    <w:semiHidden/>
    <w:rsid w:val="00777E1B"/>
    <w:rPr>
      <w:lang w:val="es-ES" w:eastAsia="en-US"/>
    </w:rPr>
  </w:style>
  <w:style w:type="paragraph" w:styleId="Asuntodelcomentario">
    <w:name w:val="annotation subject"/>
    <w:basedOn w:val="Textocomentario"/>
    <w:next w:val="Textocomentario"/>
    <w:link w:val="AsuntodelcomentarioCar"/>
    <w:uiPriority w:val="99"/>
    <w:semiHidden/>
    <w:unhideWhenUsed/>
    <w:rsid w:val="00777E1B"/>
    <w:rPr>
      <w:b/>
      <w:bCs/>
    </w:rPr>
  </w:style>
  <w:style w:type="character" w:customStyle="1" w:styleId="AsuntodelcomentarioCar">
    <w:name w:val="Asunto del comentario Car"/>
    <w:link w:val="Asuntodelcomentario"/>
    <w:uiPriority w:val="99"/>
    <w:semiHidden/>
    <w:rsid w:val="00777E1B"/>
    <w:rPr>
      <w:b/>
      <w:bCs/>
      <w:lang w:val="es-ES" w:eastAsia="en-US"/>
    </w:rPr>
  </w:style>
  <w:style w:type="paragraph" w:styleId="Prrafodelista">
    <w:name w:val="List Paragraph"/>
    <w:basedOn w:val="Normal"/>
    <w:link w:val="PrrafodelistaCar"/>
    <w:uiPriority w:val="34"/>
    <w:qFormat/>
    <w:rsid w:val="00CD48CB"/>
    <w:pPr>
      <w:spacing w:after="200" w:line="276" w:lineRule="auto"/>
      <w:ind w:left="720"/>
      <w:contextualSpacing/>
      <w:jc w:val="left"/>
    </w:pPr>
    <w:rPr>
      <w:rFonts w:ascii="Calibri" w:hAnsi="Calibri" w:cs="Times New Roman"/>
      <w:sz w:val="22"/>
      <w:szCs w:val="22"/>
    </w:rPr>
  </w:style>
  <w:style w:type="character" w:customStyle="1" w:styleId="PrrafodelistaCar">
    <w:name w:val="Párrafo de lista Car"/>
    <w:link w:val="Prrafodelista"/>
    <w:uiPriority w:val="34"/>
    <w:locked/>
    <w:rsid w:val="00D3126D"/>
    <w:rPr>
      <w:rFonts w:ascii="Calibri" w:hAnsi="Calibri" w:cs="Times New Roman"/>
      <w:sz w:val="22"/>
      <w:szCs w:val="22"/>
      <w:lang w:val="es-ES" w:eastAsia="en-US"/>
    </w:rPr>
  </w:style>
  <w:style w:type="paragraph" w:customStyle="1" w:styleId="Texto">
    <w:name w:val="Texto"/>
    <w:basedOn w:val="Normal"/>
    <w:rsid w:val="006566C5"/>
    <w:pPr>
      <w:spacing w:after="101" w:line="216" w:lineRule="exact"/>
      <w:ind w:firstLine="288"/>
    </w:pPr>
    <w:rPr>
      <w:rFonts w:eastAsia="Times New Roman"/>
      <w:sz w:val="18"/>
      <w:szCs w:val="18"/>
      <w:lang w:eastAsia="es-ES"/>
    </w:rPr>
  </w:style>
  <w:style w:type="table" w:styleId="Tablaconcuadrcula">
    <w:name w:val="Table Grid"/>
    <w:basedOn w:val="Tablanormal"/>
    <w:uiPriority w:val="59"/>
    <w:rsid w:val="004F6753"/>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nhideWhenUsed/>
    <w:rsid w:val="004F6753"/>
    <w:pPr>
      <w:jc w:val="left"/>
    </w:pPr>
    <w:rPr>
      <w:rFonts w:ascii="Courier New" w:eastAsia="Times New Roman" w:hAnsi="Courier New" w:cs="Times New Roman"/>
      <w:sz w:val="20"/>
      <w:szCs w:val="20"/>
      <w:lang w:eastAsia="es-ES"/>
    </w:rPr>
  </w:style>
  <w:style w:type="character" w:customStyle="1" w:styleId="TextosinformatoCar">
    <w:name w:val="Texto sin formato Car"/>
    <w:link w:val="Textosinformato"/>
    <w:rsid w:val="004F6753"/>
    <w:rPr>
      <w:rFonts w:ascii="Courier New" w:eastAsia="Times New Roman" w:hAnsi="Courier New" w:cs="Courier New"/>
      <w:lang w:val="es-ES" w:eastAsia="es-ES"/>
    </w:rPr>
  </w:style>
  <w:style w:type="paragraph" w:styleId="Sinespaciado">
    <w:name w:val="No Spacing"/>
    <w:link w:val="SinespaciadoCar"/>
    <w:uiPriority w:val="1"/>
    <w:qFormat/>
    <w:rsid w:val="00D22F0D"/>
    <w:rPr>
      <w:rFonts w:ascii="Calibri" w:eastAsia="Times New Roman" w:hAnsi="Calibri" w:cs="Times New Roman"/>
      <w:sz w:val="22"/>
      <w:szCs w:val="22"/>
      <w:lang w:val="es-MX" w:eastAsia="es-MX" w:bidi="es-ES_tradnl"/>
    </w:rPr>
  </w:style>
  <w:style w:type="character" w:customStyle="1" w:styleId="SinespaciadoCar">
    <w:name w:val="Sin espaciado Car"/>
    <w:link w:val="Sinespaciado"/>
    <w:uiPriority w:val="1"/>
    <w:rsid w:val="00D22F0D"/>
    <w:rPr>
      <w:rFonts w:ascii="Calibri" w:eastAsia="Times New Roman" w:hAnsi="Calibri" w:cs="Times New Roman"/>
      <w:sz w:val="22"/>
      <w:szCs w:val="22"/>
      <w:lang w:val="es-MX" w:eastAsia="es-MX" w:bidi="es-ES_tradnl"/>
    </w:rPr>
  </w:style>
  <w:style w:type="paragraph" w:customStyle="1" w:styleId="Estilo">
    <w:name w:val="Estilo"/>
    <w:basedOn w:val="Sinespaciado"/>
    <w:link w:val="EstiloCar"/>
    <w:qFormat/>
    <w:rsid w:val="00026517"/>
    <w:pPr>
      <w:jc w:val="both"/>
    </w:pPr>
    <w:rPr>
      <w:rFonts w:ascii="Arial" w:eastAsiaTheme="minorHAnsi" w:hAnsi="Arial" w:cstheme="minorBidi"/>
      <w:sz w:val="24"/>
      <w:lang w:bidi="ar-SA"/>
    </w:rPr>
  </w:style>
  <w:style w:type="character" w:customStyle="1" w:styleId="EstiloCar">
    <w:name w:val="Estilo Car"/>
    <w:basedOn w:val="Fuentedeprrafopredeter"/>
    <w:link w:val="Estilo"/>
    <w:rsid w:val="00026517"/>
    <w:rPr>
      <w:rFonts w:eastAsiaTheme="minorHAnsi" w:cstheme="minorBidi"/>
      <w:sz w:val="24"/>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3833">
      <w:bodyDiv w:val="1"/>
      <w:marLeft w:val="0"/>
      <w:marRight w:val="0"/>
      <w:marTop w:val="0"/>
      <w:marBottom w:val="0"/>
      <w:divBdr>
        <w:top w:val="none" w:sz="0" w:space="0" w:color="auto"/>
        <w:left w:val="none" w:sz="0" w:space="0" w:color="auto"/>
        <w:bottom w:val="none" w:sz="0" w:space="0" w:color="auto"/>
        <w:right w:val="none" w:sz="0" w:space="0" w:color="auto"/>
      </w:divBdr>
    </w:div>
    <w:div w:id="173813220">
      <w:bodyDiv w:val="1"/>
      <w:marLeft w:val="0"/>
      <w:marRight w:val="0"/>
      <w:marTop w:val="0"/>
      <w:marBottom w:val="0"/>
      <w:divBdr>
        <w:top w:val="none" w:sz="0" w:space="0" w:color="auto"/>
        <w:left w:val="none" w:sz="0" w:space="0" w:color="auto"/>
        <w:bottom w:val="none" w:sz="0" w:space="0" w:color="auto"/>
        <w:right w:val="none" w:sz="0" w:space="0" w:color="auto"/>
      </w:divBdr>
    </w:div>
    <w:div w:id="269556685">
      <w:bodyDiv w:val="1"/>
      <w:marLeft w:val="0"/>
      <w:marRight w:val="0"/>
      <w:marTop w:val="0"/>
      <w:marBottom w:val="0"/>
      <w:divBdr>
        <w:top w:val="none" w:sz="0" w:space="0" w:color="auto"/>
        <w:left w:val="none" w:sz="0" w:space="0" w:color="auto"/>
        <w:bottom w:val="none" w:sz="0" w:space="0" w:color="auto"/>
        <w:right w:val="none" w:sz="0" w:space="0" w:color="auto"/>
      </w:divBdr>
    </w:div>
    <w:div w:id="285351574">
      <w:bodyDiv w:val="1"/>
      <w:marLeft w:val="0"/>
      <w:marRight w:val="0"/>
      <w:marTop w:val="0"/>
      <w:marBottom w:val="0"/>
      <w:divBdr>
        <w:top w:val="none" w:sz="0" w:space="0" w:color="auto"/>
        <w:left w:val="none" w:sz="0" w:space="0" w:color="auto"/>
        <w:bottom w:val="none" w:sz="0" w:space="0" w:color="auto"/>
        <w:right w:val="none" w:sz="0" w:space="0" w:color="auto"/>
      </w:divBdr>
    </w:div>
    <w:div w:id="352808206">
      <w:bodyDiv w:val="1"/>
      <w:marLeft w:val="0"/>
      <w:marRight w:val="0"/>
      <w:marTop w:val="0"/>
      <w:marBottom w:val="0"/>
      <w:divBdr>
        <w:top w:val="none" w:sz="0" w:space="0" w:color="auto"/>
        <w:left w:val="none" w:sz="0" w:space="0" w:color="auto"/>
        <w:bottom w:val="none" w:sz="0" w:space="0" w:color="auto"/>
        <w:right w:val="none" w:sz="0" w:space="0" w:color="auto"/>
      </w:divBdr>
    </w:div>
    <w:div w:id="368342906">
      <w:bodyDiv w:val="1"/>
      <w:marLeft w:val="0"/>
      <w:marRight w:val="0"/>
      <w:marTop w:val="0"/>
      <w:marBottom w:val="0"/>
      <w:divBdr>
        <w:top w:val="none" w:sz="0" w:space="0" w:color="auto"/>
        <w:left w:val="none" w:sz="0" w:space="0" w:color="auto"/>
        <w:bottom w:val="none" w:sz="0" w:space="0" w:color="auto"/>
        <w:right w:val="none" w:sz="0" w:space="0" w:color="auto"/>
      </w:divBdr>
    </w:div>
    <w:div w:id="376053133">
      <w:bodyDiv w:val="1"/>
      <w:marLeft w:val="0"/>
      <w:marRight w:val="0"/>
      <w:marTop w:val="0"/>
      <w:marBottom w:val="0"/>
      <w:divBdr>
        <w:top w:val="none" w:sz="0" w:space="0" w:color="auto"/>
        <w:left w:val="none" w:sz="0" w:space="0" w:color="auto"/>
        <w:bottom w:val="none" w:sz="0" w:space="0" w:color="auto"/>
        <w:right w:val="none" w:sz="0" w:space="0" w:color="auto"/>
      </w:divBdr>
    </w:div>
    <w:div w:id="416442107">
      <w:bodyDiv w:val="1"/>
      <w:marLeft w:val="0"/>
      <w:marRight w:val="0"/>
      <w:marTop w:val="0"/>
      <w:marBottom w:val="0"/>
      <w:divBdr>
        <w:top w:val="none" w:sz="0" w:space="0" w:color="auto"/>
        <w:left w:val="none" w:sz="0" w:space="0" w:color="auto"/>
        <w:bottom w:val="none" w:sz="0" w:space="0" w:color="auto"/>
        <w:right w:val="none" w:sz="0" w:space="0" w:color="auto"/>
      </w:divBdr>
    </w:div>
    <w:div w:id="506484388">
      <w:bodyDiv w:val="1"/>
      <w:marLeft w:val="0"/>
      <w:marRight w:val="0"/>
      <w:marTop w:val="0"/>
      <w:marBottom w:val="0"/>
      <w:divBdr>
        <w:top w:val="none" w:sz="0" w:space="0" w:color="auto"/>
        <w:left w:val="none" w:sz="0" w:space="0" w:color="auto"/>
        <w:bottom w:val="none" w:sz="0" w:space="0" w:color="auto"/>
        <w:right w:val="none" w:sz="0" w:space="0" w:color="auto"/>
      </w:divBdr>
    </w:div>
    <w:div w:id="514006376">
      <w:bodyDiv w:val="1"/>
      <w:marLeft w:val="0"/>
      <w:marRight w:val="0"/>
      <w:marTop w:val="0"/>
      <w:marBottom w:val="0"/>
      <w:divBdr>
        <w:top w:val="none" w:sz="0" w:space="0" w:color="auto"/>
        <w:left w:val="none" w:sz="0" w:space="0" w:color="auto"/>
        <w:bottom w:val="none" w:sz="0" w:space="0" w:color="auto"/>
        <w:right w:val="none" w:sz="0" w:space="0" w:color="auto"/>
      </w:divBdr>
    </w:div>
    <w:div w:id="515121469">
      <w:bodyDiv w:val="1"/>
      <w:marLeft w:val="0"/>
      <w:marRight w:val="0"/>
      <w:marTop w:val="0"/>
      <w:marBottom w:val="0"/>
      <w:divBdr>
        <w:top w:val="none" w:sz="0" w:space="0" w:color="auto"/>
        <w:left w:val="none" w:sz="0" w:space="0" w:color="auto"/>
        <w:bottom w:val="none" w:sz="0" w:space="0" w:color="auto"/>
        <w:right w:val="none" w:sz="0" w:space="0" w:color="auto"/>
      </w:divBdr>
    </w:div>
    <w:div w:id="523833789">
      <w:bodyDiv w:val="1"/>
      <w:marLeft w:val="0"/>
      <w:marRight w:val="0"/>
      <w:marTop w:val="0"/>
      <w:marBottom w:val="0"/>
      <w:divBdr>
        <w:top w:val="none" w:sz="0" w:space="0" w:color="auto"/>
        <w:left w:val="none" w:sz="0" w:space="0" w:color="auto"/>
        <w:bottom w:val="none" w:sz="0" w:space="0" w:color="auto"/>
        <w:right w:val="none" w:sz="0" w:space="0" w:color="auto"/>
      </w:divBdr>
    </w:div>
    <w:div w:id="536509570">
      <w:bodyDiv w:val="1"/>
      <w:marLeft w:val="0"/>
      <w:marRight w:val="0"/>
      <w:marTop w:val="0"/>
      <w:marBottom w:val="0"/>
      <w:divBdr>
        <w:top w:val="none" w:sz="0" w:space="0" w:color="auto"/>
        <w:left w:val="none" w:sz="0" w:space="0" w:color="auto"/>
        <w:bottom w:val="none" w:sz="0" w:space="0" w:color="auto"/>
        <w:right w:val="none" w:sz="0" w:space="0" w:color="auto"/>
      </w:divBdr>
    </w:div>
    <w:div w:id="557521585">
      <w:bodyDiv w:val="1"/>
      <w:marLeft w:val="0"/>
      <w:marRight w:val="0"/>
      <w:marTop w:val="0"/>
      <w:marBottom w:val="0"/>
      <w:divBdr>
        <w:top w:val="none" w:sz="0" w:space="0" w:color="auto"/>
        <w:left w:val="none" w:sz="0" w:space="0" w:color="auto"/>
        <w:bottom w:val="none" w:sz="0" w:space="0" w:color="auto"/>
        <w:right w:val="none" w:sz="0" w:space="0" w:color="auto"/>
      </w:divBdr>
    </w:div>
    <w:div w:id="580722187">
      <w:bodyDiv w:val="1"/>
      <w:marLeft w:val="0"/>
      <w:marRight w:val="0"/>
      <w:marTop w:val="0"/>
      <w:marBottom w:val="0"/>
      <w:divBdr>
        <w:top w:val="none" w:sz="0" w:space="0" w:color="auto"/>
        <w:left w:val="none" w:sz="0" w:space="0" w:color="auto"/>
        <w:bottom w:val="none" w:sz="0" w:space="0" w:color="auto"/>
        <w:right w:val="none" w:sz="0" w:space="0" w:color="auto"/>
      </w:divBdr>
    </w:div>
    <w:div w:id="600454265">
      <w:bodyDiv w:val="1"/>
      <w:marLeft w:val="0"/>
      <w:marRight w:val="0"/>
      <w:marTop w:val="0"/>
      <w:marBottom w:val="0"/>
      <w:divBdr>
        <w:top w:val="none" w:sz="0" w:space="0" w:color="auto"/>
        <w:left w:val="none" w:sz="0" w:space="0" w:color="auto"/>
        <w:bottom w:val="none" w:sz="0" w:space="0" w:color="auto"/>
        <w:right w:val="none" w:sz="0" w:space="0" w:color="auto"/>
      </w:divBdr>
    </w:div>
    <w:div w:id="654143680">
      <w:bodyDiv w:val="1"/>
      <w:marLeft w:val="0"/>
      <w:marRight w:val="0"/>
      <w:marTop w:val="0"/>
      <w:marBottom w:val="0"/>
      <w:divBdr>
        <w:top w:val="none" w:sz="0" w:space="0" w:color="auto"/>
        <w:left w:val="none" w:sz="0" w:space="0" w:color="auto"/>
        <w:bottom w:val="none" w:sz="0" w:space="0" w:color="auto"/>
        <w:right w:val="none" w:sz="0" w:space="0" w:color="auto"/>
      </w:divBdr>
    </w:div>
    <w:div w:id="662004277">
      <w:bodyDiv w:val="1"/>
      <w:marLeft w:val="0"/>
      <w:marRight w:val="0"/>
      <w:marTop w:val="0"/>
      <w:marBottom w:val="0"/>
      <w:divBdr>
        <w:top w:val="none" w:sz="0" w:space="0" w:color="auto"/>
        <w:left w:val="none" w:sz="0" w:space="0" w:color="auto"/>
        <w:bottom w:val="none" w:sz="0" w:space="0" w:color="auto"/>
        <w:right w:val="none" w:sz="0" w:space="0" w:color="auto"/>
      </w:divBdr>
    </w:div>
    <w:div w:id="729036273">
      <w:bodyDiv w:val="1"/>
      <w:marLeft w:val="0"/>
      <w:marRight w:val="0"/>
      <w:marTop w:val="0"/>
      <w:marBottom w:val="0"/>
      <w:divBdr>
        <w:top w:val="none" w:sz="0" w:space="0" w:color="auto"/>
        <w:left w:val="none" w:sz="0" w:space="0" w:color="auto"/>
        <w:bottom w:val="none" w:sz="0" w:space="0" w:color="auto"/>
        <w:right w:val="none" w:sz="0" w:space="0" w:color="auto"/>
      </w:divBdr>
    </w:div>
    <w:div w:id="730005915">
      <w:bodyDiv w:val="1"/>
      <w:marLeft w:val="0"/>
      <w:marRight w:val="0"/>
      <w:marTop w:val="0"/>
      <w:marBottom w:val="0"/>
      <w:divBdr>
        <w:top w:val="none" w:sz="0" w:space="0" w:color="auto"/>
        <w:left w:val="none" w:sz="0" w:space="0" w:color="auto"/>
        <w:bottom w:val="none" w:sz="0" w:space="0" w:color="auto"/>
        <w:right w:val="none" w:sz="0" w:space="0" w:color="auto"/>
      </w:divBdr>
    </w:div>
    <w:div w:id="800151271">
      <w:bodyDiv w:val="1"/>
      <w:marLeft w:val="0"/>
      <w:marRight w:val="0"/>
      <w:marTop w:val="0"/>
      <w:marBottom w:val="0"/>
      <w:divBdr>
        <w:top w:val="none" w:sz="0" w:space="0" w:color="auto"/>
        <w:left w:val="none" w:sz="0" w:space="0" w:color="auto"/>
        <w:bottom w:val="none" w:sz="0" w:space="0" w:color="auto"/>
        <w:right w:val="none" w:sz="0" w:space="0" w:color="auto"/>
      </w:divBdr>
    </w:div>
    <w:div w:id="818158706">
      <w:bodyDiv w:val="1"/>
      <w:marLeft w:val="0"/>
      <w:marRight w:val="0"/>
      <w:marTop w:val="0"/>
      <w:marBottom w:val="0"/>
      <w:divBdr>
        <w:top w:val="none" w:sz="0" w:space="0" w:color="auto"/>
        <w:left w:val="none" w:sz="0" w:space="0" w:color="auto"/>
        <w:bottom w:val="none" w:sz="0" w:space="0" w:color="auto"/>
        <w:right w:val="none" w:sz="0" w:space="0" w:color="auto"/>
      </w:divBdr>
    </w:div>
    <w:div w:id="874925652">
      <w:bodyDiv w:val="1"/>
      <w:marLeft w:val="0"/>
      <w:marRight w:val="0"/>
      <w:marTop w:val="0"/>
      <w:marBottom w:val="0"/>
      <w:divBdr>
        <w:top w:val="none" w:sz="0" w:space="0" w:color="auto"/>
        <w:left w:val="none" w:sz="0" w:space="0" w:color="auto"/>
        <w:bottom w:val="none" w:sz="0" w:space="0" w:color="auto"/>
        <w:right w:val="none" w:sz="0" w:space="0" w:color="auto"/>
      </w:divBdr>
    </w:div>
    <w:div w:id="907304170">
      <w:bodyDiv w:val="1"/>
      <w:marLeft w:val="0"/>
      <w:marRight w:val="0"/>
      <w:marTop w:val="0"/>
      <w:marBottom w:val="0"/>
      <w:divBdr>
        <w:top w:val="none" w:sz="0" w:space="0" w:color="auto"/>
        <w:left w:val="none" w:sz="0" w:space="0" w:color="auto"/>
        <w:bottom w:val="none" w:sz="0" w:space="0" w:color="auto"/>
        <w:right w:val="none" w:sz="0" w:space="0" w:color="auto"/>
      </w:divBdr>
    </w:div>
    <w:div w:id="1020008662">
      <w:bodyDiv w:val="1"/>
      <w:marLeft w:val="0"/>
      <w:marRight w:val="0"/>
      <w:marTop w:val="0"/>
      <w:marBottom w:val="0"/>
      <w:divBdr>
        <w:top w:val="none" w:sz="0" w:space="0" w:color="auto"/>
        <w:left w:val="none" w:sz="0" w:space="0" w:color="auto"/>
        <w:bottom w:val="none" w:sz="0" w:space="0" w:color="auto"/>
        <w:right w:val="none" w:sz="0" w:space="0" w:color="auto"/>
      </w:divBdr>
    </w:div>
    <w:div w:id="1066419063">
      <w:bodyDiv w:val="1"/>
      <w:marLeft w:val="0"/>
      <w:marRight w:val="0"/>
      <w:marTop w:val="0"/>
      <w:marBottom w:val="0"/>
      <w:divBdr>
        <w:top w:val="none" w:sz="0" w:space="0" w:color="auto"/>
        <w:left w:val="none" w:sz="0" w:space="0" w:color="auto"/>
        <w:bottom w:val="none" w:sz="0" w:space="0" w:color="auto"/>
        <w:right w:val="none" w:sz="0" w:space="0" w:color="auto"/>
      </w:divBdr>
    </w:div>
    <w:div w:id="1086725434">
      <w:bodyDiv w:val="1"/>
      <w:marLeft w:val="0"/>
      <w:marRight w:val="0"/>
      <w:marTop w:val="0"/>
      <w:marBottom w:val="0"/>
      <w:divBdr>
        <w:top w:val="none" w:sz="0" w:space="0" w:color="auto"/>
        <w:left w:val="none" w:sz="0" w:space="0" w:color="auto"/>
        <w:bottom w:val="none" w:sz="0" w:space="0" w:color="auto"/>
        <w:right w:val="none" w:sz="0" w:space="0" w:color="auto"/>
      </w:divBdr>
    </w:div>
    <w:div w:id="1098259786">
      <w:bodyDiv w:val="1"/>
      <w:marLeft w:val="0"/>
      <w:marRight w:val="0"/>
      <w:marTop w:val="0"/>
      <w:marBottom w:val="0"/>
      <w:divBdr>
        <w:top w:val="none" w:sz="0" w:space="0" w:color="auto"/>
        <w:left w:val="none" w:sz="0" w:space="0" w:color="auto"/>
        <w:bottom w:val="none" w:sz="0" w:space="0" w:color="auto"/>
        <w:right w:val="none" w:sz="0" w:space="0" w:color="auto"/>
      </w:divBdr>
    </w:div>
    <w:div w:id="1106462386">
      <w:bodyDiv w:val="1"/>
      <w:marLeft w:val="0"/>
      <w:marRight w:val="0"/>
      <w:marTop w:val="0"/>
      <w:marBottom w:val="0"/>
      <w:divBdr>
        <w:top w:val="none" w:sz="0" w:space="0" w:color="auto"/>
        <w:left w:val="none" w:sz="0" w:space="0" w:color="auto"/>
        <w:bottom w:val="none" w:sz="0" w:space="0" w:color="auto"/>
        <w:right w:val="none" w:sz="0" w:space="0" w:color="auto"/>
      </w:divBdr>
    </w:div>
    <w:div w:id="1115171293">
      <w:bodyDiv w:val="1"/>
      <w:marLeft w:val="0"/>
      <w:marRight w:val="0"/>
      <w:marTop w:val="0"/>
      <w:marBottom w:val="0"/>
      <w:divBdr>
        <w:top w:val="none" w:sz="0" w:space="0" w:color="auto"/>
        <w:left w:val="none" w:sz="0" w:space="0" w:color="auto"/>
        <w:bottom w:val="none" w:sz="0" w:space="0" w:color="auto"/>
        <w:right w:val="none" w:sz="0" w:space="0" w:color="auto"/>
      </w:divBdr>
    </w:div>
    <w:div w:id="1127311118">
      <w:bodyDiv w:val="1"/>
      <w:marLeft w:val="0"/>
      <w:marRight w:val="0"/>
      <w:marTop w:val="0"/>
      <w:marBottom w:val="0"/>
      <w:divBdr>
        <w:top w:val="none" w:sz="0" w:space="0" w:color="auto"/>
        <w:left w:val="none" w:sz="0" w:space="0" w:color="auto"/>
        <w:bottom w:val="none" w:sz="0" w:space="0" w:color="auto"/>
        <w:right w:val="none" w:sz="0" w:space="0" w:color="auto"/>
      </w:divBdr>
    </w:div>
    <w:div w:id="1171140104">
      <w:bodyDiv w:val="1"/>
      <w:marLeft w:val="0"/>
      <w:marRight w:val="0"/>
      <w:marTop w:val="0"/>
      <w:marBottom w:val="0"/>
      <w:divBdr>
        <w:top w:val="none" w:sz="0" w:space="0" w:color="auto"/>
        <w:left w:val="none" w:sz="0" w:space="0" w:color="auto"/>
        <w:bottom w:val="none" w:sz="0" w:space="0" w:color="auto"/>
        <w:right w:val="none" w:sz="0" w:space="0" w:color="auto"/>
      </w:divBdr>
    </w:div>
    <w:div w:id="1225724121">
      <w:bodyDiv w:val="1"/>
      <w:marLeft w:val="0"/>
      <w:marRight w:val="0"/>
      <w:marTop w:val="0"/>
      <w:marBottom w:val="0"/>
      <w:divBdr>
        <w:top w:val="none" w:sz="0" w:space="0" w:color="auto"/>
        <w:left w:val="none" w:sz="0" w:space="0" w:color="auto"/>
        <w:bottom w:val="none" w:sz="0" w:space="0" w:color="auto"/>
        <w:right w:val="none" w:sz="0" w:space="0" w:color="auto"/>
      </w:divBdr>
    </w:div>
    <w:div w:id="1253507803">
      <w:bodyDiv w:val="1"/>
      <w:marLeft w:val="0"/>
      <w:marRight w:val="0"/>
      <w:marTop w:val="0"/>
      <w:marBottom w:val="0"/>
      <w:divBdr>
        <w:top w:val="none" w:sz="0" w:space="0" w:color="auto"/>
        <w:left w:val="none" w:sz="0" w:space="0" w:color="auto"/>
        <w:bottom w:val="none" w:sz="0" w:space="0" w:color="auto"/>
        <w:right w:val="none" w:sz="0" w:space="0" w:color="auto"/>
      </w:divBdr>
    </w:div>
    <w:div w:id="1343513332">
      <w:bodyDiv w:val="1"/>
      <w:marLeft w:val="0"/>
      <w:marRight w:val="0"/>
      <w:marTop w:val="0"/>
      <w:marBottom w:val="0"/>
      <w:divBdr>
        <w:top w:val="none" w:sz="0" w:space="0" w:color="auto"/>
        <w:left w:val="none" w:sz="0" w:space="0" w:color="auto"/>
        <w:bottom w:val="none" w:sz="0" w:space="0" w:color="auto"/>
        <w:right w:val="none" w:sz="0" w:space="0" w:color="auto"/>
      </w:divBdr>
    </w:div>
    <w:div w:id="1439448327">
      <w:bodyDiv w:val="1"/>
      <w:marLeft w:val="0"/>
      <w:marRight w:val="0"/>
      <w:marTop w:val="0"/>
      <w:marBottom w:val="0"/>
      <w:divBdr>
        <w:top w:val="none" w:sz="0" w:space="0" w:color="auto"/>
        <w:left w:val="none" w:sz="0" w:space="0" w:color="auto"/>
        <w:bottom w:val="none" w:sz="0" w:space="0" w:color="auto"/>
        <w:right w:val="none" w:sz="0" w:space="0" w:color="auto"/>
      </w:divBdr>
    </w:div>
    <w:div w:id="1444500687">
      <w:bodyDiv w:val="1"/>
      <w:marLeft w:val="0"/>
      <w:marRight w:val="0"/>
      <w:marTop w:val="0"/>
      <w:marBottom w:val="0"/>
      <w:divBdr>
        <w:top w:val="none" w:sz="0" w:space="0" w:color="auto"/>
        <w:left w:val="none" w:sz="0" w:space="0" w:color="auto"/>
        <w:bottom w:val="none" w:sz="0" w:space="0" w:color="auto"/>
        <w:right w:val="none" w:sz="0" w:space="0" w:color="auto"/>
      </w:divBdr>
      <w:divsChild>
        <w:div w:id="166791153">
          <w:marLeft w:val="0"/>
          <w:marRight w:val="0"/>
          <w:marTop w:val="0"/>
          <w:marBottom w:val="0"/>
          <w:divBdr>
            <w:top w:val="none" w:sz="0" w:space="0" w:color="auto"/>
            <w:left w:val="none" w:sz="0" w:space="0" w:color="auto"/>
            <w:bottom w:val="none" w:sz="0" w:space="0" w:color="auto"/>
            <w:right w:val="none" w:sz="0" w:space="0" w:color="auto"/>
          </w:divBdr>
        </w:div>
        <w:div w:id="897979315">
          <w:marLeft w:val="0"/>
          <w:marRight w:val="0"/>
          <w:marTop w:val="0"/>
          <w:marBottom w:val="0"/>
          <w:divBdr>
            <w:top w:val="none" w:sz="0" w:space="0" w:color="auto"/>
            <w:left w:val="none" w:sz="0" w:space="0" w:color="auto"/>
            <w:bottom w:val="none" w:sz="0" w:space="0" w:color="auto"/>
            <w:right w:val="none" w:sz="0" w:space="0" w:color="auto"/>
          </w:divBdr>
        </w:div>
      </w:divsChild>
    </w:div>
    <w:div w:id="1453598904">
      <w:bodyDiv w:val="1"/>
      <w:marLeft w:val="0"/>
      <w:marRight w:val="0"/>
      <w:marTop w:val="0"/>
      <w:marBottom w:val="0"/>
      <w:divBdr>
        <w:top w:val="none" w:sz="0" w:space="0" w:color="auto"/>
        <w:left w:val="none" w:sz="0" w:space="0" w:color="auto"/>
        <w:bottom w:val="none" w:sz="0" w:space="0" w:color="auto"/>
        <w:right w:val="none" w:sz="0" w:space="0" w:color="auto"/>
      </w:divBdr>
    </w:div>
    <w:div w:id="1572278645">
      <w:bodyDiv w:val="1"/>
      <w:marLeft w:val="0"/>
      <w:marRight w:val="0"/>
      <w:marTop w:val="0"/>
      <w:marBottom w:val="0"/>
      <w:divBdr>
        <w:top w:val="none" w:sz="0" w:space="0" w:color="auto"/>
        <w:left w:val="none" w:sz="0" w:space="0" w:color="auto"/>
        <w:bottom w:val="none" w:sz="0" w:space="0" w:color="auto"/>
        <w:right w:val="none" w:sz="0" w:space="0" w:color="auto"/>
      </w:divBdr>
    </w:div>
    <w:div w:id="1601765629">
      <w:bodyDiv w:val="1"/>
      <w:marLeft w:val="0"/>
      <w:marRight w:val="0"/>
      <w:marTop w:val="0"/>
      <w:marBottom w:val="0"/>
      <w:divBdr>
        <w:top w:val="none" w:sz="0" w:space="0" w:color="auto"/>
        <w:left w:val="none" w:sz="0" w:space="0" w:color="auto"/>
        <w:bottom w:val="none" w:sz="0" w:space="0" w:color="auto"/>
        <w:right w:val="none" w:sz="0" w:space="0" w:color="auto"/>
      </w:divBdr>
    </w:div>
    <w:div w:id="1693922802">
      <w:bodyDiv w:val="1"/>
      <w:marLeft w:val="0"/>
      <w:marRight w:val="0"/>
      <w:marTop w:val="0"/>
      <w:marBottom w:val="0"/>
      <w:divBdr>
        <w:top w:val="none" w:sz="0" w:space="0" w:color="auto"/>
        <w:left w:val="none" w:sz="0" w:space="0" w:color="auto"/>
        <w:bottom w:val="none" w:sz="0" w:space="0" w:color="auto"/>
        <w:right w:val="none" w:sz="0" w:space="0" w:color="auto"/>
      </w:divBdr>
    </w:div>
    <w:div w:id="1826700136">
      <w:bodyDiv w:val="1"/>
      <w:marLeft w:val="0"/>
      <w:marRight w:val="0"/>
      <w:marTop w:val="0"/>
      <w:marBottom w:val="0"/>
      <w:divBdr>
        <w:top w:val="none" w:sz="0" w:space="0" w:color="auto"/>
        <w:left w:val="none" w:sz="0" w:space="0" w:color="auto"/>
        <w:bottom w:val="none" w:sz="0" w:space="0" w:color="auto"/>
        <w:right w:val="none" w:sz="0" w:space="0" w:color="auto"/>
      </w:divBdr>
    </w:div>
    <w:div w:id="1849369483">
      <w:bodyDiv w:val="1"/>
      <w:marLeft w:val="0"/>
      <w:marRight w:val="0"/>
      <w:marTop w:val="0"/>
      <w:marBottom w:val="0"/>
      <w:divBdr>
        <w:top w:val="none" w:sz="0" w:space="0" w:color="auto"/>
        <w:left w:val="none" w:sz="0" w:space="0" w:color="auto"/>
        <w:bottom w:val="none" w:sz="0" w:space="0" w:color="auto"/>
        <w:right w:val="none" w:sz="0" w:space="0" w:color="auto"/>
      </w:divBdr>
    </w:div>
    <w:div w:id="1956062638">
      <w:bodyDiv w:val="1"/>
      <w:marLeft w:val="0"/>
      <w:marRight w:val="0"/>
      <w:marTop w:val="0"/>
      <w:marBottom w:val="0"/>
      <w:divBdr>
        <w:top w:val="none" w:sz="0" w:space="0" w:color="auto"/>
        <w:left w:val="none" w:sz="0" w:space="0" w:color="auto"/>
        <w:bottom w:val="none" w:sz="0" w:space="0" w:color="auto"/>
        <w:right w:val="none" w:sz="0" w:space="0" w:color="auto"/>
      </w:divBdr>
    </w:div>
    <w:div w:id="1959795073">
      <w:bodyDiv w:val="1"/>
      <w:marLeft w:val="0"/>
      <w:marRight w:val="0"/>
      <w:marTop w:val="0"/>
      <w:marBottom w:val="0"/>
      <w:divBdr>
        <w:top w:val="none" w:sz="0" w:space="0" w:color="auto"/>
        <w:left w:val="none" w:sz="0" w:space="0" w:color="auto"/>
        <w:bottom w:val="none" w:sz="0" w:space="0" w:color="auto"/>
        <w:right w:val="none" w:sz="0" w:space="0" w:color="auto"/>
      </w:divBdr>
    </w:div>
    <w:div w:id="1996257958">
      <w:bodyDiv w:val="1"/>
      <w:marLeft w:val="0"/>
      <w:marRight w:val="0"/>
      <w:marTop w:val="0"/>
      <w:marBottom w:val="0"/>
      <w:divBdr>
        <w:top w:val="none" w:sz="0" w:space="0" w:color="auto"/>
        <w:left w:val="none" w:sz="0" w:space="0" w:color="auto"/>
        <w:bottom w:val="none" w:sz="0" w:space="0" w:color="auto"/>
        <w:right w:val="none" w:sz="0" w:space="0" w:color="auto"/>
      </w:divBdr>
    </w:div>
    <w:div w:id="2094622739">
      <w:bodyDiv w:val="1"/>
      <w:marLeft w:val="0"/>
      <w:marRight w:val="0"/>
      <w:marTop w:val="0"/>
      <w:marBottom w:val="0"/>
      <w:divBdr>
        <w:top w:val="none" w:sz="0" w:space="0" w:color="auto"/>
        <w:left w:val="none" w:sz="0" w:space="0" w:color="auto"/>
        <w:bottom w:val="none" w:sz="0" w:space="0" w:color="auto"/>
        <w:right w:val="none" w:sz="0" w:space="0" w:color="auto"/>
      </w:divBdr>
    </w:div>
    <w:div w:id="2130587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emf"/><Relationship Id="rId23" Type="http://schemas.openxmlformats.org/officeDocument/2006/relationships/image" Target="media/image15.emf"/><Relationship Id="rId24" Type="http://schemas.openxmlformats.org/officeDocument/2006/relationships/image" Target="media/image16.emf"/><Relationship Id="rId25" Type="http://schemas.openxmlformats.org/officeDocument/2006/relationships/image" Target="media/image17.emf"/><Relationship Id="rId26" Type="http://schemas.openxmlformats.org/officeDocument/2006/relationships/image" Target="media/image18.emf"/><Relationship Id="rId27" Type="http://schemas.openxmlformats.org/officeDocument/2006/relationships/image" Target="media/image19.emf"/><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8FAAB-58A9-9542-9DCD-7085C916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17734</Words>
  <Characters>97538</Characters>
  <Application>Microsoft Macintosh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Andrés Barceló</cp:lastModifiedBy>
  <cp:revision>2</cp:revision>
  <cp:lastPrinted>2018-11-26T23:08:00Z</cp:lastPrinted>
  <dcterms:created xsi:type="dcterms:W3CDTF">2020-04-30T19:08:00Z</dcterms:created>
  <dcterms:modified xsi:type="dcterms:W3CDTF">2020-04-30T19:08:00Z</dcterms:modified>
</cp:coreProperties>
</file>