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415" w:rsidRPr="00B11B29" w:rsidRDefault="00012415" w:rsidP="0076196F">
      <w:pPr>
        <w:jc w:val="center"/>
        <w:rPr>
          <w:rFonts w:ascii="Agency FB" w:hAnsi="Agency FB" w:cs="Arial"/>
          <w:b/>
          <w:sz w:val="28"/>
          <w:szCs w:val="28"/>
        </w:rPr>
      </w:pPr>
    </w:p>
    <w:p w:rsidR="00012415" w:rsidRPr="00B11B29" w:rsidRDefault="00012415" w:rsidP="0076196F">
      <w:pPr>
        <w:jc w:val="center"/>
        <w:rPr>
          <w:rFonts w:ascii="Agency FB" w:hAnsi="Agency FB" w:cs="Arial"/>
          <w:b/>
          <w:sz w:val="28"/>
          <w:szCs w:val="28"/>
        </w:rPr>
      </w:pPr>
    </w:p>
    <w:p w:rsidR="00012415" w:rsidRPr="00B11B29" w:rsidRDefault="00012415" w:rsidP="0076196F">
      <w:pPr>
        <w:jc w:val="center"/>
        <w:rPr>
          <w:rFonts w:ascii="Agency FB" w:hAnsi="Agency FB" w:cs="Arial"/>
          <w:b/>
          <w:sz w:val="28"/>
          <w:szCs w:val="28"/>
        </w:rPr>
      </w:pPr>
    </w:p>
    <w:p w:rsidR="00012415" w:rsidRPr="00B11B29" w:rsidRDefault="00012415" w:rsidP="00012415">
      <w:pPr>
        <w:rPr>
          <w:rFonts w:ascii="Agency FB" w:hAnsi="Agency FB" w:cs="Arial"/>
          <w:b/>
          <w:sz w:val="28"/>
          <w:szCs w:val="28"/>
        </w:rPr>
      </w:pPr>
    </w:p>
    <w:p w:rsidR="006B09C1" w:rsidRPr="00B11B29" w:rsidRDefault="006B09C1" w:rsidP="00012415">
      <w:pPr>
        <w:rPr>
          <w:rFonts w:ascii="Agency FB" w:hAnsi="Agency FB" w:cs="Arial"/>
          <w:b/>
          <w:sz w:val="28"/>
          <w:szCs w:val="28"/>
        </w:rPr>
      </w:pPr>
    </w:p>
    <w:p w:rsidR="006B09C1" w:rsidRPr="00B11B29" w:rsidRDefault="006B09C1" w:rsidP="00012415">
      <w:pPr>
        <w:rPr>
          <w:rFonts w:ascii="Agency FB" w:hAnsi="Agency FB" w:cs="Arial"/>
          <w:b/>
          <w:sz w:val="28"/>
          <w:szCs w:val="28"/>
        </w:rPr>
      </w:pPr>
    </w:p>
    <w:p w:rsidR="003C3F16" w:rsidRPr="00B11B29" w:rsidRDefault="003C3F16" w:rsidP="000C31B5">
      <w:pPr>
        <w:jc w:val="center"/>
        <w:rPr>
          <w:rFonts w:ascii="Agency FB" w:hAnsi="Agency FB" w:cs="Arial"/>
          <w:b/>
          <w:sz w:val="28"/>
          <w:szCs w:val="28"/>
        </w:rPr>
      </w:pPr>
    </w:p>
    <w:p w:rsidR="00012415" w:rsidRPr="00B41E23" w:rsidRDefault="000C31B5" w:rsidP="000C31B5">
      <w:pPr>
        <w:jc w:val="center"/>
        <w:rPr>
          <w:rFonts w:ascii="Agency FB" w:hAnsi="Agency FB" w:cs="Arial"/>
          <w:b/>
          <w:sz w:val="96"/>
          <w:szCs w:val="28"/>
        </w:rPr>
      </w:pPr>
      <w:r w:rsidRPr="00B41E23">
        <w:rPr>
          <w:rFonts w:ascii="Agency FB" w:hAnsi="Agency FB" w:cs="Arial"/>
          <w:b/>
          <w:sz w:val="96"/>
          <w:szCs w:val="28"/>
        </w:rPr>
        <w:t>POSTURA FISCAL</w:t>
      </w:r>
    </w:p>
    <w:p w:rsidR="00012415" w:rsidRPr="00B11B29" w:rsidRDefault="003C3F16" w:rsidP="003C3F16">
      <w:pPr>
        <w:tabs>
          <w:tab w:val="left" w:pos="12831"/>
        </w:tabs>
        <w:rPr>
          <w:rFonts w:ascii="Agency FB" w:hAnsi="Agency FB" w:cs="Arial"/>
          <w:b/>
          <w:sz w:val="28"/>
          <w:szCs w:val="28"/>
        </w:rPr>
      </w:pPr>
      <w:r w:rsidRPr="00B11B29">
        <w:rPr>
          <w:rFonts w:ascii="Agency FB" w:hAnsi="Agency FB" w:cs="Arial"/>
          <w:b/>
          <w:sz w:val="28"/>
          <w:szCs w:val="28"/>
        </w:rPr>
        <w:tab/>
      </w:r>
    </w:p>
    <w:p w:rsidR="00012415" w:rsidRPr="00B11B29" w:rsidRDefault="00012415" w:rsidP="0076196F">
      <w:pPr>
        <w:jc w:val="center"/>
        <w:rPr>
          <w:rFonts w:ascii="Agency FB" w:hAnsi="Agency FB" w:cs="Arial"/>
          <w:b/>
          <w:sz w:val="28"/>
          <w:szCs w:val="28"/>
        </w:rPr>
      </w:pPr>
    </w:p>
    <w:p w:rsidR="00012415" w:rsidRPr="00B11B29" w:rsidRDefault="00012415" w:rsidP="0076196F">
      <w:pPr>
        <w:jc w:val="center"/>
        <w:rPr>
          <w:rFonts w:ascii="Agency FB" w:hAnsi="Agency FB" w:cs="Arial"/>
          <w:b/>
          <w:sz w:val="28"/>
          <w:szCs w:val="28"/>
        </w:rPr>
      </w:pPr>
    </w:p>
    <w:p w:rsidR="00012415" w:rsidRPr="00B11B29" w:rsidRDefault="00012415" w:rsidP="0076196F">
      <w:pPr>
        <w:jc w:val="center"/>
        <w:rPr>
          <w:rFonts w:ascii="Agency FB" w:hAnsi="Agency FB" w:cs="Arial"/>
          <w:b/>
          <w:sz w:val="28"/>
          <w:szCs w:val="28"/>
        </w:rPr>
      </w:pPr>
    </w:p>
    <w:p w:rsidR="008F566F" w:rsidRPr="00B11B29" w:rsidRDefault="008F566F" w:rsidP="0076196F">
      <w:pPr>
        <w:jc w:val="center"/>
        <w:rPr>
          <w:rFonts w:ascii="Agency FB" w:hAnsi="Agency FB" w:cs="Arial"/>
          <w:b/>
          <w:sz w:val="28"/>
          <w:szCs w:val="28"/>
        </w:rPr>
      </w:pPr>
    </w:p>
    <w:p w:rsidR="008F566F" w:rsidRDefault="008F566F" w:rsidP="0076196F">
      <w:pPr>
        <w:jc w:val="center"/>
        <w:rPr>
          <w:rFonts w:ascii="Agency FB" w:hAnsi="Agency FB" w:cs="Arial"/>
          <w:b/>
          <w:sz w:val="28"/>
          <w:szCs w:val="28"/>
        </w:rPr>
      </w:pPr>
    </w:p>
    <w:p w:rsidR="00426F09" w:rsidRPr="00426F09" w:rsidRDefault="00426F09" w:rsidP="00426F09">
      <w:pPr>
        <w:rPr>
          <w:rFonts w:ascii="Agency FB" w:hAnsi="Agency FB" w:cs="Arial"/>
          <w:b/>
          <w:sz w:val="28"/>
          <w:szCs w:val="28"/>
        </w:rPr>
      </w:pPr>
      <w:r w:rsidRPr="00426F09">
        <w:rPr>
          <w:rFonts w:ascii="Agency FB" w:hAnsi="Agency FB" w:cs="Arial"/>
          <w:b/>
          <w:sz w:val="28"/>
          <w:szCs w:val="28"/>
        </w:rPr>
        <w:lastRenderedPageBreak/>
        <w:t>1.</w:t>
      </w:r>
      <w:r w:rsidRPr="00426F09">
        <w:rPr>
          <w:rFonts w:ascii="Agency FB" w:hAnsi="Agency FB" w:cs="Arial"/>
          <w:b/>
          <w:sz w:val="28"/>
          <w:szCs w:val="28"/>
        </w:rPr>
        <w:tab/>
        <w:t>Postura Fiscal</w:t>
      </w:r>
    </w:p>
    <w:p w:rsidR="00426F09" w:rsidRPr="00426F09" w:rsidRDefault="00426F09" w:rsidP="00426F09">
      <w:pPr>
        <w:jc w:val="both"/>
        <w:rPr>
          <w:rFonts w:ascii="Agency FB" w:hAnsi="Agency FB" w:cs="Arial"/>
          <w:sz w:val="28"/>
          <w:szCs w:val="28"/>
        </w:rPr>
      </w:pPr>
      <w:r w:rsidRPr="00426F09">
        <w:rPr>
          <w:rFonts w:ascii="Agency FB" w:hAnsi="Agency FB" w:cs="Arial"/>
          <w:sz w:val="28"/>
          <w:szCs w:val="28"/>
        </w:rPr>
        <w:t>El Plan Estatal de Desarrollo 2019-2024, incorpora objetivos y estrategias orientadas a modernizar la estructura productiva, en el sentido de diversificar las actividades generadoras de ingreso, impulsando aquéllas que tienen mayor valor agregado. Esta nueva situación requiere crear condiciones que permitan hacer competitiva la producción de bienes y servicios de la entidad en los mercados nacional e internacional, pero alternos a la producción petrolera local. El PLED 2019-2024, se integra de tres grandes ejes rectores: 1. Seguridad, justicia y estado de derecho; 2. Bienestar, educación y salud; y 3. Desarrollo económico. Así como de los ejes transversales siguientes: 4. Inclusión e igualdad sustantiva; 5. Combate a la corrupción y mejora de la gestión pública: 6. Ordenamiento territorial y desarrollo sostenible. La Postura Fiscal, se deriva del análisis de la situación general de la economía durante el ejercicio, para tal efecto, se constituye de un marco de referencia en el cual se enlistan los objetivos, estrategias y líneas de acción, establecidas en el Plan Estatal de Desarrollo 2019-2024, que a continuación se enlistan:</w:t>
      </w:r>
    </w:p>
    <w:p w:rsidR="00426F09" w:rsidRPr="00426F09" w:rsidRDefault="00426F09" w:rsidP="00426F09">
      <w:pPr>
        <w:rPr>
          <w:rFonts w:ascii="Agency FB" w:hAnsi="Agency FB" w:cs="Arial"/>
          <w:b/>
          <w:sz w:val="28"/>
          <w:szCs w:val="28"/>
        </w:rPr>
      </w:pPr>
      <w:r w:rsidRPr="00426F09">
        <w:rPr>
          <w:rFonts w:ascii="Agency FB" w:hAnsi="Agency FB" w:cs="Arial"/>
          <w:b/>
          <w:sz w:val="28"/>
          <w:szCs w:val="28"/>
        </w:rPr>
        <w:t>1.1</w:t>
      </w:r>
      <w:r w:rsidRPr="00426F09">
        <w:rPr>
          <w:rFonts w:ascii="Agency FB" w:hAnsi="Agency FB" w:cs="Arial"/>
          <w:b/>
          <w:sz w:val="28"/>
          <w:szCs w:val="28"/>
        </w:rPr>
        <w:tab/>
        <w:t>OBJETIVOS ANUALES, ESTRATEGIAS Y METAS</w:t>
      </w:r>
    </w:p>
    <w:p w:rsidR="00426F09" w:rsidRPr="00426F09" w:rsidRDefault="00426F09" w:rsidP="00426F09">
      <w:pPr>
        <w:jc w:val="both"/>
        <w:rPr>
          <w:rFonts w:ascii="Agency FB" w:hAnsi="Agency FB" w:cs="Arial"/>
          <w:sz w:val="28"/>
          <w:szCs w:val="28"/>
        </w:rPr>
      </w:pPr>
      <w:r w:rsidRPr="00426F09">
        <w:rPr>
          <w:rFonts w:ascii="Agency FB" w:hAnsi="Agency FB" w:cs="Arial"/>
          <w:sz w:val="28"/>
          <w:szCs w:val="28"/>
        </w:rPr>
        <w:t>Dando cumplimiento a los artículos 5, fracción I de la Ley de Disciplina Financiera de las Entidades Federativas y los Municipios; y 13, fracción I de la Ley de Presupuesto y Responsabilidad Hacendaria del Estado de Tabasco y sus Municipios; a continuación, se menciona la política de ingresos para el ejercicio fiscal 2024, la cual se sustenta en los siguientes objetivos, estrategias y metas anuales:</w:t>
      </w:r>
    </w:p>
    <w:p w:rsidR="00426F09" w:rsidRPr="00426F09" w:rsidRDefault="00426F09" w:rsidP="00426F09">
      <w:pPr>
        <w:rPr>
          <w:rFonts w:ascii="Agency FB" w:hAnsi="Agency FB" w:cs="Arial"/>
          <w:b/>
          <w:sz w:val="28"/>
          <w:szCs w:val="28"/>
        </w:rPr>
      </w:pPr>
      <w:r w:rsidRPr="00426F09">
        <w:rPr>
          <w:rFonts w:ascii="Agency FB" w:hAnsi="Agency FB" w:cs="Arial"/>
          <w:b/>
          <w:sz w:val="28"/>
          <w:szCs w:val="28"/>
        </w:rPr>
        <w:t>1.1.1</w:t>
      </w:r>
      <w:r w:rsidRPr="00426F09">
        <w:rPr>
          <w:rFonts w:ascii="Agency FB" w:hAnsi="Agency FB" w:cs="Arial"/>
          <w:b/>
          <w:sz w:val="28"/>
          <w:szCs w:val="28"/>
        </w:rPr>
        <w:tab/>
        <w:t>Objetivos anuales</w:t>
      </w:r>
    </w:p>
    <w:p w:rsidR="00426F09" w:rsidRPr="00426F09" w:rsidRDefault="00426F09" w:rsidP="00426F09">
      <w:pPr>
        <w:pStyle w:val="Prrafodelista"/>
        <w:numPr>
          <w:ilvl w:val="0"/>
          <w:numId w:val="36"/>
        </w:numPr>
        <w:jc w:val="both"/>
        <w:rPr>
          <w:rFonts w:ascii="Agency FB" w:hAnsi="Agency FB" w:cs="Arial"/>
          <w:sz w:val="28"/>
          <w:szCs w:val="28"/>
        </w:rPr>
      </w:pPr>
      <w:r w:rsidRPr="00426F09">
        <w:rPr>
          <w:rFonts w:ascii="Agency FB" w:hAnsi="Agency FB" w:cs="Arial"/>
          <w:sz w:val="28"/>
          <w:szCs w:val="28"/>
        </w:rPr>
        <w:t xml:space="preserve">Cumplir con el pronóstico de ingresos previsto en el artículo 1 de la Ley de Ingresos del Estado de Tabasco para el ejercicio fiscal 2024, así como fortalecer las finanzas públicas, mediante una mayor eficacia y eficiencia recaudatoria, para que el Estado cumpla con sus funciones y garantice el desarrollo económico y funcionamiento del mismo. </w:t>
      </w:r>
    </w:p>
    <w:p w:rsidR="00426F09" w:rsidRPr="00426F09" w:rsidRDefault="00426F09" w:rsidP="00426F09">
      <w:pPr>
        <w:pStyle w:val="Prrafodelista"/>
        <w:numPr>
          <w:ilvl w:val="0"/>
          <w:numId w:val="36"/>
        </w:numPr>
        <w:jc w:val="both"/>
        <w:rPr>
          <w:rFonts w:ascii="Agency FB" w:hAnsi="Agency FB" w:cs="Arial"/>
          <w:sz w:val="28"/>
          <w:szCs w:val="28"/>
        </w:rPr>
      </w:pPr>
      <w:r w:rsidRPr="00426F09">
        <w:rPr>
          <w:rFonts w:ascii="Agency FB" w:hAnsi="Agency FB" w:cs="Arial"/>
          <w:sz w:val="28"/>
          <w:szCs w:val="28"/>
        </w:rPr>
        <w:t xml:space="preserve">Brindar atención eficiente en las Receptorías de Rentas del Estado de Tabasco, así como, en los diversos puntos de cobro establecidos que faciliten y mejoren las opciones de pago para los contribuyentes. </w:t>
      </w:r>
    </w:p>
    <w:p w:rsidR="00426F09" w:rsidRPr="00426F09" w:rsidRDefault="00426F09" w:rsidP="00426F09">
      <w:pPr>
        <w:pStyle w:val="Prrafodelista"/>
        <w:numPr>
          <w:ilvl w:val="0"/>
          <w:numId w:val="36"/>
        </w:numPr>
        <w:jc w:val="both"/>
        <w:rPr>
          <w:rFonts w:ascii="Agency FB" w:hAnsi="Agency FB" w:cs="Arial"/>
          <w:sz w:val="28"/>
          <w:szCs w:val="28"/>
        </w:rPr>
      </w:pPr>
      <w:r w:rsidRPr="00426F09">
        <w:rPr>
          <w:rFonts w:ascii="Agency FB" w:hAnsi="Agency FB" w:cs="Arial"/>
          <w:sz w:val="28"/>
          <w:szCs w:val="28"/>
        </w:rPr>
        <w:t>Promover una reactivación rápida y sostenida de la economía, a través de la recaudación efectiva.</w:t>
      </w:r>
    </w:p>
    <w:p w:rsidR="00426F09" w:rsidRPr="00426F09" w:rsidRDefault="00426F09" w:rsidP="00426F09">
      <w:pPr>
        <w:pStyle w:val="Prrafodelista"/>
        <w:numPr>
          <w:ilvl w:val="0"/>
          <w:numId w:val="36"/>
        </w:numPr>
        <w:jc w:val="both"/>
        <w:rPr>
          <w:rFonts w:ascii="Agency FB" w:hAnsi="Agency FB" w:cs="Arial"/>
          <w:sz w:val="28"/>
          <w:szCs w:val="28"/>
        </w:rPr>
      </w:pPr>
      <w:r w:rsidRPr="00426F09">
        <w:rPr>
          <w:rFonts w:ascii="Agency FB" w:hAnsi="Agency FB" w:cs="Arial"/>
          <w:sz w:val="28"/>
          <w:szCs w:val="28"/>
        </w:rPr>
        <w:t xml:space="preserve">Otorgar facilidades en materia de trámites fiscales. </w:t>
      </w:r>
    </w:p>
    <w:p w:rsidR="00426F09" w:rsidRPr="00426F09" w:rsidRDefault="00426F09" w:rsidP="00C061A9">
      <w:pPr>
        <w:pStyle w:val="Prrafodelista"/>
        <w:numPr>
          <w:ilvl w:val="0"/>
          <w:numId w:val="36"/>
        </w:numPr>
        <w:jc w:val="both"/>
        <w:rPr>
          <w:rFonts w:ascii="Agency FB" w:hAnsi="Agency FB" w:cs="Arial"/>
          <w:sz w:val="28"/>
          <w:szCs w:val="28"/>
        </w:rPr>
      </w:pPr>
      <w:r w:rsidRPr="00426F09">
        <w:rPr>
          <w:rFonts w:ascii="Agency FB" w:hAnsi="Agency FB" w:cs="Arial"/>
          <w:sz w:val="28"/>
          <w:szCs w:val="28"/>
        </w:rPr>
        <w:lastRenderedPageBreak/>
        <w:t>Aumentar la eficiencia recaudatoria en los ingresos propios del Estado, a través de la fiscalización y vigilancia oportuna del cumplimiento de las obligaciones.</w:t>
      </w:r>
    </w:p>
    <w:p w:rsidR="00426F09" w:rsidRPr="00426F09" w:rsidRDefault="00426F09" w:rsidP="00C061A9">
      <w:pPr>
        <w:pStyle w:val="Prrafodelista"/>
        <w:numPr>
          <w:ilvl w:val="0"/>
          <w:numId w:val="36"/>
        </w:numPr>
        <w:jc w:val="both"/>
        <w:rPr>
          <w:rFonts w:ascii="Agency FB" w:hAnsi="Agency FB" w:cs="Arial"/>
          <w:sz w:val="28"/>
          <w:szCs w:val="28"/>
        </w:rPr>
      </w:pPr>
      <w:r w:rsidRPr="00426F09">
        <w:rPr>
          <w:rFonts w:ascii="Agency FB" w:hAnsi="Agency FB" w:cs="Arial"/>
          <w:sz w:val="28"/>
          <w:szCs w:val="28"/>
        </w:rPr>
        <w:t xml:space="preserve">Fortalecer las finanzas públicas mediante reformas legales que promuevan el aumento de ingresos estatales, para incrementar el desarrollo económico de la entidad. </w:t>
      </w:r>
    </w:p>
    <w:p w:rsidR="00426F09" w:rsidRPr="00426F09" w:rsidRDefault="00426F09" w:rsidP="00C061A9">
      <w:pPr>
        <w:pStyle w:val="Prrafodelista"/>
        <w:numPr>
          <w:ilvl w:val="0"/>
          <w:numId w:val="36"/>
        </w:numPr>
        <w:jc w:val="both"/>
        <w:rPr>
          <w:rFonts w:ascii="Agency FB" w:hAnsi="Agency FB" w:cs="Arial"/>
          <w:sz w:val="28"/>
          <w:szCs w:val="28"/>
        </w:rPr>
      </w:pPr>
      <w:r w:rsidRPr="00426F09">
        <w:rPr>
          <w:rFonts w:ascii="Agency FB" w:hAnsi="Agency FB" w:cs="Arial"/>
          <w:sz w:val="28"/>
          <w:szCs w:val="28"/>
        </w:rPr>
        <w:t xml:space="preserve">Aumentar la base de contribuyentes a través de verificaciones focalizadas. </w:t>
      </w:r>
    </w:p>
    <w:p w:rsidR="00426F09" w:rsidRPr="00426F09" w:rsidRDefault="00426F09" w:rsidP="00C061A9">
      <w:pPr>
        <w:pStyle w:val="Prrafodelista"/>
        <w:numPr>
          <w:ilvl w:val="0"/>
          <w:numId w:val="36"/>
        </w:numPr>
        <w:jc w:val="both"/>
        <w:rPr>
          <w:rFonts w:ascii="Agency FB" w:hAnsi="Agency FB" w:cs="Arial"/>
          <w:sz w:val="28"/>
          <w:szCs w:val="28"/>
        </w:rPr>
      </w:pPr>
      <w:r w:rsidRPr="00426F09">
        <w:rPr>
          <w:rFonts w:ascii="Agency FB" w:hAnsi="Agency FB" w:cs="Arial"/>
          <w:sz w:val="28"/>
          <w:szCs w:val="28"/>
        </w:rPr>
        <w:t>Impulsar la recuperación de cartera vencida a través del Procedimiento Administrativo de Ejecución.</w:t>
      </w:r>
    </w:p>
    <w:p w:rsidR="00426F09" w:rsidRPr="00426F09" w:rsidRDefault="00426F09" w:rsidP="00C061A9">
      <w:pPr>
        <w:pStyle w:val="Prrafodelista"/>
        <w:numPr>
          <w:ilvl w:val="0"/>
          <w:numId w:val="36"/>
        </w:numPr>
        <w:jc w:val="both"/>
        <w:rPr>
          <w:rFonts w:ascii="Agency FB" w:hAnsi="Agency FB" w:cs="Arial"/>
          <w:sz w:val="28"/>
          <w:szCs w:val="28"/>
        </w:rPr>
      </w:pPr>
      <w:r w:rsidRPr="00426F09">
        <w:rPr>
          <w:rFonts w:ascii="Agency FB" w:hAnsi="Agency FB" w:cs="Arial"/>
          <w:sz w:val="28"/>
          <w:szCs w:val="28"/>
        </w:rPr>
        <w:t>Consolidar los mecanismos de coordinación fiscal mediante los convenios de colaboración entre la federación, el estado y los municipios, a fin de participar de los incentivos económicos derivados del cumplimiento de dichos convenios.</w:t>
      </w:r>
    </w:p>
    <w:p w:rsidR="00426F09" w:rsidRPr="00426F09" w:rsidRDefault="00426F09" w:rsidP="00C061A9">
      <w:pPr>
        <w:pStyle w:val="Prrafodelista"/>
        <w:numPr>
          <w:ilvl w:val="0"/>
          <w:numId w:val="36"/>
        </w:numPr>
        <w:jc w:val="both"/>
        <w:rPr>
          <w:rFonts w:ascii="Agency FB" w:hAnsi="Agency FB" w:cs="Arial"/>
          <w:sz w:val="28"/>
          <w:szCs w:val="28"/>
        </w:rPr>
      </w:pPr>
      <w:r w:rsidRPr="00426F09">
        <w:rPr>
          <w:rFonts w:ascii="Agency FB" w:hAnsi="Agency FB" w:cs="Arial"/>
          <w:sz w:val="28"/>
          <w:szCs w:val="28"/>
        </w:rPr>
        <w:t xml:space="preserve">Cumplir con el Programa Operativo Anual de Auditorías Fiscales, aumentando la calidad de la actuación de los actos realizados e incrementar la percepción de riesgo en los contribuyentes. </w:t>
      </w:r>
    </w:p>
    <w:p w:rsidR="00426F09" w:rsidRPr="00426F09" w:rsidRDefault="00426F09" w:rsidP="00C061A9">
      <w:pPr>
        <w:pStyle w:val="Prrafodelista"/>
        <w:numPr>
          <w:ilvl w:val="0"/>
          <w:numId w:val="36"/>
        </w:numPr>
        <w:jc w:val="both"/>
        <w:rPr>
          <w:rFonts w:ascii="Agency FB" w:hAnsi="Agency FB" w:cs="Arial"/>
          <w:sz w:val="28"/>
          <w:szCs w:val="28"/>
        </w:rPr>
      </w:pPr>
      <w:r w:rsidRPr="00426F09">
        <w:rPr>
          <w:rFonts w:ascii="Agency FB" w:hAnsi="Agency FB" w:cs="Arial"/>
          <w:sz w:val="28"/>
          <w:szCs w:val="28"/>
        </w:rPr>
        <w:t>Vigilar el cumplimiento de las obligaciones fiscales estatales y federales de los entes públicos del Estado y sus municipios.</w:t>
      </w:r>
    </w:p>
    <w:p w:rsidR="00426F09" w:rsidRPr="00426F09" w:rsidRDefault="00426F09" w:rsidP="00C061A9">
      <w:pPr>
        <w:jc w:val="both"/>
        <w:rPr>
          <w:rFonts w:ascii="Agency FB" w:hAnsi="Agency FB" w:cs="Arial"/>
          <w:b/>
          <w:sz w:val="28"/>
          <w:szCs w:val="28"/>
        </w:rPr>
      </w:pPr>
      <w:r w:rsidRPr="00426F09">
        <w:rPr>
          <w:rFonts w:ascii="Agency FB" w:hAnsi="Agency FB" w:cs="Arial"/>
          <w:b/>
          <w:sz w:val="28"/>
          <w:szCs w:val="28"/>
        </w:rPr>
        <w:t>1.1.2</w:t>
      </w:r>
      <w:r w:rsidRPr="00426F09">
        <w:rPr>
          <w:rFonts w:ascii="Agency FB" w:hAnsi="Agency FB" w:cs="Arial"/>
          <w:b/>
          <w:sz w:val="28"/>
          <w:szCs w:val="28"/>
        </w:rPr>
        <w:tab/>
        <w:t>Estrategias</w:t>
      </w:r>
    </w:p>
    <w:p w:rsidR="00426F09" w:rsidRPr="00426F09" w:rsidRDefault="00426F09" w:rsidP="00C061A9">
      <w:pPr>
        <w:pStyle w:val="Prrafodelista"/>
        <w:numPr>
          <w:ilvl w:val="0"/>
          <w:numId w:val="37"/>
        </w:numPr>
        <w:jc w:val="both"/>
        <w:rPr>
          <w:rFonts w:ascii="Agency FB" w:hAnsi="Agency FB" w:cs="Arial"/>
          <w:sz w:val="28"/>
          <w:szCs w:val="28"/>
        </w:rPr>
      </w:pPr>
      <w:r w:rsidRPr="00426F09">
        <w:rPr>
          <w:rFonts w:ascii="Agency FB" w:hAnsi="Agency FB" w:cs="Arial"/>
          <w:sz w:val="28"/>
          <w:szCs w:val="28"/>
        </w:rPr>
        <w:t xml:space="preserve">Cobro mediante el sistema de recaudación en línea, que permite a los contribuyentes cumplir con sus obligaciones de manera rápida, sencilla y oportuna. </w:t>
      </w:r>
    </w:p>
    <w:p w:rsidR="00426F09" w:rsidRPr="00426F09" w:rsidRDefault="00426F09" w:rsidP="00C061A9">
      <w:pPr>
        <w:pStyle w:val="Prrafodelista"/>
        <w:numPr>
          <w:ilvl w:val="0"/>
          <w:numId w:val="37"/>
        </w:numPr>
        <w:jc w:val="both"/>
        <w:rPr>
          <w:rFonts w:ascii="Agency FB" w:hAnsi="Agency FB" w:cs="Arial"/>
          <w:sz w:val="28"/>
          <w:szCs w:val="28"/>
        </w:rPr>
      </w:pPr>
      <w:r w:rsidRPr="00426F09">
        <w:rPr>
          <w:rFonts w:ascii="Agency FB" w:hAnsi="Agency FB" w:cs="Arial"/>
          <w:sz w:val="28"/>
          <w:szCs w:val="28"/>
        </w:rPr>
        <w:t xml:space="preserve">Fortalecimiento de la política recaudatoria, mediante estímulos fiscales a contribuyentes cumplidos. </w:t>
      </w:r>
    </w:p>
    <w:p w:rsidR="00426F09" w:rsidRPr="00426F09" w:rsidRDefault="00426F09" w:rsidP="00C061A9">
      <w:pPr>
        <w:pStyle w:val="Prrafodelista"/>
        <w:numPr>
          <w:ilvl w:val="0"/>
          <w:numId w:val="37"/>
        </w:numPr>
        <w:jc w:val="both"/>
        <w:rPr>
          <w:rFonts w:ascii="Agency FB" w:hAnsi="Agency FB" w:cs="Arial"/>
          <w:sz w:val="28"/>
          <w:szCs w:val="28"/>
        </w:rPr>
      </w:pPr>
      <w:r w:rsidRPr="00426F09">
        <w:rPr>
          <w:rFonts w:ascii="Agency FB" w:hAnsi="Agency FB" w:cs="Arial"/>
          <w:sz w:val="28"/>
          <w:szCs w:val="28"/>
        </w:rPr>
        <w:t xml:space="preserve">Asesorar, orientar y sensibilizar a los contribuyentes para el cumplimiento y regularización de las obligaciones de impuestos estatales y federales, mediante la difusión en diversos medios. </w:t>
      </w:r>
    </w:p>
    <w:p w:rsidR="00426F09" w:rsidRPr="00426F09" w:rsidRDefault="00426F09" w:rsidP="00C061A9">
      <w:pPr>
        <w:pStyle w:val="Prrafodelista"/>
        <w:numPr>
          <w:ilvl w:val="0"/>
          <w:numId w:val="37"/>
        </w:numPr>
        <w:jc w:val="both"/>
        <w:rPr>
          <w:rFonts w:ascii="Agency FB" w:hAnsi="Agency FB" w:cs="Arial"/>
          <w:sz w:val="28"/>
          <w:szCs w:val="28"/>
        </w:rPr>
      </w:pPr>
      <w:r w:rsidRPr="00426F09">
        <w:rPr>
          <w:rFonts w:ascii="Agency FB" w:hAnsi="Agency FB" w:cs="Arial"/>
          <w:sz w:val="28"/>
          <w:szCs w:val="28"/>
        </w:rPr>
        <w:t xml:space="preserve">Modernizar los mecanismos de cobranza de las diversas contribuciones, logrando hacer eficiente los servicios, disminuyendo el tiempo de espera. </w:t>
      </w:r>
    </w:p>
    <w:p w:rsidR="00426F09" w:rsidRPr="00426F09" w:rsidRDefault="00426F09" w:rsidP="00C061A9">
      <w:pPr>
        <w:pStyle w:val="Prrafodelista"/>
        <w:numPr>
          <w:ilvl w:val="0"/>
          <w:numId w:val="37"/>
        </w:numPr>
        <w:jc w:val="both"/>
        <w:rPr>
          <w:rFonts w:ascii="Agency FB" w:hAnsi="Agency FB" w:cs="Arial"/>
          <w:sz w:val="28"/>
          <w:szCs w:val="28"/>
        </w:rPr>
      </w:pPr>
      <w:r w:rsidRPr="00426F09">
        <w:rPr>
          <w:rFonts w:ascii="Agency FB" w:hAnsi="Agency FB" w:cs="Arial"/>
          <w:sz w:val="28"/>
          <w:szCs w:val="28"/>
        </w:rPr>
        <w:t xml:space="preserve">Emitir ordenamientos legales que otorguen incentivos y certeza jurídica a los contribuyentes en el cumplimiento de sus obligaciones. </w:t>
      </w:r>
    </w:p>
    <w:p w:rsidR="00426F09" w:rsidRPr="00426F09" w:rsidRDefault="00426F09" w:rsidP="00C061A9">
      <w:pPr>
        <w:pStyle w:val="Prrafodelista"/>
        <w:numPr>
          <w:ilvl w:val="0"/>
          <w:numId w:val="37"/>
        </w:numPr>
        <w:jc w:val="both"/>
        <w:rPr>
          <w:rFonts w:ascii="Agency FB" w:hAnsi="Agency FB" w:cs="Arial"/>
          <w:sz w:val="28"/>
          <w:szCs w:val="28"/>
        </w:rPr>
      </w:pPr>
      <w:r w:rsidRPr="00426F09">
        <w:rPr>
          <w:rFonts w:ascii="Agency FB" w:hAnsi="Agency FB" w:cs="Arial"/>
          <w:sz w:val="28"/>
          <w:szCs w:val="28"/>
        </w:rPr>
        <w:t xml:space="preserve">Continuar con los programas coordinados con el Servicio de Administración Tributaria (SAT) derivados del Convenio de Colaboración Administrativa en Materia Fiscal Federal. </w:t>
      </w:r>
    </w:p>
    <w:p w:rsidR="00426F09" w:rsidRPr="00426F09" w:rsidRDefault="00426F09" w:rsidP="00C061A9">
      <w:pPr>
        <w:pStyle w:val="Prrafodelista"/>
        <w:numPr>
          <w:ilvl w:val="0"/>
          <w:numId w:val="37"/>
        </w:numPr>
        <w:jc w:val="both"/>
        <w:rPr>
          <w:rFonts w:ascii="Agency FB" w:hAnsi="Agency FB" w:cs="Arial"/>
          <w:sz w:val="28"/>
          <w:szCs w:val="28"/>
        </w:rPr>
      </w:pPr>
      <w:r w:rsidRPr="00426F09">
        <w:rPr>
          <w:rFonts w:ascii="Agency FB" w:hAnsi="Agency FB" w:cs="Arial"/>
          <w:sz w:val="28"/>
          <w:szCs w:val="28"/>
        </w:rPr>
        <w:lastRenderedPageBreak/>
        <w:t xml:space="preserve">Abatir el rezago en el pago de los impuestos estatales y federales coordinados, mediante la notificación de obligaciones omitidas y cobranza coactiva, a través de las Receptorías de Rentas del Estado. </w:t>
      </w:r>
    </w:p>
    <w:p w:rsidR="00426F09" w:rsidRPr="00426F09" w:rsidRDefault="00426F09" w:rsidP="00C061A9">
      <w:pPr>
        <w:pStyle w:val="Prrafodelista"/>
        <w:numPr>
          <w:ilvl w:val="0"/>
          <w:numId w:val="37"/>
        </w:numPr>
        <w:jc w:val="both"/>
        <w:rPr>
          <w:rFonts w:ascii="Agency FB" w:hAnsi="Agency FB" w:cs="Arial"/>
          <w:sz w:val="28"/>
          <w:szCs w:val="28"/>
        </w:rPr>
      </w:pPr>
      <w:r w:rsidRPr="00426F09">
        <w:rPr>
          <w:rFonts w:ascii="Agency FB" w:hAnsi="Agency FB" w:cs="Arial"/>
          <w:sz w:val="28"/>
          <w:szCs w:val="28"/>
        </w:rPr>
        <w:t xml:space="preserve">Fiscalización dirigida a contribuyentes omisos más representativos. </w:t>
      </w:r>
    </w:p>
    <w:p w:rsidR="00426F09" w:rsidRPr="00426F09" w:rsidRDefault="00426F09" w:rsidP="00C061A9">
      <w:pPr>
        <w:pStyle w:val="Prrafodelista"/>
        <w:numPr>
          <w:ilvl w:val="0"/>
          <w:numId w:val="37"/>
        </w:numPr>
        <w:jc w:val="both"/>
        <w:rPr>
          <w:rFonts w:ascii="Agency FB" w:hAnsi="Agency FB" w:cs="Arial"/>
          <w:sz w:val="28"/>
          <w:szCs w:val="28"/>
        </w:rPr>
      </w:pPr>
      <w:r w:rsidRPr="00426F09">
        <w:rPr>
          <w:rFonts w:ascii="Agency FB" w:hAnsi="Agency FB" w:cs="Arial"/>
          <w:sz w:val="28"/>
          <w:szCs w:val="28"/>
        </w:rPr>
        <w:t xml:space="preserve">Continuar implementando políticas tributarias eficientes, intensificando las acciones en la búsqueda de incrementar el pago espontáneo de los contribuyentes de sus obligaciones fiscales mediante la difusión, atención y asistencia, reforzando por otra parte las acciones de fiscalización y vigilancia fiscal para incrementar la obtención de ingresos estatales y coordinados federales. </w:t>
      </w:r>
    </w:p>
    <w:p w:rsidR="00426F09" w:rsidRPr="00426F09" w:rsidRDefault="00426F09" w:rsidP="00C061A9">
      <w:pPr>
        <w:pStyle w:val="Prrafodelista"/>
        <w:numPr>
          <w:ilvl w:val="0"/>
          <w:numId w:val="37"/>
        </w:numPr>
        <w:jc w:val="both"/>
        <w:rPr>
          <w:rFonts w:ascii="Agency FB" w:hAnsi="Agency FB" w:cs="Arial"/>
          <w:sz w:val="28"/>
          <w:szCs w:val="28"/>
        </w:rPr>
      </w:pPr>
      <w:r w:rsidRPr="00426F09">
        <w:rPr>
          <w:rFonts w:ascii="Agency FB" w:hAnsi="Agency FB" w:cs="Arial"/>
          <w:sz w:val="28"/>
          <w:szCs w:val="28"/>
        </w:rPr>
        <w:t xml:space="preserve">Combatir esquemas de evasión fiscal a través de los diversos métodos de fiscalización, generando una mayor percepción de riesgo en los contribuyentes. </w:t>
      </w:r>
    </w:p>
    <w:p w:rsidR="00426F09" w:rsidRPr="00426F09" w:rsidRDefault="00426F09" w:rsidP="00C061A9">
      <w:pPr>
        <w:pStyle w:val="Prrafodelista"/>
        <w:numPr>
          <w:ilvl w:val="0"/>
          <w:numId w:val="37"/>
        </w:numPr>
        <w:jc w:val="both"/>
        <w:rPr>
          <w:rFonts w:ascii="Agency FB" w:hAnsi="Agency FB" w:cs="Arial"/>
          <w:sz w:val="28"/>
          <w:szCs w:val="28"/>
        </w:rPr>
      </w:pPr>
      <w:proofErr w:type="spellStart"/>
      <w:r w:rsidRPr="00426F09">
        <w:rPr>
          <w:rFonts w:ascii="Agency FB" w:hAnsi="Agency FB" w:cs="Arial"/>
          <w:sz w:val="28"/>
          <w:szCs w:val="28"/>
        </w:rPr>
        <w:t>Eficientar</w:t>
      </w:r>
      <w:proofErr w:type="spellEnd"/>
      <w:r w:rsidRPr="00426F09">
        <w:rPr>
          <w:rFonts w:ascii="Agency FB" w:hAnsi="Agency FB" w:cs="Arial"/>
          <w:sz w:val="28"/>
          <w:szCs w:val="28"/>
        </w:rPr>
        <w:t xml:space="preserve"> la productividad por auditor y robustecer la programación de los actos de fiscalización a fin de implementar mejores estrategias recaudatorias. </w:t>
      </w:r>
    </w:p>
    <w:p w:rsidR="00426F09" w:rsidRPr="00426F09" w:rsidRDefault="00426F09" w:rsidP="00C061A9">
      <w:pPr>
        <w:pStyle w:val="Prrafodelista"/>
        <w:numPr>
          <w:ilvl w:val="0"/>
          <w:numId w:val="37"/>
        </w:numPr>
        <w:jc w:val="both"/>
        <w:rPr>
          <w:rFonts w:ascii="Agency FB" w:hAnsi="Agency FB" w:cs="Arial"/>
          <w:sz w:val="28"/>
          <w:szCs w:val="28"/>
        </w:rPr>
      </w:pPr>
      <w:r w:rsidRPr="00426F09">
        <w:rPr>
          <w:rFonts w:ascii="Agency FB" w:hAnsi="Agency FB" w:cs="Arial"/>
          <w:sz w:val="28"/>
          <w:szCs w:val="28"/>
        </w:rPr>
        <w:t>Ampliar la presencia de la autoridad, mediante la emisión de cartas de invitación a los contribuyentes para regularizar su situación fiscal, como método adicional a los actos de fiscalización</w:t>
      </w:r>
    </w:p>
    <w:p w:rsidR="00426F09" w:rsidRPr="00426F09" w:rsidRDefault="00426F09" w:rsidP="00426F09">
      <w:pPr>
        <w:rPr>
          <w:rFonts w:ascii="Agency FB" w:hAnsi="Agency FB" w:cs="Arial"/>
          <w:b/>
          <w:sz w:val="28"/>
          <w:szCs w:val="28"/>
        </w:rPr>
      </w:pPr>
      <w:r w:rsidRPr="00426F09">
        <w:rPr>
          <w:rFonts w:ascii="Agency FB" w:hAnsi="Agency FB" w:cs="Arial"/>
          <w:b/>
          <w:sz w:val="28"/>
          <w:szCs w:val="28"/>
        </w:rPr>
        <w:t>1.1.3</w:t>
      </w:r>
      <w:r w:rsidRPr="00426F09">
        <w:rPr>
          <w:rFonts w:ascii="Agency FB" w:hAnsi="Agency FB" w:cs="Arial"/>
          <w:b/>
          <w:sz w:val="28"/>
          <w:szCs w:val="28"/>
        </w:rPr>
        <w:tab/>
        <w:t>Metas</w:t>
      </w:r>
    </w:p>
    <w:p w:rsidR="00426F09" w:rsidRPr="00426F09" w:rsidRDefault="00426F09" w:rsidP="00C061A9">
      <w:pPr>
        <w:pStyle w:val="Prrafodelista"/>
        <w:numPr>
          <w:ilvl w:val="0"/>
          <w:numId w:val="38"/>
        </w:numPr>
        <w:jc w:val="both"/>
        <w:rPr>
          <w:rFonts w:ascii="Agency FB" w:hAnsi="Agency FB" w:cs="Arial"/>
          <w:sz w:val="28"/>
          <w:szCs w:val="28"/>
        </w:rPr>
      </w:pPr>
      <w:r w:rsidRPr="00426F09">
        <w:rPr>
          <w:rFonts w:ascii="Agency FB" w:hAnsi="Agency FB" w:cs="Arial"/>
          <w:sz w:val="28"/>
          <w:szCs w:val="28"/>
        </w:rPr>
        <w:t xml:space="preserve">Optimizar la recaudación a través del uso del sistema de recaudación en línea. </w:t>
      </w:r>
    </w:p>
    <w:p w:rsidR="00426F09" w:rsidRPr="00426F09" w:rsidRDefault="00426F09" w:rsidP="00C061A9">
      <w:pPr>
        <w:pStyle w:val="Prrafodelista"/>
        <w:numPr>
          <w:ilvl w:val="0"/>
          <w:numId w:val="38"/>
        </w:numPr>
        <w:jc w:val="both"/>
        <w:rPr>
          <w:rFonts w:ascii="Agency FB" w:hAnsi="Agency FB" w:cs="Arial"/>
          <w:sz w:val="28"/>
          <w:szCs w:val="28"/>
        </w:rPr>
      </w:pPr>
      <w:r w:rsidRPr="00426F09">
        <w:rPr>
          <w:rFonts w:ascii="Agency FB" w:hAnsi="Agency FB" w:cs="Arial"/>
          <w:sz w:val="28"/>
          <w:szCs w:val="28"/>
        </w:rPr>
        <w:t xml:space="preserve">Incentivar el cumplimiento de obligaciones de los contribuyentes a través de estímulos fiscales y facilidades administrativas. </w:t>
      </w:r>
    </w:p>
    <w:p w:rsidR="00426F09" w:rsidRPr="00426F09" w:rsidRDefault="00426F09" w:rsidP="00C061A9">
      <w:pPr>
        <w:pStyle w:val="Prrafodelista"/>
        <w:numPr>
          <w:ilvl w:val="0"/>
          <w:numId w:val="38"/>
        </w:numPr>
        <w:jc w:val="both"/>
        <w:rPr>
          <w:rFonts w:ascii="Agency FB" w:hAnsi="Agency FB" w:cs="Arial"/>
          <w:sz w:val="28"/>
          <w:szCs w:val="28"/>
        </w:rPr>
      </w:pPr>
      <w:r w:rsidRPr="00426F09">
        <w:rPr>
          <w:rFonts w:ascii="Agency FB" w:hAnsi="Agency FB" w:cs="Arial"/>
          <w:sz w:val="28"/>
          <w:szCs w:val="28"/>
        </w:rPr>
        <w:t xml:space="preserve">Obtener una mejor recaudación a través del fortalecimiento de los actos de fiscalización y el Procedimiento Administrativo de Ejecución, abatiendo el rezago en el cumplimiento de obligaciones fiscales estatales y federales. </w:t>
      </w:r>
    </w:p>
    <w:p w:rsidR="00426F09" w:rsidRDefault="00426F09" w:rsidP="00C061A9">
      <w:pPr>
        <w:pStyle w:val="Prrafodelista"/>
        <w:numPr>
          <w:ilvl w:val="0"/>
          <w:numId w:val="38"/>
        </w:numPr>
        <w:jc w:val="both"/>
        <w:rPr>
          <w:rFonts w:ascii="Agency FB" w:hAnsi="Agency FB" w:cs="Arial"/>
          <w:sz w:val="28"/>
          <w:szCs w:val="28"/>
        </w:rPr>
      </w:pPr>
      <w:r w:rsidRPr="00426F09">
        <w:rPr>
          <w:rFonts w:ascii="Agency FB" w:hAnsi="Agency FB" w:cs="Arial"/>
          <w:sz w:val="28"/>
          <w:szCs w:val="28"/>
        </w:rPr>
        <w:t>Mantener e incrementar la recaudación de ingresos del Estado, de acuerdo con los montos establecidos en la Ley de Ingresos para el ejercicio fiscal 2024, ponderando los diversos factores que contraen la economía.</w:t>
      </w:r>
    </w:p>
    <w:p w:rsidR="000D09C6" w:rsidRDefault="000D09C6" w:rsidP="000D09C6">
      <w:pPr>
        <w:rPr>
          <w:rFonts w:ascii="Agency FB" w:hAnsi="Agency FB" w:cs="Arial"/>
          <w:sz w:val="28"/>
          <w:szCs w:val="28"/>
        </w:rPr>
      </w:pPr>
    </w:p>
    <w:p w:rsidR="000D09C6" w:rsidRPr="000D09C6" w:rsidRDefault="000D09C6" w:rsidP="000D09C6">
      <w:pPr>
        <w:rPr>
          <w:rFonts w:ascii="Agency FB" w:hAnsi="Agency FB" w:cs="Arial"/>
          <w:sz w:val="28"/>
          <w:szCs w:val="28"/>
        </w:rPr>
      </w:pPr>
    </w:p>
    <w:p w:rsidR="00426F09" w:rsidRPr="00426F09" w:rsidRDefault="00426F09" w:rsidP="00426F09">
      <w:pPr>
        <w:rPr>
          <w:rFonts w:ascii="Agency FB" w:hAnsi="Agency FB" w:cs="Arial"/>
          <w:b/>
          <w:sz w:val="28"/>
          <w:szCs w:val="28"/>
        </w:rPr>
      </w:pPr>
      <w:r w:rsidRPr="00426F09">
        <w:rPr>
          <w:rFonts w:ascii="Agency FB" w:hAnsi="Agency FB" w:cs="Arial"/>
          <w:b/>
          <w:sz w:val="28"/>
          <w:szCs w:val="28"/>
        </w:rPr>
        <w:lastRenderedPageBreak/>
        <w:t>Empleo</w:t>
      </w:r>
    </w:p>
    <w:p w:rsidR="00426F09" w:rsidRPr="00426F09" w:rsidRDefault="00426F09" w:rsidP="00426F09">
      <w:pPr>
        <w:jc w:val="both"/>
        <w:rPr>
          <w:rFonts w:ascii="Agency FB" w:hAnsi="Agency FB" w:cs="Arial"/>
          <w:b/>
          <w:sz w:val="28"/>
          <w:szCs w:val="28"/>
        </w:rPr>
      </w:pPr>
      <w:r w:rsidRPr="00426F09">
        <w:rPr>
          <w:rFonts w:ascii="Agency FB" w:hAnsi="Agency FB" w:cs="Arial"/>
          <w:b/>
          <w:sz w:val="28"/>
          <w:szCs w:val="28"/>
        </w:rPr>
        <w:t xml:space="preserve">A continuación, se presentan los resultados del ENOE al Segundo trimestre de 2023, con respecto al mismo periodo del 2022 para el estado de Tabasco: </w:t>
      </w:r>
    </w:p>
    <w:p w:rsidR="00426F09" w:rsidRPr="00426F09" w:rsidRDefault="00426F09" w:rsidP="00C061A9">
      <w:pPr>
        <w:pStyle w:val="Prrafodelista"/>
        <w:numPr>
          <w:ilvl w:val="0"/>
          <w:numId w:val="40"/>
        </w:numPr>
        <w:jc w:val="both"/>
        <w:rPr>
          <w:rFonts w:ascii="Agency FB" w:hAnsi="Agency FB" w:cs="Arial"/>
          <w:sz w:val="28"/>
          <w:szCs w:val="28"/>
        </w:rPr>
      </w:pPr>
      <w:bookmarkStart w:id="0" w:name="_GoBack"/>
      <w:r w:rsidRPr="00426F09">
        <w:rPr>
          <w:rFonts w:ascii="Agency FB" w:hAnsi="Agency FB" w:cs="Arial"/>
          <w:sz w:val="28"/>
          <w:szCs w:val="28"/>
        </w:rPr>
        <w:t xml:space="preserve">La Población Económicamente Activa (PEA) pasó de 1 millón 029 mil 537 a 1 millón 074 mil 438 personas. </w:t>
      </w:r>
    </w:p>
    <w:p w:rsidR="00426F09" w:rsidRPr="00426F09" w:rsidRDefault="00426F09" w:rsidP="00C061A9">
      <w:pPr>
        <w:pStyle w:val="Prrafodelista"/>
        <w:numPr>
          <w:ilvl w:val="0"/>
          <w:numId w:val="40"/>
        </w:numPr>
        <w:jc w:val="both"/>
        <w:rPr>
          <w:rFonts w:ascii="Agency FB" w:hAnsi="Agency FB" w:cs="Arial"/>
          <w:sz w:val="28"/>
          <w:szCs w:val="28"/>
        </w:rPr>
      </w:pPr>
      <w:r w:rsidRPr="00426F09">
        <w:rPr>
          <w:rFonts w:ascii="Agency FB" w:hAnsi="Agency FB" w:cs="Arial"/>
          <w:sz w:val="28"/>
          <w:szCs w:val="28"/>
        </w:rPr>
        <w:t xml:space="preserve">La población ocupada fue de 1 millón 030 mil 881 personas, con un aumento de 59 mil 757 personas. </w:t>
      </w:r>
    </w:p>
    <w:p w:rsidR="00426F09" w:rsidRPr="00426F09" w:rsidRDefault="00426F09" w:rsidP="00C061A9">
      <w:pPr>
        <w:pStyle w:val="Prrafodelista"/>
        <w:numPr>
          <w:ilvl w:val="0"/>
          <w:numId w:val="40"/>
        </w:numPr>
        <w:jc w:val="both"/>
        <w:rPr>
          <w:rFonts w:ascii="Agency FB" w:hAnsi="Agency FB" w:cs="Arial"/>
          <w:sz w:val="28"/>
          <w:szCs w:val="28"/>
        </w:rPr>
      </w:pPr>
      <w:r w:rsidRPr="00426F09">
        <w:rPr>
          <w:rFonts w:ascii="Agency FB" w:hAnsi="Agency FB" w:cs="Arial"/>
          <w:sz w:val="28"/>
          <w:szCs w:val="28"/>
        </w:rPr>
        <w:t xml:space="preserve">La ocupación en actividades primarias incrementó en 31 mil 311 y las terciarias en 15 mil personas. </w:t>
      </w:r>
    </w:p>
    <w:p w:rsidR="00426F09" w:rsidRPr="00426F09" w:rsidRDefault="00426F09" w:rsidP="00C061A9">
      <w:pPr>
        <w:pStyle w:val="Prrafodelista"/>
        <w:numPr>
          <w:ilvl w:val="0"/>
          <w:numId w:val="40"/>
        </w:numPr>
        <w:jc w:val="both"/>
        <w:rPr>
          <w:rFonts w:ascii="Agency FB" w:hAnsi="Agency FB" w:cs="Arial"/>
          <w:sz w:val="28"/>
          <w:szCs w:val="28"/>
        </w:rPr>
      </w:pPr>
      <w:r w:rsidRPr="00426F09">
        <w:rPr>
          <w:rFonts w:ascii="Agency FB" w:hAnsi="Agency FB" w:cs="Arial"/>
          <w:sz w:val="28"/>
          <w:szCs w:val="28"/>
        </w:rPr>
        <w:t xml:space="preserve">Las y los ocupados en grandes y pequeños establecimientos incrementaron en 13 mil 881 y 12 mil 117 personas, respectivamente, y los </w:t>
      </w:r>
      <w:proofErr w:type="spellStart"/>
      <w:r w:rsidRPr="00426F09">
        <w:rPr>
          <w:rFonts w:ascii="Agency FB" w:hAnsi="Agency FB" w:cs="Arial"/>
          <w:sz w:val="28"/>
          <w:szCs w:val="28"/>
        </w:rPr>
        <w:t>micronegocios</w:t>
      </w:r>
      <w:proofErr w:type="spellEnd"/>
      <w:r w:rsidRPr="00426F09">
        <w:rPr>
          <w:rFonts w:ascii="Agency FB" w:hAnsi="Agency FB" w:cs="Arial"/>
          <w:sz w:val="28"/>
          <w:szCs w:val="28"/>
        </w:rPr>
        <w:t xml:space="preserve"> en 9 mil 065 personas. </w:t>
      </w:r>
    </w:p>
    <w:p w:rsidR="00426F09" w:rsidRPr="00426F09" w:rsidRDefault="00426F09" w:rsidP="00C061A9">
      <w:pPr>
        <w:pStyle w:val="Prrafodelista"/>
        <w:numPr>
          <w:ilvl w:val="0"/>
          <w:numId w:val="40"/>
        </w:numPr>
        <w:jc w:val="both"/>
        <w:rPr>
          <w:rFonts w:ascii="Agency FB" w:hAnsi="Agency FB" w:cs="Arial"/>
          <w:sz w:val="28"/>
          <w:szCs w:val="28"/>
        </w:rPr>
      </w:pPr>
      <w:r w:rsidRPr="00426F09">
        <w:rPr>
          <w:rFonts w:ascii="Agency FB" w:hAnsi="Agency FB" w:cs="Arial"/>
          <w:sz w:val="28"/>
          <w:szCs w:val="28"/>
        </w:rPr>
        <w:t xml:space="preserve">La población </w:t>
      </w:r>
      <w:proofErr w:type="spellStart"/>
      <w:r w:rsidRPr="00426F09">
        <w:rPr>
          <w:rFonts w:ascii="Agency FB" w:hAnsi="Agency FB" w:cs="Arial"/>
          <w:sz w:val="28"/>
          <w:szCs w:val="28"/>
        </w:rPr>
        <w:t>subocupada</w:t>
      </w:r>
      <w:proofErr w:type="spellEnd"/>
      <w:r w:rsidRPr="00426F09">
        <w:rPr>
          <w:rFonts w:ascii="Agency FB" w:hAnsi="Agency FB" w:cs="Arial"/>
          <w:sz w:val="28"/>
          <w:szCs w:val="28"/>
        </w:rPr>
        <w:t xml:space="preserve"> pasó de 158 mil 432 a 117 mil 282 personas. </w:t>
      </w:r>
    </w:p>
    <w:p w:rsidR="00426F09" w:rsidRPr="00426F09" w:rsidRDefault="00426F09" w:rsidP="00C061A9">
      <w:pPr>
        <w:pStyle w:val="Prrafodelista"/>
        <w:widowControl w:val="0"/>
        <w:numPr>
          <w:ilvl w:val="0"/>
          <w:numId w:val="40"/>
        </w:numPr>
        <w:autoSpaceDE w:val="0"/>
        <w:autoSpaceDN w:val="0"/>
        <w:spacing w:after="0" w:line="240" w:lineRule="auto"/>
        <w:jc w:val="both"/>
        <w:rPr>
          <w:rFonts w:ascii="Trebuchet MS" w:eastAsia="Trebuchet MS" w:hAnsi="Trebuchet MS" w:cs="Trebuchet MS"/>
          <w:w w:val="75"/>
          <w:sz w:val="28"/>
          <w:lang w:val="es-ES"/>
        </w:rPr>
      </w:pPr>
      <w:r w:rsidRPr="00426F09">
        <w:rPr>
          <w:rFonts w:ascii="Agency FB" w:hAnsi="Agency FB" w:cs="Arial"/>
          <w:sz w:val="28"/>
          <w:szCs w:val="28"/>
        </w:rPr>
        <w:t>A nivel estatal, la tasa de desocupación pasó de 5.7 por ciento a 4.1 por ciento</w:t>
      </w:r>
      <w:r w:rsidRPr="00426F09">
        <w:rPr>
          <w:w w:val="75"/>
          <w:vertAlign w:val="superscript"/>
          <w:lang w:val="es-ES"/>
        </w:rPr>
        <w:footnoteReference w:id="1"/>
      </w:r>
      <w:r w:rsidRPr="00426F09">
        <w:rPr>
          <w:rFonts w:ascii="Trebuchet MS" w:eastAsia="Trebuchet MS" w:hAnsi="Trebuchet MS" w:cs="Trebuchet MS"/>
          <w:w w:val="75"/>
          <w:sz w:val="28"/>
          <w:lang w:val="es-ES"/>
        </w:rPr>
        <w:t xml:space="preserve">. </w:t>
      </w:r>
    </w:p>
    <w:bookmarkEnd w:id="0"/>
    <w:p w:rsidR="00426F09" w:rsidRPr="00426F09" w:rsidRDefault="00426F09" w:rsidP="00426F09">
      <w:pPr>
        <w:rPr>
          <w:rFonts w:ascii="Agency FB" w:hAnsi="Agency FB" w:cs="Arial"/>
          <w:b/>
          <w:sz w:val="28"/>
          <w:szCs w:val="28"/>
        </w:rPr>
      </w:pPr>
    </w:p>
    <w:p w:rsidR="00426F09" w:rsidRDefault="00426F09" w:rsidP="00426F09">
      <w:pPr>
        <w:widowControl w:val="0"/>
        <w:autoSpaceDE w:val="0"/>
        <w:autoSpaceDN w:val="0"/>
        <w:spacing w:after="0" w:line="240" w:lineRule="auto"/>
        <w:jc w:val="both"/>
        <w:rPr>
          <w:rFonts w:ascii="Agency FB" w:eastAsia="Calibri" w:hAnsi="Agency FB" w:cs="Arial"/>
          <w:sz w:val="28"/>
          <w:szCs w:val="28"/>
        </w:rPr>
      </w:pPr>
      <w:r w:rsidRPr="00426F09">
        <w:rPr>
          <w:rFonts w:ascii="Agency FB" w:eastAsia="Calibri" w:hAnsi="Agency FB" w:cs="Arial"/>
          <w:sz w:val="28"/>
          <w:szCs w:val="28"/>
        </w:rPr>
        <w:t xml:space="preserve">El Instituto Mexicano del Seguro Social (IMSS), tiene registrados </w:t>
      </w:r>
      <w:r w:rsidRPr="00426F09">
        <w:rPr>
          <w:rFonts w:ascii="Agency FB" w:eastAsia="Calibri" w:hAnsi="Agency FB" w:cs="Arial"/>
          <w:b/>
          <w:sz w:val="28"/>
          <w:szCs w:val="28"/>
        </w:rPr>
        <w:t>22 millones 129 mil 433</w:t>
      </w:r>
      <w:r w:rsidRPr="00426F09">
        <w:rPr>
          <w:rFonts w:ascii="Agency FB" w:eastAsia="Calibri" w:hAnsi="Agency FB" w:cs="Arial"/>
          <w:sz w:val="28"/>
          <w:szCs w:val="28"/>
        </w:rPr>
        <w:t xml:space="preserve"> </w:t>
      </w:r>
      <w:r w:rsidRPr="00426F09">
        <w:rPr>
          <w:rFonts w:ascii="Agency FB" w:eastAsia="Calibri" w:hAnsi="Agency FB" w:cs="Arial"/>
          <w:b/>
          <w:sz w:val="28"/>
          <w:szCs w:val="28"/>
        </w:rPr>
        <w:t>puestos</w:t>
      </w:r>
      <w:r w:rsidRPr="00426F09">
        <w:rPr>
          <w:rFonts w:ascii="Agency FB" w:eastAsia="Calibri" w:hAnsi="Agency FB" w:cs="Arial"/>
          <w:sz w:val="28"/>
          <w:szCs w:val="28"/>
        </w:rPr>
        <w:t xml:space="preserve"> de trabajo al 30 de septiembre del 2023. De estos, </w:t>
      </w:r>
      <w:r w:rsidRPr="00426F09">
        <w:rPr>
          <w:rFonts w:ascii="Agency FB" w:eastAsia="Calibri" w:hAnsi="Agency FB" w:cs="Arial"/>
          <w:b/>
          <w:sz w:val="28"/>
          <w:szCs w:val="28"/>
        </w:rPr>
        <w:t>86.1 por ciento</w:t>
      </w:r>
      <w:r w:rsidRPr="00426F09">
        <w:rPr>
          <w:rFonts w:ascii="Agency FB" w:eastAsia="Calibri" w:hAnsi="Agency FB" w:cs="Arial"/>
          <w:sz w:val="28"/>
          <w:szCs w:val="28"/>
        </w:rPr>
        <w:t xml:space="preserve"> son permanentes, mientras que el </w:t>
      </w:r>
      <w:r w:rsidRPr="00426F09">
        <w:rPr>
          <w:rFonts w:ascii="Agency FB" w:eastAsia="Calibri" w:hAnsi="Agency FB" w:cs="Arial"/>
          <w:b/>
          <w:sz w:val="28"/>
          <w:szCs w:val="28"/>
        </w:rPr>
        <w:t>13.9 por ciento</w:t>
      </w:r>
      <w:r w:rsidRPr="00426F09">
        <w:rPr>
          <w:rFonts w:ascii="Agency FB" w:eastAsia="Calibri" w:hAnsi="Agency FB" w:cs="Arial"/>
          <w:sz w:val="28"/>
          <w:szCs w:val="28"/>
        </w:rPr>
        <w:t xml:space="preserve"> son eventuales. Durante septiembre se registró crecimiento mensual de </w:t>
      </w:r>
      <w:r w:rsidRPr="00426F09">
        <w:rPr>
          <w:rFonts w:ascii="Agency FB" w:eastAsia="Calibri" w:hAnsi="Agency FB" w:cs="Arial"/>
          <w:b/>
          <w:sz w:val="28"/>
          <w:szCs w:val="28"/>
        </w:rPr>
        <w:t>132 mil 558 puestos</w:t>
      </w:r>
      <w:r w:rsidRPr="00426F09">
        <w:rPr>
          <w:rFonts w:ascii="Agency FB" w:eastAsia="Calibri" w:hAnsi="Agency FB" w:cs="Arial"/>
          <w:sz w:val="28"/>
          <w:szCs w:val="28"/>
        </w:rPr>
        <w:t xml:space="preserve">, lo que representa un </w:t>
      </w:r>
      <w:r w:rsidRPr="00426F09">
        <w:rPr>
          <w:rFonts w:ascii="Agency FB" w:eastAsia="Calibri" w:hAnsi="Agency FB" w:cs="Arial"/>
          <w:b/>
          <w:sz w:val="28"/>
          <w:szCs w:val="28"/>
        </w:rPr>
        <w:t>0.6 por ciento</w:t>
      </w:r>
      <w:r w:rsidRPr="00426F09">
        <w:rPr>
          <w:rFonts w:ascii="Agency FB" w:eastAsia="Calibri" w:hAnsi="Agency FB" w:cs="Arial"/>
          <w:sz w:val="28"/>
          <w:szCs w:val="28"/>
        </w:rPr>
        <w:t xml:space="preserve">. En total, en lo que va de este año se han creado </w:t>
      </w:r>
      <w:r w:rsidRPr="00426F09">
        <w:rPr>
          <w:rFonts w:ascii="Agency FB" w:eastAsia="Calibri" w:hAnsi="Agency FB" w:cs="Arial"/>
          <w:b/>
          <w:sz w:val="28"/>
          <w:szCs w:val="28"/>
        </w:rPr>
        <w:t>756 mil 537 puestos</w:t>
      </w:r>
      <w:r w:rsidRPr="00426F09">
        <w:rPr>
          <w:rFonts w:ascii="Agency FB" w:eastAsia="Calibri" w:hAnsi="Agency FB" w:cs="Arial"/>
          <w:sz w:val="28"/>
          <w:szCs w:val="28"/>
        </w:rPr>
        <w:t xml:space="preserve">, de los cuales, el </w:t>
      </w:r>
      <w:r w:rsidRPr="00426F09">
        <w:rPr>
          <w:rFonts w:ascii="Agency FB" w:eastAsia="Calibri" w:hAnsi="Agency FB" w:cs="Arial"/>
          <w:b/>
          <w:sz w:val="28"/>
          <w:szCs w:val="28"/>
        </w:rPr>
        <w:t>72.1</w:t>
      </w:r>
      <w:r w:rsidRPr="00426F09">
        <w:rPr>
          <w:rFonts w:ascii="Agency FB" w:eastAsia="Calibri" w:hAnsi="Agency FB" w:cs="Arial"/>
          <w:sz w:val="28"/>
          <w:szCs w:val="28"/>
        </w:rPr>
        <w:t xml:space="preserve"> por ciento corresponde a empleo permanente, dicho aumento, es </w:t>
      </w:r>
      <w:r w:rsidRPr="00426F09">
        <w:rPr>
          <w:rFonts w:ascii="Agency FB" w:eastAsia="Calibri" w:hAnsi="Agency FB" w:cs="Arial"/>
          <w:b/>
          <w:sz w:val="28"/>
          <w:szCs w:val="28"/>
        </w:rPr>
        <w:t>208 mil 576 puestos</w:t>
      </w:r>
      <w:r w:rsidRPr="00426F09">
        <w:rPr>
          <w:rFonts w:ascii="Agency FB" w:eastAsia="Calibri" w:hAnsi="Agency FB" w:cs="Arial"/>
          <w:sz w:val="28"/>
          <w:szCs w:val="28"/>
        </w:rPr>
        <w:t xml:space="preserve"> más que la variación promedio de los últimos 10 años en periodos comparables. En los últimos doce meses se registró aumento de </w:t>
      </w:r>
      <w:r w:rsidRPr="00426F09">
        <w:rPr>
          <w:rFonts w:ascii="Agency FB" w:eastAsia="Calibri" w:hAnsi="Agency FB" w:cs="Arial"/>
          <w:b/>
          <w:sz w:val="28"/>
          <w:szCs w:val="28"/>
        </w:rPr>
        <w:t>720 mil 075 trabajadores asegurados</w:t>
      </w:r>
      <w:r w:rsidRPr="00426F09">
        <w:rPr>
          <w:rFonts w:ascii="Agency FB" w:eastAsia="Calibri" w:hAnsi="Agency FB" w:cs="Arial"/>
          <w:sz w:val="28"/>
          <w:szCs w:val="28"/>
        </w:rPr>
        <w:t xml:space="preserve">, que equivale a una tasa anual de </w:t>
      </w:r>
      <w:r w:rsidRPr="00426F09">
        <w:rPr>
          <w:rFonts w:ascii="Agency FB" w:eastAsia="Calibri" w:hAnsi="Agency FB" w:cs="Arial"/>
          <w:b/>
          <w:sz w:val="28"/>
          <w:szCs w:val="28"/>
        </w:rPr>
        <w:t>3.4 por ciento.</w:t>
      </w:r>
      <w:r w:rsidRPr="00426F09">
        <w:rPr>
          <w:rFonts w:ascii="Agency FB" w:eastAsia="Calibri" w:hAnsi="Agency FB" w:cs="Arial"/>
          <w:sz w:val="28"/>
          <w:szCs w:val="28"/>
        </w:rPr>
        <w:t xml:space="preserve"> De la creación de empleo anual, el </w:t>
      </w:r>
      <w:r w:rsidRPr="00426F09">
        <w:rPr>
          <w:rFonts w:ascii="Agency FB" w:eastAsia="Calibri" w:hAnsi="Agency FB" w:cs="Arial"/>
          <w:b/>
          <w:sz w:val="28"/>
          <w:szCs w:val="28"/>
        </w:rPr>
        <w:t>73.8 por ciento</w:t>
      </w:r>
      <w:r w:rsidRPr="00426F09">
        <w:rPr>
          <w:rFonts w:ascii="Agency FB" w:eastAsia="Calibri" w:hAnsi="Agency FB" w:cs="Arial"/>
          <w:sz w:val="28"/>
          <w:szCs w:val="28"/>
        </w:rPr>
        <w:t xml:space="preserve"> corresponde a empleos permanentes</w:t>
      </w:r>
      <w:r w:rsidRPr="000D09C6">
        <w:rPr>
          <w:rFonts w:ascii="Agency FB" w:eastAsia="Calibri" w:hAnsi="Agency FB" w:cs="Arial"/>
          <w:sz w:val="28"/>
          <w:szCs w:val="28"/>
          <w:vertAlign w:val="superscript"/>
        </w:rPr>
        <w:footnoteReference w:id="2"/>
      </w:r>
      <w:r w:rsidRPr="00426F09">
        <w:rPr>
          <w:rFonts w:ascii="Agency FB" w:eastAsia="Calibri" w:hAnsi="Agency FB" w:cs="Arial"/>
          <w:sz w:val="28"/>
          <w:szCs w:val="28"/>
        </w:rPr>
        <w:t>.</w:t>
      </w:r>
    </w:p>
    <w:p w:rsidR="00C061A9" w:rsidRDefault="00C061A9" w:rsidP="00426F09">
      <w:pPr>
        <w:widowControl w:val="0"/>
        <w:autoSpaceDE w:val="0"/>
        <w:autoSpaceDN w:val="0"/>
        <w:spacing w:after="0" w:line="240" w:lineRule="auto"/>
        <w:jc w:val="both"/>
        <w:rPr>
          <w:rFonts w:ascii="Agency FB" w:eastAsia="Calibri" w:hAnsi="Agency FB" w:cs="Arial"/>
          <w:sz w:val="28"/>
          <w:szCs w:val="28"/>
        </w:rPr>
      </w:pPr>
    </w:p>
    <w:p w:rsidR="00C061A9" w:rsidRPr="00426F09" w:rsidRDefault="00C061A9" w:rsidP="00426F09">
      <w:pPr>
        <w:widowControl w:val="0"/>
        <w:autoSpaceDE w:val="0"/>
        <w:autoSpaceDN w:val="0"/>
        <w:spacing w:after="0" w:line="240" w:lineRule="auto"/>
        <w:jc w:val="both"/>
        <w:rPr>
          <w:rFonts w:ascii="Agency FB" w:eastAsia="Calibri" w:hAnsi="Agency FB" w:cs="Arial"/>
          <w:sz w:val="28"/>
          <w:szCs w:val="28"/>
        </w:rPr>
      </w:pPr>
    </w:p>
    <w:p w:rsidR="00426F09" w:rsidRPr="00426F09" w:rsidRDefault="00426F09" w:rsidP="00426F09">
      <w:pPr>
        <w:jc w:val="center"/>
        <w:rPr>
          <w:rFonts w:ascii="Agency FB" w:hAnsi="Agency FB" w:cs="Arial"/>
          <w:b/>
          <w:sz w:val="28"/>
          <w:szCs w:val="28"/>
        </w:rPr>
      </w:pPr>
      <w:r>
        <w:rPr>
          <w:noProof/>
          <w:lang w:eastAsia="es-MX"/>
        </w:rPr>
        <w:lastRenderedPageBreak/>
        <w:drawing>
          <wp:inline distT="0" distB="0" distL="0" distR="0" wp14:anchorId="7D7F5D5A" wp14:editId="1A2D49CC">
            <wp:extent cx="3810000" cy="3552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609" t="11980" r="28914" b="15948"/>
                    <a:stretch/>
                  </pic:blipFill>
                  <pic:spPr bwMode="auto">
                    <a:xfrm>
                      <a:off x="0" y="0"/>
                      <a:ext cx="3810000" cy="3552825"/>
                    </a:xfrm>
                    <a:prstGeom prst="rect">
                      <a:avLst/>
                    </a:prstGeom>
                    <a:ln>
                      <a:noFill/>
                    </a:ln>
                    <a:extLst>
                      <a:ext uri="{53640926-AAD7-44D8-BBD7-CCE9431645EC}">
                        <a14:shadowObscured xmlns:a14="http://schemas.microsoft.com/office/drawing/2010/main"/>
                      </a:ext>
                    </a:extLst>
                  </pic:spPr>
                </pic:pic>
              </a:graphicData>
            </a:graphic>
          </wp:inline>
        </w:drawing>
      </w:r>
    </w:p>
    <w:p w:rsidR="00426F09" w:rsidRPr="00426F09" w:rsidRDefault="00426F09" w:rsidP="00426F09">
      <w:pPr>
        <w:rPr>
          <w:rFonts w:ascii="Agency FB" w:hAnsi="Agency FB" w:cs="Arial"/>
          <w:b/>
          <w:sz w:val="28"/>
          <w:szCs w:val="28"/>
        </w:rPr>
      </w:pPr>
      <w:r w:rsidRPr="00426F09">
        <w:rPr>
          <w:rFonts w:ascii="Agency FB" w:hAnsi="Agency FB" w:cs="Arial"/>
          <w:b/>
          <w:sz w:val="28"/>
          <w:szCs w:val="28"/>
        </w:rPr>
        <w:t xml:space="preserve"> •</w:t>
      </w:r>
      <w:r w:rsidRPr="00426F09">
        <w:rPr>
          <w:rFonts w:ascii="Agency FB" w:hAnsi="Agency FB" w:cs="Arial"/>
          <w:b/>
          <w:sz w:val="28"/>
          <w:szCs w:val="28"/>
        </w:rPr>
        <w:tab/>
        <w:t>Inflación</w:t>
      </w:r>
    </w:p>
    <w:p w:rsidR="00426F09" w:rsidRPr="000D09C6" w:rsidRDefault="00426F09" w:rsidP="000D09C6">
      <w:pPr>
        <w:pStyle w:val="Textoindependiente"/>
        <w:spacing w:line="240" w:lineRule="auto"/>
        <w:rPr>
          <w:rFonts w:ascii="Agency FB" w:hAnsi="Agency FB"/>
          <w:w w:val="75"/>
          <w:sz w:val="28"/>
          <w:szCs w:val="28"/>
        </w:rPr>
      </w:pPr>
      <w:r w:rsidRPr="000D09C6">
        <w:rPr>
          <w:rFonts w:ascii="Agency FB" w:eastAsia="Calibri" w:hAnsi="Agency FB" w:cs="Arial"/>
          <w:sz w:val="28"/>
          <w:szCs w:val="28"/>
          <w:lang w:val="es-MX" w:eastAsia="en-US"/>
        </w:rPr>
        <w:t xml:space="preserve">En septiembre de 2023, el Índice Nacional de Precios al Consumidor (INPC) registró un incremento de </w:t>
      </w:r>
      <w:r w:rsidRPr="000D09C6">
        <w:rPr>
          <w:rFonts w:ascii="Agency FB" w:eastAsia="Calibri" w:hAnsi="Agency FB" w:cs="Arial"/>
          <w:b/>
          <w:sz w:val="28"/>
          <w:szCs w:val="28"/>
          <w:lang w:val="es-MX" w:eastAsia="en-US"/>
        </w:rPr>
        <w:t>0.44 por ciento</w:t>
      </w:r>
      <w:r w:rsidRPr="000D09C6">
        <w:rPr>
          <w:rFonts w:ascii="Agency FB" w:eastAsia="Calibri" w:hAnsi="Agency FB" w:cs="Arial"/>
          <w:sz w:val="28"/>
          <w:szCs w:val="28"/>
          <w:lang w:val="es-MX" w:eastAsia="en-US"/>
        </w:rPr>
        <w:t xml:space="preserve"> respecto al mes anterior. Con este resultado, la inflación general anual se ubicó en </w:t>
      </w:r>
      <w:r w:rsidRPr="000D09C6">
        <w:rPr>
          <w:rFonts w:ascii="Agency FB" w:eastAsia="Calibri" w:hAnsi="Agency FB" w:cs="Arial"/>
          <w:b/>
          <w:sz w:val="28"/>
          <w:szCs w:val="28"/>
          <w:lang w:val="es-MX" w:eastAsia="en-US"/>
        </w:rPr>
        <w:t>4.45 por ciento</w:t>
      </w:r>
      <w:r w:rsidRPr="000D09C6">
        <w:rPr>
          <w:rFonts w:ascii="Agency FB" w:eastAsia="Calibri" w:hAnsi="Agency FB" w:cs="Arial"/>
          <w:sz w:val="28"/>
          <w:szCs w:val="28"/>
          <w:lang w:val="es-MX" w:eastAsia="en-US"/>
        </w:rPr>
        <w:t xml:space="preserve">. En el mismo mes de 2022, la inflación mensual fue de 0.62 por ciento y la anual de </w:t>
      </w:r>
      <w:r w:rsidRPr="000D09C6">
        <w:rPr>
          <w:rFonts w:ascii="Agency FB" w:eastAsia="Calibri" w:hAnsi="Agency FB" w:cs="Arial"/>
          <w:b/>
          <w:sz w:val="28"/>
          <w:szCs w:val="28"/>
          <w:lang w:val="es-MX" w:eastAsia="en-US"/>
        </w:rPr>
        <w:t>8.70 por ciento</w:t>
      </w:r>
      <w:r w:rsidRPr="000D09C6">
        <w:rPr>
          <w:rFonts w:ascii="Agency FB" w:eastAsia="Calibri" w:hAnsi="Agency FB" w:cs="Arial"/>
          <w:sz w:val="28"/>
          <w:szCs w:val="28"/>
          <w:lang w:val="es-MX" w:eastAsia="en-US"/>
        </w:rPr>
        <w:t xml:space="preserve">. El índice de precios subyacente registró un aumento de </w:t>
      </w:r>
      <w:r w:rsidRPr="000D09C6">
        <w:rPr>
          <w:rFonts w:ascii="Agency FB" w:eastAsia="Calibri" w:hAnsi="Agency FB" w:cs="Arial"/>
          <w:b/>
          <w:sz w:val="28"/>
          <w:szCs w:val="28"/>
          <w:lang w:val="es-MX" w:eastAsia="en-US"/>
        </w:rPr>
        <w:t>0.36 por ciento</w:t>
      </w:r>
      <w:r w:rsidRPr="000D09C6">
        <w:rPr>
          <w:rFonts w:ascii="Agency FB" w:eastAsia="Calibri" w:hAnsi="Agency FB" w:cs="Arial"/>
          <w:sz w:val="28"/>
          <w:szCs w:val="28"/>
          <w:lang w:val="es-MX" w:eastAsia="en-US"/>
        </w:rPr>
        <w:t xml:space="preserve"> mensual y de </w:t>
      </w:r>
      <w:r w:rsidRPr="000D09C6">
        <w:rPr>
          <w:rFonts w:ascii="Agency FB" w:eastAsia="Calibri" w:hAnsi="Agency FB" w:cs="Arial"/>
          <w:b/>
          <w:sz w:val="28"/>
          <w:szCs w:val="28"/>
          <w:lang w:val="es-MX" w:eastAsia="en-US"/>
        </w:rPr>
        <w:t>5.76 por ciento</w:t>
      </w:r>
      <w:r w:rsidRPr="000D09C6">
        <w:rPr>
          <w:rFonts w:ascii="Agency FB" w:eastAsia="Calibri" w:hAnsi="Agency FB" w:cs="Arial"/>
          <w:sz w:val="28"/>
          <w:szCs w:val="28"/>
          <w:lang w:val="es-MX" w:eastAsia="en-US"/>
        </w:rPr>
        <w:t xml:space="preserve"> anual. El índice de precios no subyacente presentó una variación de </w:t>
      </w:r>
      <w:r w:rsidRPr="000D09C6">
        <w:rPr>
          <w:rFonts w:ascii="Agency FB" w:eastAsia="Calibri" w:hAnsi="Agency FB" w:cs="Arial"/>
          <w:b/>
          <w:sz w:val="28"/>
          <w:szCs w:val="28"/>
          <w:lang w:val="es-MX" w:eastAsia="en-US"/>
        </w:rPr>
        <w:t>0.70 por ciento</w:t>
      </w:r>
      <w:r w:rsidRPr="000D09C6">
        <w:rPr>
          <w:rFonts w:ascii="Agency FB" w:eastAsia="Calibri" w:hAnsi="Agency FB" w:cs="Arial"/>
          <w:sz w:val="28"/>
          <w:szCs w:val="28"/>
          <w:lang w:val="es-MX" w:eastAsia="en-US"/>
        </w:rPr>
        <w:t xml:space="preserve"> a tasa mensual y </w:t>
      </w:r>
      <w:r w:rsidRPr="000D09C6">
        <w:rPr>
          <w:rFonts w:ascii="Agency FB" w:eastAsia="Calibri" w:hAnsi="Agency FB" w:cs="Arial"/>
          <w:b/>
          <w:sz w:val="28"/>
          <w:szCs w:val="28"/>
          <w:lang w:val="es-MX" w:eastAsia="en-US"/>
        </w:rPr>
        <w:t>0.60 por ciento</w:t>
      </w:r>
      <w:r w:rsidRPr="000D09C6">
        <w:rPr>
          <w:rFonts w:ascii="Agency FB" w:eastAsia="Calibri" w:hAnsi="Agency FB" w:cs="Arial"/>
          <w:sz w:val="28"/>
          <w:szCs w:val="28"/>
          <w:lang w:val="es-MX" w:eastAsia="en-US"/>
        </w:rPr>
        <w:t xml:space="preserve"> a tasa anual. Al interior del índice subyacente, a tasa mensual, los precios de las mercancías subieron </w:t>
      </w:r>
      <w:r w:rsidRPr="000D09C6">
        <w:rPr>
          <w:rFonts w:ascii="Agency FB" w:eastAsia="Calibri" w:hAnsi="Agency FB" w:cs="Arial"/>
          <w:b/>
          <w:sz w:val="28"/>
          <w:szCs w:val="28"/>
          <w:lang w:val="es-MX" w:eastAsia="en-US"/>
        </w:rPr>
        <w:t>0.31 por ciento</w:t>
      </w:r>
      <w:r w:rsidRPr="000D09C6">
        <w:rPr>
          <w:rFonts w:ascii="Agency FB" w:eastAsia="Calibri" w:hAnsi="Agency FB" w:cs="Arial"/>
          <w:sz w:val="28"/>
          <w:szCs w:val="28"/>
          <w:lang w:val="es-MX" w:eastAsia="en-US"/>
        </w:rPr>
        <w:t xml:space="preserve"> y los de servicios, </w:t>
      </w:r>
      <w:r w:rsidRPr="000D09C6">
        <w:rPr>
          <w:rFonts w:ascii="Agency FB" w:eastAsia="Calibri" w:hAnsi="Agency FB" w:cs="Arial"/>
          <w:b/>
          <w:sz w:val="28"/>
          <w:szCs w:val="28"/>
          <w:lang w:val="es-MX" w:eastAsia="en-US"/>
        </w:rPr>
        <w:t>0.43 por ciento</w:t>
      </w:r>
      <w:r w:rsidRPr="000D09C6">
        <w:rPr>
          <w:rStyle w:val="Refdenotaalpie"/>
          <w:rFonts w:ascii="Agency FB" w:hAnsi="Agency FB"/>
          <w:b/>
          <w:w w:val="75"/>
          <w:sz w:val="28"/>
          <w:szCs w:val="28"/>
        </w:rPr>
        <w:footnoteReference w:id="3"/>
      </w:r>
      <w:r w:rsidRPr="000D09C6">
        <w:rPr>
          <w:rFonts w:ascii="Agency FB" w:hAnsi="Agency FB"/>
          <w:b/>
          <w:w w:val="75"/>
          <w:sz w:val="28"/>
          <w:szCs w:val="28"/>
        </w:rPr>
        <w:t>.</w:t>
      </w:r>
    </w:p>
    <w:p w:rsidR="00426F09" w:rsidRPr="000D09C6" w:rsidRDefault="00426F09" w:rsidP="00426F09">
      <w:pPr>
        <w:rPr>
          <w:rFonts w:ascii="Agency FB" w:hAnsi="Agency FB" w:cs="Arial"/>
          <w:b/>
          <w:sz w:val="28"/>
          <w:szCs w:val="28"/>
        </w:rPr>
      </w:pPr>
      <w:r w:rsidRPr="000D09C6">
        <w:rPr>
          <w:rFonts w:ascii="Agency FB" w:hAnsi="Agency FB" w:cs="Arial"/>
          <w:b/>
          <w:sz w:val="28"/>
          <w:szCs w:val="28"/>
        </w:rPr>
        <w:lastRenderedPageBreak/>
        <w:t>•</w:t>
      </w:r>
      <w:r w:rsidRPr="000D09C6">
        <w:rPr>
          <w:rFonts w:ascii="Agency FB" w:hAnsi="Agency FB" w:cs="Arial"/>
          <w:b/>
          <w:sz w:val="28"/>
          <w:szCs w:val="28"/>
        </w:rPr>
        <w:tab/>
        <w:t>Finanzas Públicas</w:t>
      </w:r>
    </w:p>
    <w:p w:rsidR="00426F09" w:rsidRPr="000D09C6" w:rsidRDefault="00426F09" w:rsidP="000D09C6">
      <w:pPr>
        <w:pStyle w:val="Textoindependiente"/>
        <w:spacing w:line="240" w:lineRule="auto"/>
        <w:rPr>
          <w:rFonts w:ascii="Agency FB" w:hAnsi="Agency FB"/>
          <w:w w:val="75"/>
          <w:sz w:val="28"/>
          <w:szCs w:val="28"/>
        </w:rPr>
      </w:pPr>
      <w:r w:rsidRPr="000D09C6">
        <w:rPr>
          <w:rFonts w:ascii="Agency FB" w:eastAsia="Calibri" w:hAnsi="Agency FB" w:cs="Arial"/>
          <w:sz w:val="28"/>
          <w:szCs w:val="28"/>
          <w:lang w:val="es-MX" w:eastAsia="en-US"/>
        </w:rPr>
        <w:t>Al tercer trimestre del año los principales indicadores de finanzas públicas observaron un comportamiento favorable, con lo que el saldo de la deuda como porcentaje del PIB permaneció en un nivel sostenible, de acuerdo con lo dispuesto en la Ley Federal de Presupuesto y Responsabilidad Hacendaria (LFPRH). Si bien se presentaron desafíos asociados con la evolución de los ingresos presupuestarios, la política fiscal dio muestra de su flexibilidad para adaptarse</w:t>
      </w:r>
      <w:r w:rsidRPr="000D09C6">
        <w:rPr>
          <w:rStyle w:val="Refdenotaalpie"/>
          <w:rFonts w:ascii="Agency FB" w:hAnsi="Agency FB"/>
          <w:w w:val="75"/>
          <w:sz w:val="28"/>
          <w:szCs w:val="28"/>
        </w:rPr>
        <w:footnoteReference w:id="4"/>
      </w:r>
      <w:r w:rsidRPr="000D09C6">
        <w:rPr>
          <w:rFonts w:ascii="Agency FB" w:hAnsi="Agency FB"/>
          <w:w w:val="75"/>
          <w:sz w:val="28"/>
          <w:szCs w:val="28"/>
        </w:rPr>
        <w:t>.</w:t>
      </w:r>
    </w:p>
    <w:p w:rsidR="00426F09" w:rsidRPr="000D09C6" w:rsidRDefault="00426F09" w:rsidP="00426F09">
      <w:pPr>
        <w:rPr>
          <w:rFonts w:ascii="Agency FB" w:hAnsi="Agency FB" w:cs="Arial"/>
          <w:b/>
          <w:sz w:val="28"/>
          <w:szCs w:val="28"/>
        </w:rPr>
      </w:pPr>
    </w:p>
    <w:p w:rsidR="00426F09" w:rsidRPr="000D09C6" w:rsidRDefault="00426F09" w:rsidP="00426F09">
      <w:pPr>
        <w:rPr>
          <w:rFonts w:ascii="Agency FB" w:hAnsi="Agency FB" w:cs="Arial"/>
          <w:b/>
          <w:sz w:val="28"/>
          <w:szCs w:val="28"/>
        </w:rPr>
      </w:pPr>
    </w:p>
    <w:p w:rsidR="00426F09" w:rsidRPr="000D09C6" w:rsidRDefault="00426F09" w:rsidP="00426F09">
      <w:pPr>
        <w:rPr>
          <w:rFonts w:ascii="Agency FB" w:hAnsi="Agency FB" w:cs="Arial"/>
          <w:b/>
          <w:sz w:val="28"/>
          <w:szCs w:val="28"/>
        </w:rPr>
      </w:pPr>
    </w:p>
    <w:p w:rsidR="00426F09" w:rsidRPr="00426F09" w:rsidRDefault="00426F09" w:rsidP="00426F09">
      <w:pPr>
        <w:rPr>
          <w:rFonts w:ascii="Agency FB" w:hAnsi="Agency FB" w:cs="Arial"/>
          <w:b/>
          <w:sz w:val="28"/>
          <w:szCs w:val="28"/>
        </w:rPr>
      </w:pPr>
    </w:p>
    <w:p w:rsidR="00426F09" w:rsidRPr="00426F09" w:rsidRDefault="00426F09" w:rsidP="00426F09">
      <w:pPr>
        <w:rPr>
          <w:rFonts w:ascii="Agency FB" w:hAnsi="Agency FB" w:cs="Arial"/>
          <w:b/>
          <w:sz w:val="28"/>
          <w:szCs w:val="28"/>
        </w:rPr>
      </w:pPr>
    </w:p>
    <w:p w:rsidR="00426F09" w:rsidRPr="00426F09" w:rsidRDefault="00426F09" w:rsidP="00426F09">
      <w:pPr>
        <w:rPr>
          <w:rFonts w:ascii="Agency FB" w:hAnsi="Agency FB" w:cs="Arial"/>
          <w:b/>
          <w:sz w:val="28"/>
          <w:szCs w:val="28"/>
        </w:rPr>
      </w:pPr>
    </w:p>
    <w:p w:rsidR="00426F09" w:rsidRPr="00426F09" w:rsidRDefault="00426F09" w:rsidP="00426F09">
      <w:pPr>
        <w:rPr>
          <w:rFonts w:ascii="Agency FB" w:hAnsi="Agency FB" w:cs="Arial"/>
          <w:b/>
          <w:sz w:val="28"/>
          <w:szCs w:val="28"/>
        </w:rPr>
      </w:pPr>
    </w:p>
    <w:p w:rsidR="00426F09" w:rsidRPr="00426F09" w:rsidRDefault="00426F09" w:rsidP="00426F09">
      <w:pPr>
        <w:rPr>
          <w:rFonts w:ascii="Agency FB" w:hAnsi="Agency FB" w:cs="Arial"/>
          <w:b/>
          <w:sz w:val="28"/>
          <w:szCs w:val="28"/>
        </w:rPr>
      </w:pPr>
    </w:p>
    <w:p w:rsidR="00426F09" w:rsidRPr="00426F09" w:rsidRDefault="00426F09" w:rsidP="00426F09">
      <w:pPr>
        <w:rPr>
          <w:rFonts w:ascii="Agency FB" w:hAnsi="Agency FB" w:cs="Arial"/>
          <w:b/>
          <w:sz w:val="28"/>
          <w:szCs w:val="28"/>
        </w:rPr>
      </w:pPr>
    </w:p>
    <w:p w:rsidR="00426F09" w:rsidRPr="00426F09" w:rsidRDefault="00426F09" w:rsidP="00426F09">
      <w:pPr>
        <w:rPr>
          <w:rFonts w:ascii="Agency FB" w:hAnsi="Agency FB" w:cs="Arial"/>
          <w:b/>
          <w:sz w:val="28"/>
          <w:szCs w:val="28"/>
        </w:rPr>
      </w:pPr>
    </w:p>
    <w:p w:rsidR="00426F09" w:rsidRPr="00B11B29" w:rsidRDefault="00426F09" w:rsidP="00426F09">
      <w:pPr>
        <w:rPr>
          <w:rFonts w:ascii="Agency FB" w:hAnsi="Agency FB" w:cs="Arial"/>
          <w:b/>
          <w:sz w:val="28"/>
          <w:szCs w:val="28"/>
        </w:rPr>
      </w:pPr>
    </w:p>
    <w:sectPr w:rsidR="00426F09" w:rsidRPr="00B11B29" w:rsidSect="002A7C88">
      <w:headerReference w:type="default" r:id="rId9"/>
      <w:footerReference w:type="default" r:id="rId10"/>
      <w:pgSz w:w="15840" w:h="12240" w:orient="landscape" w:code="1"/>
      <w:pgMar w:top="335" w:right="1134" w:bottom="709" w:left="1134" w:header="425" w:footer="6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E25" w:rsidRDefault="008A7E25" w:rsidP="009E3A0E">
      <w:pPr>
        <w:spacing w:after="0" w:line="240" w:lineRule="auto"/>
      </w:pPr>
      <w:r>
        <w:separator/>
      </w:r>
    </w:p>
  </w:endnote>
  <w:endnote w:type="continuationSeparator" w:id="0">
    <w:p w:rsidR="008A7E25" w:rsidRDefault="008A7E25" w:rsidP="009E3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Next LT Pro Condensed">
    <w:altName w:val="Arial Narrow"/>
    <w:panose1 w:val="020B0506020203050203"/>
    <w:charset w:val="00"/>
    <w:family w:val="swiss"/>
    <w:pitch w:val="variable"/>
    <w:sig w:usb0="A00000A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D7D" w:rsidRPr="00012415" w:rsidRDefault="00053D7D">
    <w:pPr>
      <w:pStyle w:val="Piedepgina"/>
      <w:rPr>
        <w:rFonts w:ascii="Arial" w:hAnsi="Arial" w:cs="Arial"/>
        <w:b/>
        <w:sz w:val="24"/>
        <w:szCs w:val="24"/>
      </w:rPr>
    </w:pPr>
    <w:r>
      <w:rPr>
        <w:rFonts w:ascii="Arial" w:hAnsi="Arial" w:cs="Arial"/>
        <w:b/>
        <w:sz w:val="24"/>
        <w:szCs w:val="24"/>
      </w:rPr>
      <w:t>____</w:t>
    </w:r>
    <w:r w:rsidRPr="00012415">
      <w:rPr>
        <w:rFonts w:ascii="Arial" w:hAnsi="Arial" w:cs="Arial"/>
        <w:b/>
        <w:sz w:val="24"/>
        <w:szCs w:val="24"/>
      </w:rPr>
      <w:t>_________________________________________________________________</w:t>
    </w:r>
    <w:r>
      <w:rPr>
        <w:rFonts w:ascii="Arial" w:hAnsi="Arial" w:cs="Arial"/>
        <w:b/>
        <w:sz w:val="24"/>
        <w:szCs w:val="24"/>
      </w:rPr>
      <w:t>________________________________</w:t>
    </w:r>
  </w:p>
  <w:p w:rsidR="00053D7D" w:rsidRDefault="00053D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E25" w:rsidRDefault="008A7E25" w:rsidP="009E3A0E">
      <w:pPr>
        <w:spacing w:after="0" w:line="240" w:lineRule="auto"/>
      </w:pPr>
      <w:r>
        <w:separator/>
      </w:r>
    </w:p>
  </w:footnote>
  <w:footnote w:type="continuationSeparator" w:id="0">
    <w:p w:rsidR="008A7E25" w:rsidRDefault="008A7E25" w:rsidP="009E3A0E">
      <w:pPr>
        <w:spacing w:after="0" w:line="240" w:lineRule="auto"/>
      </w:pPr>
      <w:r>
        <w:continuationSeparator/>
      </w:r>
    </w:p>
  </w:footnote>
  <w:footnote w:id="1">
    <w:p w:rsidR="00426F09" w:rsidRPr="00B467D3" w:rsidRDefault="00426F09" w:rsidP="00C061A9">
      <w:pPr>
        <w:pStyle w:val="Textonotapie"/>
        <w:spacing w:after="0" w:line="240" w:lineRule="auto"/>
        <w:rPr>
          <w:sz w:val="18"/>
        </w:rPr>
      </w:pPr>
      <w:r w:rsidRPr="00B467D3">
        <w:rPr>
          <w:rStyle w:val="Refdenotaalpie"/>
          <w:sz w:val="18"/>
        </w:rPr>
        <w:footnoteRef/>
      </w:r>
      <w:r>
        <w:rPr>
          <w:sz w:val="18"/>
        </w:rPr>
        <w:t xml:space="preserve"> </w:t>
      </w:r>
      <w:r w:rsidRPr="00B467D3">
        <w:rPr>
          <w:sz w:val="18"/>
        </w:rPr>
        <w:t>INEGI, Encuesta Nacional de Ocupación y Empleo (ENOE), Tabasco, Segundo trimestre de  2023, Comunicado de prensa núm. 497/23, 28 de agosto de 2023, https://inegi.org.mx/contenidos/saladeprensa/boletines/2023/enoent/enoent2023_08_Tab.pdf</w:t>
      </w:r>
    </w:p>
    <w:p w:rsidR="00426F09" w:rsidRPr="00B467D3" w:rsidRDefault="00426F09" w:rsidP="00C061A9">
      <w:pPr>
        <w:pStyle w:val="Textonotapie"/>
        <w:spacing w:after="0" w:line="240" w:lineRule="auto"/>
        <w:rPr>
          <w:lang w:val="es-MX"/>
        </w:rPr>
      </w:pPr>
    </w:p>
  </w:footnote>
  <w:footnote w:id="2">
    <w:p w:rsidR="00426F09" w:rsidRPr="00B467D3" w:rsidRDefault="00426F09" w:rsidP="00C061A9">
      <w:pPr>
        <w:pStyle w:val="Textonotapie"/>
        <w:spacing w:after="0" w:line="240" w:lineRule="auto"/>
        <w:rPr>
          <w:lang w:val="es-MX"/>
        </w:rPr>
      </w:pPr>
      <w:r>
        <w:rPr>
          <w:rStyle w:val="Refdenotaalpie"/>
        </w:rPr>
        <w:footnoteRef/>
      </w:r>
      <w:r>
        <w:t xml:space="preserve"> IMSS. Comunicado No. 499/2023.</w:t>
      </w:r>
    </w:p>
  </w:footnote>
  <w:footnote w:id="3">
    <w:p w:rsidR="00426F09" w:rsidRPr="000132E9" w:rsidRDefault="00426F09" w:rsidP="00C061A9">
      <w:pPr>
        <w:pStyle w:val="Textonotapie"/>
        <w:spacing w:after="0" w:line="240" w:lineRule="auto"/>
      </w:pPr>
      <w:r w:rsidRPr="000132E9">
        <w:footnoteRef/>
      </w:r>
      <w:r>
        <w:t xml:space="preserve"> INEGI, Índice Nacional de Precios al Consumidor, septiembre de 2023, Comunicado de prensa núm. 584/23, 9 de octubre de 2023, https://www.inegi.org.mx/contenidos/saladeprensa/b </w:t>
      </w:r>
      <w:proofErr w:type="spellStart"/>
      <w:r>
        <w:t>oletines</w:t>
      </w:r>
      <w:proofErr w:type="spellEnd"/>
      <w:r>
        <w:t>/2023/inpc_2q/inpc_2q2023_10.pdf.</w:t>
      </w:r>
    </w:p>
  </w:footnote>
  <w:footnote w:id="4">
    <w:p w:rsidR="00426F09" w:rsidRPr="00B467D3" w:rsidRDefault="00426F09" w:rsidP="00C061A9">
      <w:pPr>
        <w:pStyle w:val="Textonotapie"/>
        <w:spacing w:after="0" w:line="240" w:lineRule="auto"/>
      </w:pPr>
      <w:r w:rsidRPr="000132E9">
        <w:footnoteRef/>
      </w:r>
      <w:r>
        <w:t xml:space="preserve"> Informe Trimestral de las Finanzas Públicas y la Deuda Pública Tercer Trimestre 2023.- SHCP.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D7D" w:rsidRDefault="00426F09">
    <w:pPr>
      <w:pStyle w:val="Encabezado"/>
    </w:pPr>
    <w:r>
      <w:rPr>
        <w:noProof/>
        <w:lang w:eastAsia="es-MX"/>
      </w:rPr>
      <w:drawing>
        <wp:anchor distT="0" distB="0" distL="114300" distR="114300" simplePos="0" relativeHeight="251660800" behindDoc="1" locked="0" layoutInCell="1" allowOverlap="1">
          <wp:simplePos x="0" y="0"/>
          <wp:positionH relativeFrom="column">
            <wp:posOffset>7242810</wp:posOffset>
          </wp:positionH>
          <wp:positionV relativeFrom="paragraph">
            <wp:posOffset>101600</wp:posOffset>
          </wp:positionV>
          <wp:extent cx="1257300" cy="508000"/>
          <wp:effectExtent l="0" t="0" r="0" b="6350"/>
          <wp:wrapTight wrapText="bothSides">
            <wp:wrapPolygon edited="0">
              <wp:start x="0" y="0"/>
              <wp:lineTo x="0" y="21060"/>
              <wp:lineTo x="21273" y="21060"/>
              <wp:lineTo x="21273"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3-04-24 at 12.23.34 PM.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508000"/>
                  </a:xfrm>
                  <a:prstGeom prst="rect">
                    <a:avLst/>
                  </a:prstGeom>
                </pic:spPr>
              </pic:pic>
            </a:graphicData>
          </a:graphic>
          <wp14:sizeRelH relativeFrom="margin">
            <wp14:pctWidth>0</wp14:pctWidth>
          </wp14:sizeRelH>
          <wp14:sizeRelV relativeFrom="margin">
            <wp14:pctHeight>0</wp14:pctHeight>
          </wp14:sizeRelV>
        </wp:anchor>
      </w:drawing>
    </w:r>
  </w:p>
  <w:p w:rsidR="00053D7D" w:rsidRDefault="00053D7D">
    <w:pPr>
      <w:pStyle w:val="Encabezado"/>
    </w:pPr>
  </w:p>
  <w:p w:rsidR="00053D7D" w:rsidRPr="00426F09" w:rsidRDefault="000C31B5" w:rsidP="006309D9">
    <w:pPr>
      <w:spacing w:after="0"/>
      <w:jc w:val="center"/>
      <w:rPr>
        <w:rFonts w:ascii="DIN Next LT Pro Condensed" w:hAnsi="DIN Next LT Pro Condensed" w:cs="Arial"/>
        <w:b/>
        <w:sz w:val="28"/>
        <w:szCs w:val="32"/>
      </w:rPr>
    </w:pPr>
    <w:r w:rsidRPr="00426F09">
      <w:rPr>
        <w:rFonts w:ascii="DIN Next LT Pro Condensed" w:hAnsi="DIN Next LT Pro Condensed" w:cs="Arial"/>
        <w:b/>
        <w:sz w:val="28"/>
        <w:szCs w:val="32"/>
      </w:rPr>
      <w:t>POSTURA FISCAL</w:t>
    </w:r>
  </w:p>
  <w:p w:rsidR="006309D9" w:rsidRPr="006309D9" w:rsidRDefault="007621E2" w:rsidP="006309D9">
    <w:pPr>
      <w:spacing w:after="0"/>
      <w:jc w:val="center"/>
      <w:rPr>
        <w:rFonts w:ascii="DIN Next LT Pro Condensed" w:hAnsi="DIN Next LT Pro Condensed" w:cs="Arial"/>
        <w:b/>
        <w:sz w:val="24"/>
        <w:szCs w:val="32"/>
      </w:rPr>
    </w:pPr>
    <w:r>
      <w:rPr>
        <w:rFonts w:ascii="DIN Next LT Pro Condensed" w:hAnsi="DIN Next LT Pro Condensed" w:cs="Arial"/>
        <w:b/>
        <w:noProof/>
        <w:sz w:val="24"/>
        <w:szCs w:val="32"/>
        <w:lang w:eastAsia="es-MX"/>
      </w:rPr>
      <mc:AlternateContent>
        <mc:Choice Requires="wps">
          <w:drawing>
            <wp:anchor distT="0" distB="0" distL="114300" distR="114300" simplePos="0" relativeHeight="251659264" behindDoc="1" locked="0" layoutInCell="1" allowOverlap="1" wp14:anchorId="295F4719" wp14:editId="473744FA">
              <wp:simplePos x="0" y="0"/>
              <wp:positionH relativeFrom="column">
                <wp:posOffset>42457</wp:posOffset>
              </wp:positionH>
              <wp:positionV relativeFrom="paragraph">
                <wp:posOffset>83820</wp:posOffset>
              </wp:positionV>
              <wp:extent cx="8497751" cy="1270"/>
              <wp:effectExtent l="0" t="0" r="17780" b="17780"/>
              <wp:wrapNone/>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97751" cy="1270"/>
                      </a:xfrm>
                      <a:custGeom>
                        <a:avLst/>
                        <a:gdLst>
                          <a:gd name="T0" fmla="+- 0 1460 1460"/>
                          <a:gd name="T1" fmla="*/ T0 w 12920"/>
                          <a:gd name="T2" fmla="+- 0 14380 1460"/>
                          <a:gd name="T3" fmla="*/ T2 w 12920"/>
                        </a:gdLst>
                        <a:ahLst/>
                        <a:cxnLst>
                          <a:cxn ang="0">
                            <a:pos x="T1" y="0"/>
                          </a:cxn>
                          <a:cxn ang="0">
                            <a:pos x="T3" y="0"/>
                          </a:cxn>
                        </a:cxnLst>
                        <a:rect l="0" t="0" r="r" b="b"/>
                        <a:pathLst>
                          <a:path w="12920">
                            <a:moveTo>
                              <a:pt x="0" y="0"/>
                            </a:moveTo>
                            <a:lnTo>
                              <a:pt x="1292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1EAAEE7D" id="Freeform 3" o:spid="_x0000_s1026" style="position:absolute;margin-left:3.35pt;margin-top:6.6pt;width:669.1pt;height:.1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12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" path="m,l12920,e" filled="f" strokeweight="1pt">
              <v:path arrowok="t" o:connecttype="custom" o:connectlocs="0,0;8497751,0" o:connectangles="0,0"/>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1181C"/>
    <w:multiLevelType w:val="hybridMultilevel"/>
    <w:tmpl w:val="47480F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052BB2"/>
    <w:multiLevelType w:val="hybridMultilevel"/>
    <w:tmpl w:val="25F8FBF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A2B56F0"/>
    <w:multiLevelType w:val="hybridMultilevel"/>
    <w:tmpl w:val="ED78D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294B29"/>
    <w:multiLevelType w:val="hybridMultilevel"/>
    <w:tmpl w:val="DCBE1C6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0F4E46A6"/>
    <w:multiLevelType w:val="hybridMultilevel"/>
    <w:tmpl w:val="232A8AA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15:restartNumberingAfterBreak="0">
    <w:nsid w:val="10E26E0D"/>
    <w:multiLevelType w:val="hybridMultilevel"/>
    <w:tmpl w:val="72DCC3E6"/>
    <w:lvl w:ilvl="0" w:tplc="114E5F96">
      <w:numFmt w:val="bullet"/>
      <w:lvlText w:val=""/>
      <w:lvlJc w:val="left"/>
      <w:pPr>
        <w:ind w:left="720" w:hanging="360"/>
      </w:pPr>
      <w:rPr>
        <w:rFonts w:ascii="Symbol" w:eastAsia="Symbol" w:hAnsi="Symbol" w:cs="Symbol" w:hint="default"/>
        <w:w w:val="99"/>
        <w:sz w:val="28"/>
        <w:szCs w:val="28"/>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DB7FDE"/>
    <w:multiLevelType w:val="hybridMultilevel"/>
    <w:tmpl w:val="58FAC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365948"/>
    <w:multiLevelType w:val="hybridMultilevel"/>
    <w:tmpl w:val="C824BA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671295"/>
    <w:multiLevelType w:val="hybridMultilevel"/>
    <w:tmpl w:val="2872F1E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4226492"/>
    <w:multiLevelType w:val="hybridMultilevel"/>
    <w:tmpl w:val="164CBA20"/>
    <w:lvl w:ilvl="0" w:tplc="B900BD8E">
      <w:numFmt w:val="bullet"/>
      <w:lvlText w:val="•"/>
      <w:lvlJc w:val="left"/>
      <w:pPr>
        <w:ind w:left="1080" w:hanging="360"/>
      </w:pPr>
      <w:rPr>
        <w:rFonts w:ascii="DIN Next LT Pro Condensed" w:eastAsia="Calibri" w:hAnsi="DIN Next LT Pro Condensed"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E6169CF"/>
    <w:multiLevelType w:val="hybridMultilevel"/>
    <w:tmpl w:val="F5B4A926"/>
    <w:lvl w:ilvl="0" w:tplc="080A0001">
      <w:start w:val="1"/>
      <w:numFmt w:val="bullet"/>
      <w:lvlText w:val=""/>
      <w:lvlJc w:val="left"/>
      <w:pPr>
        <w:ind w:left="1212" w:hanging="360"/>
      </w:pPr>
      <w:rPr>
        <w:rFonts w:ascii="Symbol" w:hAnsi="Symbol" w:hint="default"/>
      </w:rPr>
    </w:lvl>
    <w:lvl w:ilvl="1" w:tplc="C9D228E0">
      <w:numFmt w:val="bullet"/>
      <w:lvlText w:val="•"/>
      <w:lvlJc w:val="left"/>
      <w:pPr>
        <w:ind w:left="1866" w:hanging="360"/>
      </w:pPr>
      <w:rPr>
        <w:rFonts w:ascii="DIN Next LT Pro Condensed" w:eastAsiaTheme="minorHAnsi" w:hAnsi="DIN Next LT Pro Condensed" w:cs="Arial"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1" w15:restartNumberingAfterBreak="0">
    <w:nsid w:val="375B60C0"/>
    <w:multiLevelType w:val="hybridMultilevel"/>
    <w:tmpl w:val="FDE01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415AB7"/>
    <w:multiLevelType w:val="hybridMultilevel"/>
    <w:tmpl w:val="1C36A5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323665D"/>
    <w:multiLevelType w:val="hybridMultilevel"/>
    <w:tmpl w:val="B25A9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DB4ABB"/>
    <w:multiLevelType w:val="hybridMultilevel"/>
    <w:tmpl w:val="14044B58"/>
    <w:lvl w:ilvl="0" w:tplc="114E5F96">
      <w:numFmt w:val="bullet"/>
      <w:lvlText w:val=""/>
      <w:lvlJc w:val="left"/>
      <w:pPr>
        <w:ind w:left="720" w:hanging="360"/>
      </w:pPr>
      <w:rPr>
        <w:rFonts w:ascii="Symbol" w:eastAsia="Symbol" w:hAnsi="Symbol" w:cs="Symbol" w:hint="default"/>
        <w:w w:val="99"/>
        <w:sz w:val="28"/>
        <w:szCs w:val="28"/>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434E3A"/>
    <w:multiLevelType w:val="hybridMultilevel"/>
    <w:tmpl w:val="A934D1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6F55E6C"/>
    <w:multiLevelType w:val="hybridMultilevel"/>
    <w:tmpl w:val="1A3A7A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AEF00E8"/>
    <w:multiLevelType w:val="hybridMultilevel"/>
    <w:tmpl w:val="7494B264"/>
    <w:lvl w:ilvl="0" w:tplc="114E5F96">
      <w:numFmt w:val="bullet"/>
      <w:lvlText w:val=""/>
      <w:lvlJc w:val="left"/>
      <w:pPr>
        <w:ind w:left="720" w:hanging="360"/>
      </w:pPr>
      <w:rPr>
        <w:rFonts w:ascii="Symbol" w:eastAsia="Symbol" w:hAnsi="Symbol" w:cs="Symbol" w:hint="default"/>
        <w:w w:val="99"/>
        <w:sz w:val="28"/>
        <w:szCs w:val="28"/>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2162C1"/>
    <w:multiLevelType w:val="hybridMultilevel"/>
    <w:tmpl w:val="DF02E044"/>
    <w:lvl w:ilvl="0" w:tplc="A8A6950E">
      <w:numFmt w:val="bullet"/>
      <w:lvlText w:val="•"/>
      <w:lvlJc w:val="left"/>
      <w:pPr>
        <w:ind w:left="1065" w:hanging="705"/>
      </w:pPr>
      <w:rPr>
        <w:rFonts w:ascii="Agency FB" w:eastAsiaTheme="minorHAnsi" w:hAnsi="Agency FB"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496695"/>
    <w:multiLevelType w:val="hybridMultilevel"/>
    <w:tmpl w:val="566E538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5095346F"/>
    <w:multiLevelType w:val="hybridMultilevel"/>
    <w:tmpl w:val="D6144E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1126133"/>
    <w:multiLevelType w:val="hybridMultilevel"/>
    <w:tmpl w:val="5A3AE1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B23048E"/>
    <w:multiLevelType w:val="hybridMultilevel"/>
    <w:tmpl w:val="DBF855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03A68D3"/>
    <w:multiLevelType w:val="hybridMultilevel"/>
    <w:tmpl w:val="55F03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11408E3"/>
    <w:multiLevelType w:val="hybridMultilevel"/>
    <w:tmpl w:val="2988A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8B0519"/>
    <w:multiLevelType w:val="hybridMultilevel"/>
    <w:tmpl w:val="79D0BA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EF417E"/>
    <w:multiLevelType w:val="hybridMultilevel"/>
    <w:tmpl w:val="882C64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910570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A30708D"/>
    <w:multiLevelType w:val="hybridMultilevel"/>
    <w:tmpl w:val="DA020F30"/>
    <w:lvl w:ilvl="0" w:tplc="F8CAF62E">
      <w:numFmt w:val="bullet"/>
      <w:lvlText w:val="•"/>
      <w:lvlJc w:val="left"/>
      <w:pPr>
        <w:ind w:left="786" w:hanging="360"/>
      </w:pPr>
      <w:rPr>
        <w:rFonts w:ascii="DIN Next LT Pro Condensed" w:eastAsiaTheme="minorHAnsi" w:hAnsi="DIN Next LT Pro Condensed"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9" w15:restartNumberingAfterBreak="0">
    <w:nsid w:val="6A5D2F27"/>
    <w:multiLevelType w:val="hybridMultilevel"/>
    <w:tmpl w:val="7444B3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F3D3794"/>
    <w:multiLevelType w:val="hybridMultilevel"/>
    <w:tmpl w:val="FAFE69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40120D8"/>
    <w:multiLevelType w:val="hybridMultilevel"/>
    <w:tmpl w:val="70B09FAE"/>
    <w:lvl w:ilvl="0" w:tplc="B900BD8E">
      <w:numFmt w:val="bullet"/>
      <w:lvlText w:val="•"/>
      <w:lvlJc w:val="left"/>
      <w:pPr>
        <w:ind w:left="720" w:hanging="360"/>
      </w:pPr>
      <w:rPr>
        <w:rFonts w:ascii="DIN Next LT Pro Condensed" w:eastAsia="Calibri" w:hAnsi="DIN Next LT Pro Condensed"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56E3BD6"/>
    <w:multiLevelType w:val="hybridMultilevel"/>
    <w:tmpl w:val="9782FDAC"/>
    <w:lvl w:ilvl="0" w:tplc="F8CAF62E">
      <w:numFmt w:val="bullet"/>
      <w:lvlText w:val="•"/>
      <w:lvlJc w:val="left"/>
      <w:pPr>
        <w:ind w:left="1212" w:hanging="360"/>
      </w:pPr>
      <w:rPr>
        <w:rFonts w:ascii="DIN Next LT Pro Condensed" w:eastAsiaTheme="minorHAnsi" w:hAnsi="DIN Next LT Pro Condensed" w:cs="Aria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3" w15:restartNumberingAfterBreak="0">
    <w:nsid w:val="795D3EB2"/>
    <w:multiLevelType w:val="hybridMultilevel"/>
    <w:tmpl w:val="CDD604F4"/>
    <w:lvl w:ilvl="0" w:tplc="114E5F96">
      <w:numFmt w:val="bullet"/>
      <w:lvlText w:val=""/>
      <w:lvlJc w:val="left"/>
      <w:pPr>
        <w:ind w:left="720" w:hanging="360"/>
      </w:pPr>
      <w:rPr>
        <w:rFonts w:ascii="Symbol" w:eastAsia="Symbol" w:hAnsi="Symbol" w:cs="Symbol" w:hint="default"/>
        <w:w w:val="99"/>
        <w:sz w:val="28"/>
        <w:szCs w:val="28"/>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95E61F1"/>
    <w:multiLevelType w:val="hybridMultilevel"/>
    <w:tmpl w:val="8BE44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9910813"/>
    <w:multiLevelType w:val="hybridMultilevel"/>
    <w:tmpl w:val="DAEAC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B857D32"/>
    <w:multiLevelType w:val="multilevel"/>
    <w:tmpl w:val="DC30A2B2"/>
    <w:lvl w:ilvl="0">
      <w:start w:val="1"/>
      <w:numFmt w:val="decimal"/>
      <w:lvlText w:val="%1"/>
      <w:lvlJc w:val="left"/>
      <w:pPr>
        <w:ind w:left="360" w:hanging="360"/>
      </w:pPr>
      <w:rPr>
        <w:rFonts w:ascii="Calibri" w:hAnsi="Calibri" w:cs="Times New Roman" w:hint="default"/>
        <w:b w:val="0"/>
        <w:sz w:val="22"/>
      </w:rPr>
    </w:lvl>
    <w:lvl w:ilvl="1">
      <w:start w:val="1"/>
      <w:numFmt w:val="decimal"/>
      <w:lvlText w:val="%1.%2"/>
      <w:lvlJc w:val="left"/>
      <w:pPr>
        <w:ind w:left="360" w:hanging="360"/>
      </w:pPr>
      <w:rPr>
        <w:rFonts w:ascii="Arial" w:hAnsi="Arial" w:cs="Arial" w:hint="default"/>
        <w:b/>
        <w:sz w:val="24"/>
      </w:rPr>
    </w:lvl>
    <w:lvl w:ilvl="2">
      <w:start w:val="1"/>
      <w:numFmt w:val="decimal"/>
      <w:lvlText w:val="%1.%2.%3"/>
      <w:lvlJc w:val="left"/>
      <w:pPr>
        <w:ind w:left="720" w:hanging="720"/>
      </w:pPr>
      <w:rPr>
        <w:rFonts w:ascii="Arial" w:hAnsi="Arial" w:cs="Arial" w:hint="default"/>
        <w:b/>
        <w:sz w:val="24"/>
      </w:rPr>
    </w:lvl>
    <w:lvl w:ilvl="3">
      <w:start w:val="1"/>
      <w:numFmt w:val="decimal"/>
      <w:lvlText w:val="%1.%2.%3.%4"/>
      <w:lvlJc w:val="left"/>
      <w:pPr>
        <w:ind w:left="1080" w:hanging="1080"/>
      </w:pPr>
      <w:rPr>
        <w:rFonts w:ascii="Calibri" w:hAnsi="Calibri" w:cs="Times New Roman" w:hint="default"/>
        <w:b w:val="0"/>
        <w:sz w:val="22"/>
      </w:rPr>
    </w:lvl>
    <w:lvl w:ilvl="4">
      <w:start w:val="1"/>
      <w:numFmt w:val="decimal"/>
      <w:lvlText w:val="%1.%2.%3.%4.%5"/>
      <w:lvlJc w:val="left"/>
      <w:pPr>
        <w:ind w:left="1080" w:hanging="1080"/>
      </w:pPr>
      <w:rPr>
        <w:rFonts w:ascii="Calibri" w:hAnsi="Calibri" w:cs="Times New Roman" w:hint="default"/>
        <w:b w:val="0"/>
        <w:sz w:val="22"/>
      </w:rPr>
    </w:lvl>
    <w:lvl w:ilvl="5">
      <w:start w:val="1"/>
      <w:numFmt w:val="decimal"/>
      <w:lvlText w:val="%1.%2.%3.%4.%5.%6"/>
      <w:lvlJc w:val="left"/>
      <w:pPr>
        <w:ind w:left="1440" w:hanging="1440"/>
      </w:pPr>
      <w:rPr>
        <w:rFonts w:ascii="Calibri" w:hAnsi="Calibri" w:cs="Times New Roman" w:hint="default"/>
        <w:b w:val="0"/>
        <w:sz w:val="22"/>
      </w:rPr>
    </w:lvl>
    <w:lvl w:ilvl="6">
      <w:start w:val="1"/>
      <w:numFmt w:val="decimal"/>
      <w:lvlText w:val="%1.%2.%3.%4.%5.%6.%7"/>
      <w:lvlJc w:val="left"/>
      <w:pPr>
        <w:ind w:left="1440" w:hanging="1440"/>
      </w:pPr>
      <w:rPr>
        <w:rFonts w:ascii="Calibri" w:hAnsi="Calibri" w:cs="Times New Roman" w:hint="default"/>
        <w:b w:val="0"/>
        <w:sz w:val="22"/>
      </w:rPr>
    </w:lvl>
    <w:lvl w:ilvl="7">
      <w:start w:val="1"/>
      <w:numFmt w:val="decimal"/>
      <w:lvlText w:val="%1.%2.%3.%4.%5.%6.%7.%8"/>
      <w:lvlJc w:val="left"/>
      <w:pPr>
        <w:ind w:left="1800" w:hanging="1800"/>
      </w:pPr>
      <w:rPr>
        <w:rFonts w:ascii="Calibri" w:hAnsi="Calibri" w:cs="Times New Roman" w:hint="default"/>
        <w:b w:val="0"/>
        <w:sz w:val="22"/>
      </w:rPr>
    </w:lvl>
    <w:lvl w:ilvl="8">
      <w:start w:val="1"/>
      <w:numFmt w:val="decimal"/>
      <w:lvlText w:val="%1.%2.%3.%4.%5.%6.%7.%8.%9"/>
      <w:lvlJc w:val="left"/>
      <w:pPr>
        <w:ind w:left="1800" w:hanging="1800"/>
      </w:pPr>
      <w:rPr>
        <w:rFonts w:ascii="Calibri" w:hAnsi="Calibri" w:cs="Times New Roman" w:hint="default"/>
        <w:b w:val="0"/>
        <w:sz w:val="22"/>
      </w:rPr>
    </w:lvl>
  </w:abstractNum>
  <w:abstractNum w:abstractNumId="37" w15:restartNumberingAfterBreak="0">
    <w:nsid w:val="7BB527B2"/>
    <w:multiLevelType w:val="hybridMultilevel"/>
    <w:tmpl w:val="1D00F4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C11772A"/>
    <w:multiLevelType w:val="hybridMultilevel"/>
    <w:tmpl w:val="A574CC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CCD2408"/>
    <w:multiLevelType w:val="hybridMultilevel"/>
    <w:tmpl w:val="18748FF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34"/>
  </w:num>
  <w:num w:numId="2">
    <w:abstractNumId w:val="15"/>
  </w:num>
  <w:num w:numId="3">
    <w:abstractNumId w:val="38"/>
  </w:num>
  <w:num w:numId="4">
    <w:abstractNumId w:val="12"/>
  </w:num>
  <w:num w:numId="5">
    <w:abstractNumId w:val="7"/>
  </w:num>
  <w:num w:numId="6">
    <w:abstractNumId w:val="2"/>
  </w:num>
  <w:num w:numId="7">
    <w:abstractNumId w:val="20"/>
  </w:num>
  <w:num w:numId="8">
    <w:abstractNumId w:val="27"/>
  </w:num>
  <w:num w:numId="9">
    <w:abstractNumId w:val="29"/>
  </w:num>
  <w:num w:numId="10">
    <w:abstractNumId w:val="16"/>
  </w:num>
  <w:num w:numId="11">
    <w:abstractNumId w:val="3"/>
  </w:num>
  <w:num w:numId="12">
    <w:abstractNumId w:val="0"/>
  </w:num>
  <w:num w:numId="13">
    <w:abstractNumId w:val="35"/>
  </w:num>
  <w:num w:numId="14">
    <w:abstractNumId w:val="11"/>
  </w:num>
  <w:num w:numId="15">
    <w:abstractNumId w:val="21"/>
  </w:num>
  <w:num w:numId="16">
    <w:abstractNumId w:val="26"/>
  </w:num>
  <w:num w:numId="17">
    <w:abstractNumId w:val="25"/>
  </w:num>
  <w:num w:numId="18">
    <w:abstractNumId w:val="36"/>
  </w:num>
  <w:num w:numId="19">
    <w:abstractNumId w:val="4"/>
  </w:num>
  <w:num w:numId="20">
    <w:abstractNumId w:val="1"/>
  </w:num>
  <w:num w:numId="21">
    <w:abstractNumId w:val="31"/>
  </w:num>
  <w:num w:numId="22">
    <w:abstractNumId w:val="9"/>
  </w:num>
  <w:num w:numId="23">
    <w:abstractNumId w:val="19"/>
  </w:num>
  <w:num w:numId="24">
    <w:abstractNumId w:val="39"/>
  </w:num>
  <w:num w:numId="25">
    <w:abstractNumId w:val="28"/>
  </w:num>
  <w:num w:numId="26">
    <w:abstractNumId w:val="32"/>
  </w:num>
  <w:num w:numId="27">
    <w:abstractNumId w:val="10"/>
  </w:num>
  <w:num w:numId="28">
    <w:abstractNumId w:val="30"/>
  </w:num>
  <w:num w:numId="29">
    <w:abstractNumId w:val="8"/>
  </w:num>
  <w:num w:numId="30">
    <w:abstractNumId w:val="14"/>
  </w:num>
  <w:num w:numId="31">
    <w:abstractNumId w:val="18"/>
  </w:num>
  <w:num w:numId="32">
    <w:abstractNumId w:val="17"/>
  </w:num>
  <w:num w:numId="33">
    <w:abstractNumId w:val="5"/>
  </w:num>
  <w:num w:numId="34">
    <w:abstractNumId w:val="33"/>
  </w:num>
  <w:num w:numId="35">
    <w:abstractNumId w:val="24"/>
  </w:num>
  <w:num w:numId="36">
    <w:abstractNumId w:val="13"/>
  </w:num>
  <w:num w:numId="37">
    <w:abstractNumId w:val="37"/>
  </w:num>
  <w:num w:numId="38">
    <w:abstractNumId w:val="22"/>
  </w:num>
  <w:num w:numId="39">
    <w:abstractNumId w:val="6"/>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E27"/>
    <w:rsid w:val="000049CC"/>
    <w:rsid w:val="00012415"/>
    <w:rsid w:val="00012AA4"/>
    <w:rsid w:val="00013B32"/>
    <w:rsid w:val="000170AE"/>
    <w:rsid w:val="000202FC"/>
    <w:rsid w:val="00032EDC"/>
    <w:rsid w:val="0005262A"/>
    <w:rsid w:val="00053D7D"/>
    <w:rsid w:val="00080451"/>
    <w:rsid w:val="0008601C"/>
    <w:rsid w:val="00092323"/>
    <w:rsid w:val="000B09CA"/>
    <w:rsid w:val="000B1591"/>
    <w:rsid w:val="000C31B5"/>
    <w:rsid w:val="000D04CC"/>
    <w:rsid w:val="000D09C6"/>
    <w:rsid w:val="000D28FD"/>
    <w:rsid w:val="000D6F24"/>
    <w:rsid w:val="00104179"/>
    <w:rsid w:val="00120C39"/>
    <w:rsid w:val="001229A0"/>
    <w:rsid w:val="0013160B"/>
    <w:rsid w:val="00180351"/>
    <w:rsid w:val="0019136B"/>
    <w:rsid w:val="0019620A"/>
    <w:rsid w:val="001B158C"/>
    <w:rsid w:val="001B5D0F"/>
    <w:rsid w:val="001D24B9"/>
    <w:rsid w:val="00256494"/>
    <w:rsid w:val="00260CC2"/>
    <w:rsid w:val="0026181E"/>
    <w:rsid w:val="002668D5"/>
    <w:rsid w:val="00266D61"/>
    <w:rsid w:val="00276D68"/>
    <w:rsid w:val="002844C1"/>
    <w:rsid w:val="00296DB5"/>
    <w:rsid w:val="002A7C88"/>
    <w:rsid w:val="002B2EA4"/>
    <w:rsid w:val="002B66A6"/>
    <w:rsid w:val="002C5A3B"/>
    <w:rsid w:val="002D032B"/>
    <w:rsid w:val="002D7DEA"/>
    <w:rsid w:val="002E35F4"/>
    <w:rsid w:val="0032324D"/>
    <w:rsid w:val="00340B27"/>
    <w:rsid w:val="00344A26"/>
    <w:rsid w:val="003575B3"/>
    <w:rsid w:val="00366689"/>
    <w:rsid w:val="003C3F16"/>
    <w:rsid w:val="003D2732"/>
    <w:rsid w:val="00410700"/>
    <w:rsid w:val="00426F09"/>
    <w:rsid w:val="00444912"/>
    <w:rsid w:val="00465B41"/>
    <w:rsid w:val="0048144B"/>
    <w:rsid w:val="00483A81"/>
    <w:rsid w:val="004E6865"/>
    <w:rsid w:val="004E734C"/>
    <w:rsid w:val="004F7141"/>
    <w:rsid w:val="0050076C"/>
    <w:rsid w:val="00501ED9"/>
    <w:rsid w:val="00513D14"/>
    <w:rsid w:val="005172A1"/>
    <w:rsid w:val="00524330"/>
    <w:rsid w:val="005348CE"/>
    <w:rsid w:val="00537667"/>
    <w:rsid w:val="00541609"/>
    <w:rsid w:val="005477F4"/>
    <w:rsid w:val="00554696"/>
    <w:rsid w:val="0055788D"/>
    <w:rsid w:val="00572792"/>
    <w:rsid w:val="005759F3"/>
    <w:rsid w:val="005C40FE"/>
    <w:rsid w:val="005C41B7"/>
    <w:rsid w:val="0060755F"/>
    <w:rsid w:val="006165DE"/>
    <w:rsid w:val="00621012"/>
    <w:rsid w:val="00623413"/>
    <w:rsid w:val="00625E27"/>
    <w:rsid w:val="00627720"/>
    <w:rsid w:val="006309D9"/>
    <w:rsid w:val="00686E57"/>
    <w:rsid w:val="006B09C1"/>
    <w:rsid w:val="006D13A8"/>
    <w:rsid w:val="006D2578"/>
    <w:rsid w:val="006D7191"/>
    <w:rsid w:val="006E0F4B"/>
    <w:rsid w:val="006F5831"/>
    <w:rsid w:val="00705C50"/>
    <w:rsid w:val="007074AA"/>
    <w:rsid w:val="00721722"/>
    <w:rsid w:val="007437AF"/>
    <w:rsid w:val="00754DB3"/>
    <w:rsid w:val="007563E2"/>
    <w:rsid w:val="0076196F"/>
    <w:rsid w:val="007621E2"/>
    <w:rsid w:val="00771A30"/>
    <w:rsid w:val="007B3C86"/>
    <w:rsid w:val="007B3DC2"/>
    <w:rsid w:val="007D22C6"/>
    <w:rsid w:val="00811AD4"/>
    <w:rsid w:val="00813118"/>
    <w:rsid w:val="008220C0"/>
    <w:rsid w:val="00826ADD"/>
    <w:rsid w:val="00833AF0"/>
    <w:rsid w:val="008460A7"/>
    <w:rsid w:val="00871455"/>
    <w:rsid w:val="00874E89"/>
    <w:rsid w:val="008755E5"/>
    <w:rsid w:val="008765E0"/>
    <w:rsid w:val="00887BCE"/>
    <w:rsid w:val="00893F66"/>
    <w:rsid w:val="008A4BAD"/>
    <w:rsid w:val="008A7E25"/>
    <w:rsid w:val="008B4C51"/>
    <w:rsid w:val="008C5E15"/>
    <w:rsid w:val="008D35DF"/>
    <w:rsid w:val="008E4464"/>
    <w:rsid w:val="008E565E"/>
    <w:rsid w:val="008F008B"/>
    <w:rsid w:val="008F4B67"/>
    <w:rsid w:val="008F566F"/>
    <w:rsid w:val="008F7321"/>
    <w:rsid w:val="009145F7"/>
    <w:rsid w:val="009179EF"/>
    <w:rsid w:val="00934D76"/>
    <w:rsid w:val="009373E7"/>
    <w:rsid w:val="00941514"/>
    <w:rsid w:val="00945595"/>
    <w:rsid w:val="00962683"/>
    <w:rsid w:val="00967AC0"/>
    <w:rsid w:val="009774A3"/>
    <w:rsid w:val="009942E3"/>
    <w:rsid w:val="00995A14"/>
    <w:rsid w:val="00997BB4"/>
    <w:rsid w:val="009C2F64"/>
    <w:rsid w:val="009E3A0E"/>
    <w:rsid w:val="00A11B7F"/>
    <w:rsid w:val="00A22FC9"/>
    <w:rsid w:val="00A50FFD"/>
    <w:rsid w:val="00A51836"/>
    <w:rsid w:val="00A54BAB"/>
    <w:rsid w:val="00A6365F"/>
    <w:rsid w:val="00A84821"/>
    <w:rsid w:val="00A90222"/>
    <w:rsid w:val="00AB300F"/>
    <w:rsid w:val="00AB789D"/>
    <w:rsid w:val="00AC1196"/>
    <w:rsid w:val="00AC37B6"/>
    <w:rsid w:val="00AC6AF7"/>
    <w:rsid w:val="00AE20F3"/>
    <w:rsid w:val="00AF194A"/>
    <w:rsid w:val="00B11B29"/>
    <w:rsid w:val="00B153D5"/>
    <w:rsid w:val="00B41E23"/>
    <w:rsid w:val="00B52F36"/>
    <w:rsid w:val="00B74787"/>
    <w:rsid w:val="00B96E43"/>
    <w:rsid w:val="00BA7CCE"/>
    <w:rsid w:val="00BC4D5E"/>
    <w:rsid w:val="00BC5B6F"/>
    <w:rsid w:val="00BC6B05"/>
    <w:rsid w:val="00BD29BB"/>
    <w:rsid w:val="00C009D5"/>
    <w:rsid w:val="00C0605D"/>
    <w:rsid w:val="00C061A9"/>
    <w:rsid w:val="00C2470C"/>
    <w:rsid w:val="00C24C6C"/>
    <w:rsid w:val="00C25344"/>
    <w:rsid w:val="00C36F18"/>
    <w:rsid w:val="00C4329B"/>
    <w:rsid w:val="00C56D8C"/>
    <w:rsid w:val="00C628FE"/>
    <w:rsid w:val="00C63058"/>
    <w:rsid w:val="00C72388"/>
    <w:rsid w:val="00C81E02"/>
    <w:rsid w:val="00C86462"/>
    <w:rsid w:val="00C92BFB"/>
    <w:rsid w:val="00CA05BB"/>
    <w:rsid w:val="00CA3DD9"/>
    <w:rsid w:val="00CB62AC"/>
    <w:rsid w:val="00CC4B24"/>
    <w:rsid w:val="00CE1FF5"/>
    <w:rsid w:val="00CE2C6A"/>
    <w:rsid w:val="00CF6C61"/>
    <w:rsid w:val="00D026E2"/>
    <w:rsid w:val="00D3260D"/>
    <w:rsid w:val="00D6603F"/>
    <w:rsid w:val="00D80C33"/>
    <w:rsid w:val="00D932BE"/>
    <w:rsid w:val="00DA7BC5"/>
    <w:rsid w:val="00DF5F78"/>
    <w:rsid w:val="00E00F7B"/>
    <w:rsid w:val="00E435AC"/>
    <w:rsid w:val="00E517C8"/>
    <w:rsid w:val="00EC008C"/>
    <w:rsid w:val="00EC1DB7"/>
    <w:rsid w:val="00ED2691"/>
    <w:rsid w:val="00EF0291"/>
    <w:rsid w:val="00F4251E"/>
    <w:rsid w:val="00F505A1"/>
    <w:rsid w:val="00F523DE"/>
    <w:rsid w:val="00F6120E"/>
    <w:rsid w:val="00F662AE"/>
    <w:rsid w:val="00F6765D"/>
    <w:rsid w:val="00F71ECC"/>
    <w:rsid w:val="00F77073"/>
    <w:rsid w:val="00F770F6"/>
    <w:rsid w:val="00F77CE1"/>
    <w:rsid w:val="00F84D1F"/>
    <w:rsid w:val="00FC1931"/>
    <w:rsid w:val="00FC5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DA7491-8D35-440A-A7DA-7BF86D980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25E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5E27"/>
    <w:rPr>
      <w:rFonts w:ascii="Tahoma" w:hAnsi="Tahoma" w:cs="Tahoma"/>
      <w:sz w:val="16"/>
      <w:szCs w:val="16"/>
    </w:rPr>
  </w:style>
  <w:style w:type="paragraph" w:styleId="Encabezado">
    <w:name w:val="header"/>
    <w:basedOn w:val="Normal"/>
    <w:link w:val="EncabezadoCar"/>
    <w:uiPriority w:val="99"/>
    <w:unhideWhenUsed/>
    <w:rsid w:val="009E3A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A0E"/>
  </w:style>
  <w:style w:type="paragraph" w:styleId="Piedepgina">
    <w:name w:val="footer"/>
    <w:basedOn w:val="Normal"/>
    <w:link w:val="PiedepginaCar"/>
    <w:uiPriority w:val="99"/>
    <w:unhideWhenUsed/>
    <w:rsid w:val="009E3A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A0E"/>
  </w:style>
  <w:style w:type="paragraph" w:styleId="Prrafodelista">
    <w:name w:val="List Paragraph"/>
    <w:basedOn w:val="Normal"/>
    <w:link w:val="PrrafodelistaCar"/>
    <w:uiPriority w:val="1"/>
    <w:qFormat/>
    <w:rsid w:val="005477F4"/>
    <w:pPr>
      <w:ind w:left="720"/>
      <w:contextualSpacing/>
    </w:pPr>
    <w:rPr>
      <w:rFonts w:ascii="Calibri" w:eastAsia="Calibri" w:hAnsi="Calibri" w:cs="Times New Roman"/>
    </w:rPr>
  </w:style>
  <w:style w:type="character" w:customStyle="1" w:styleId="PrrafodelistaCar">
    <w:name w:val="Párrafo de lista Car"/>
    <w:link w:val="Prrafodelista"/>
    <w:uiPriority w:val="34"/>
    <w:locked/>
    <w:rsid w:val="005477F4"/>
    <w:rPr>
      <w:rFonts w:ascii="Calibri" w:eastAsia="Calibri" w:hAnsi="Calibri" w:cs="Times New Roman"/>
    </w:rPr>
  </w:style>
  <w:style w:type="character" w:customStyle="1" w:styleId="NormalWebCar">
    <w:name w:val="Normal (Web) Car"/>
    <w:link w:val="NormalWeb"/>
    <w:uiPriority w:val="99"/>
    <w:locked/>
    <w:rsid w:val="00962683"/>
    <w:rPr>
      <w:rFonts w:ascii="Times New Roman" w:hAnsi="Times New Roman" w:cs="Times New Roman"/>
      <w:sz w:val="24"/>
      <w:szCs w:val="24"/>
      <w:lang w:val="x-none" w:eastAsia="x-none"/>
    </w:rPr>
  </w:style>
  <w:style w:type="paragraph" w:styleId="NormalWeb">
    <w:name w:val="Normal (Web)"/>
    <w:basedOn w:val="Normal"/>
    <w:link w:val="NormalWebCar"/>
    <w:uiPriority w:val="99"/>
    <w:unhideWhenUsed/>
    <w:rsid w:val="00962683"/>
    <w:pPr>
      <w:spacing w:before="100" w:beforeAutospacing="1" w:after="100" w:afterAutospacing="1" w:line="240" w:lineRule="auto"/>
    </w:pPr>
    <w:rPr>
      <w:rFonts w:ascii="Times New Roman" w:hAnsi="Times New Roman" w:cs="Times New Roman"/>
      <w:sz w:val="24"/>
      <w:szCs w:val="24"/>
      <w:lang w:val="x-none" w:eastAsia="x-none"/>
    </w:rPr>
  </w:style>
  <w:style w:type="paragraph" w:styleId="Textoindependiente">
    <w:name w:val="Body Text"/>
    <w:basedOn w:val="Normal"/>
    <w:link w:val="TextoindependienteCar1"/>
    <w:uiPriority w:val="99"/>
    <w:unhideWhenUsed/>
    <w:rsid w:val="00826ADD"/>
    <w:pPr>
      <w:spacing w:after="0" w:line="36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uiPriority w:val="99"/>
    <w:semiHidden/>
    <w:rsid w:val="00826ADD"/>
  </w:style>
  <w:style w:type="character" w:customStyle="1" w:styleId="TextoindependienteCar1">
    <w:name w:val="Texto independiente Car1"/>
    <w:link w:val="Textoindependiente"/>
    <w:uiPriority w:val="99"/>
    <w:locked/>
    <w:rsid w:val="00826ADD"/>
    <w:rPr>
      <w:rFonts w:ascii="Arial" w:eastAsia="Times New Roman" w:hAnsi="Arial" w:cs="Times New Roman"/>
      <w:sz w:val="24"/>
      <w:szCs w:val="24"/>
      <w:lang w:val="es-ES" w:eastAsia="es-ES"/>
    </w:rPr>
  </w:style>
  <w:style w:type="paragraph" w:styleId="Textonotapie">
    <w:name w:val="footnote text"/>
    <w:aliases w:val="nota,pie,independiente,Letrero,margen"/>
    <w:basedOn w:val="Normal"/>
    <w:link w:val="TextonotapieCar"/>
    <w:uiPriority w:val="99"/>
    <w:unhideWhenUsed/>
    <w:rsid w:val="000C31B5"/>
    <w:rPr>
      <w:rFonts w:ascii="Calibri" w:eastAsia="Times New Roman" w:hAnsi="Calibri" w:cs="Times New Roman"/>
      <w:sz w:val="20"/>
      <w:szCs w:val="20"/>
      <w:lang w:val="x-none" w:eastAsia="es-MX"/>
    </w:rPr>
  </w:style>
  <w:style w:type="character" w:customStyle="1" w:styleId="TextonotapieCar">
    <w:name w:val="Texto nota pie Car"/>
    <w:aliases w:val="nota Car,pie Car,independiente Car,Letrero Car,margen Car"/>
    <w:basedOn w:val="Fuentedeprrafopredeter"/>
    <w:link w:val="Textonotapie"/>
    <w:uiPriority w:val="99"/>
    <w:rsid w:val="000C31B5"/>
    <w:rPr>
      <w:rFonts w:ascii="Calibri" w:eastAsia="Times New Roman" w:hAnsi="Calibri" w:cs="Times New Roman"/>
      <w:sz w:val="20"/>
      <w:szCs w:val="20"/>
      <w:lang w:val="x-none" w:eastAsia="es-MX"/>
    </w:rPr>
  </w:style>
  <w:style w:type="character" w:styleId="Refdenotaalpie">
    <w:name w:val="footnote reference"/>
    <w:uiPriority w:val="99"/>
    <w:unhideWhenUsed/>
    <w:rsid w:val="000C31B5"/>
    <w:rPr>
      <w:vertAlign w:val="superscript"/>
    </w:rPr>
  </w:style>
  <w:style w:type="character" w:styleId="Hipervnculo">
    <w:name w:val="Hyperlink"/>
    <w:basedOn w:val="Fuentedeprrafopredeter"/>
    <w:uiPriority w:val="99"/>
    <w:unhideWhenUsed/>
    <w:rsid w:val="00B96E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26888">
      <w:bodyDiv w:val="1"/>
      <w:marLeft w:val="0"/>
      <w:marRight w:val="0"/>
      <w:marTop w:val="0"/>
      <w:marBottom w:val="0"/>
      <w:divBdr>
        <w:top w:val="none" w:sz="0" w:space="0" w:color="auto"/>
        <w:left w:val="none" w:sz="0" w:space="0" w:color="auto"/>
        <w:bottom w:val="none" w:sz="0" w:space="0" w:color="auto"/>
        <w:right w:val="none" w:sz="0" w:space="0" w:color="auto"/>
      </w:divBdr>
    </w:div>
    <w:div w:id="70279316">
      <w:bodyDiv w:val="1"/>
      <w:marLeft w:val="0"/>
      <w:marRight w:val="0"/>
      <w:marTop w:val="0"/>
      <w:marBottom w:val="0"/>
      <w:divBdr>
        <w:top w:val="none" w:sz="0" w:space="0" w:color="auto"/>
        <w:left w:val="none" w:sz="0" w:space="0" w:color="auto"/>
        <w:bottom w:val="none" w:sz="0" w:space="0" w:color="auto"/>
        <w:right w:val="none" w:sz="0" w:space="0" w:color="auto"/>
      </w:divBdr>
    </w:div>
    <w:div w:id="356850914">
      <w:bodyDiv w:val="1"/>
      <w:marLeft w:val="0"/>
      <w:marRight w:val="0"/>
      <w:marTop w:val="0"/>
      <w:marBottom w:val="0"/>
      <w:divBdr>
        <w:top w:val="none" w:sz="0" w:space="0" w:color="auto"/>
        <w:left w:val="none" w:sz="0" w:space="0" w:color="auto"/>
        <w:bottom w:val="none" w:sz="0" w:space="0" w:color="auto"/>
        <w:right w:val="none" w:sz="0" w:space="0" w:color="auto"/>
      </w:divBdr>
    </w:div>
    <w:div w:id="370231223">
      <w:bodyDiv w:val="1"/>
      <w:marLeft w:val="0"/>
      <w:marRight w:val="0"/>
      <w:marTop w:val="0"/>
      <w:marBottom w:val="0"/>
      <w:divBdr>
        <w:top w:val="none" w:sz="0" w:space="0" w:color="auto"/>
        <w:left w:val="none" w:sz="0" w:space="0" w:color="auto"/>
        <w:bottom w:val="none" w:sz="0" w:space="0" w:color="auto"/>
        <w:right w:val="none" w:sz="0" w:space="0" w:color="auto"/>
      </w:divBdr>
    </w:div>
    <w:div w:id="731002100">
      <w:bodyDiv w:val="1"/>
      <w:marLeft w:val="0"/>
      <w:marRight w:val="0"/>
      <w:marTop w:val="0"/>
      <w:marBottom w:val="0"/>
      <w:divBdr>
        <w:top w:val="none" w:sz="0" w:space="0" w:color="auto"/>
        <w:left w:val="none" w:sz="0" w:space="0" w:color="auto"/>
        <w:bottom w:val="none" w:sz="0" w:space="0" w:color="auto"/>
        <w:right w:val="none" w:sz="0" w:space="0" w:color="auto"/>
      </w:divBdr>
    </w:div>
    <w:div w:id="778838729">
      <w:bodyDiv w:val="1"/>
      <w:marLeft w:val="0"/>
      <w:marRight w:val="0"/>
      <w:marTop w:val="0"/>
      <w:marBottom w:val="0"/>
      <w:divBdr>
        <w:top w:val="none" w:sz="0" w:space="0" w:color="auto"/>
        <w:left w:val="none" w:sz="0" w:space="0" w:color="auto"/>
        <w:bottom w:val="none" w:sz="0" w:space="0" w:color="auto"/>
        <w:right w:val="none" w:sz="0" w:space="0" w:color="auto"/>
      </w:divBdr>
    </w:div>
    <w:div w:id="787898687">
      <w:bodyDiv w:val="1"/>
      <w:marLeft w:val="0"/>
      <w:marRight w:val="0"/>
      <w:marTop w:val="0"/>
      <w:marBottom w:val="0"/>
      <w:divBdr>
        <w:top w:val="none" w:sz="0" w:space="0" w:color="auto"/>
        <w:left w:val="none" w:sz="0" w:space="0" w:color="auto"/>
        <w:bottom w:val="none" w:sz="0" w:space="0" w:color="auto"/>
        <w:right w:val="none" w:sz="0" w:space="0" w:color="auto"/>
      </w:divBdr>
    </w:div>
    <w:div w:id="844898271">
      <w:bodyDiv w:val="1"/>
      <w:marLeft w:val="0"/>
      <w:marRight w:val="0"/>
      <w:marTop w:val="0"/>
      <w:marBottom w:val="0"/>
      <w:divBdr>
        <w:top w:val="none" w:sz="0" w:space="0" w:color="auto"/>
        <w:left w:val="none" w:sz="0" w:space="0" w:color="auto"/>
        <w:bottom w:val="none" w:sz="0" w:space="0" w:color="auto"/>
        <w:right w:val="none" w:sz="0" w:space="0" w:color="auto"/>
      </w:divBdr>
    </w:div>
    <w:div w:id="1030303762">
      <w:bodyDiv w:val="1"/>
      <w:marLeft w:val="0"/>
      <w:marRight w:val="0"/>
      <w:marTop w:val="0"/>
      <w:marBottom w:val="0"/>
      <w:divBdr>
        <w:top w:val="none" w:sz="0" w:space="0" w:color="auto"/>
        <w:left w:val="none" w:sz="0" w:space="0" w:color="auto"/>
        <w:bottom w:val="none" w:sz="0" w:space="0" w:color="auto"/>
        <w:right w:val="none" w:sz="0" w:space="0" w:color="auto"/>
      </w:divBdr>
    </w:div>
    <w:div w:id="1071583318">
      <w:bodyDiv w:val="1"/>
      <w:marLeft w:val="0"/>
      <w:marRight w:val="0"/>
      <w:marTop w:val="0"/>
      <w:marBottom w:val="0"/>
      <w:divBdr>
        <w:top w:val="none" w:sz="0" w:space="0" w:color="auto"/>
        <w:left w:val="none" w:sz="0" w:space="0" w:color="auto"/>
        <w:bottom w:val="none" w:sz="0" w:space="0" w:color="auto"/>
        <w:right w:val="none" w:sz="0" w:space="0" w:color="auto"/>
      </w:divBdr>
    </w:div>
    <w:div w:id="1158880655">
      <w:bodyDiv w:val="1"/>
      <w:marLeft w:val="0"/>
      <w:marRight w:val="0"/>
      <w:marTop w:val="0"/>
      <w:marBottom w:val="0"/>
      <w:divBdr>
        <w:top w:val="none" w:sz="0" w:space="0" w:color="auto"/>
        <w:left w:val="none" w:sz="0" w:space="0" w:color="auto"/>
        <w:bottom w:val="none" w:sz="0" w:space="0" w:color="auto"/>
        <w:right w:val="none" w:sz="0" w:space="0" w:color="auto"/>
      </w:divBdr>
    </w:div>
    <w:div w:id="1159232060">
      <w:bodyDiv w:val="1"/>
      <w:marLeft w:val="0"/>
      <w:marRight w:val="0"/>
      <w:marTop w:val="0"/>
      <w:marBottom w:val="0"/>
      <w:divBdr>
        <w:top w:val="none" w:sz="0" w:space="0" w:color="auto"/>
        <w:left w:val="none" w:sz="0" w:space="0" w:color="auto"/>
        <w:bottom w:val="none" w:sz="0" w:space="0" w:color="auto"/>
        <w:right w:val="none" w:sz="0" w:space="0" w:color="auto"/>
      </w:divBdr>
    </w:div>
    <w:div w:id="1311400844">
      <w:bodyDiv w:val="1"/>
      <w:marLeft w:val="0"/>
      <w:marRight w:val="0"/>
      <w:marTop w:val="0"/>
      <w:marBottom w:val="0"/>
      <w:divBdr>
        <w:top w:val="none" w:sz="0" w:space="0" w:color="auto"/>
        <w:left w:val="none" w:sz="0" w:space="0" w:color="auto"/>
        <w:bottom w:val="none" w:sz="0" w:space="0" w:color="auto"/>
        <w:right w:val="none" w:sz="0" w:space="0" w:color="auto"/>
      </w:divBdr>
    </w:div>
    <w:div w:id="1312172926">
      <w:bodyDiv w:val="1"/>
      <w:marLeft w:val="0"/>
      <w:marRight w:val="0"/>
      <w:marTop w:val="0"/>
      <w:marBottom w:val="0"/>
      <w:divBdr>
        <w:top w:val="none" w:sz="0" w:space="0" w:color="auto"/>
        <w:left w:val="none" w:sz="0" w:space="0" w:color="auto"/>
        <w:bottom w:val="none" w:sz="0" w:space="0" w:color="auto"/>
        <w:right w:val="none" w:sz="0" w:space="0" w:color="auto"/>
      </w:divBdr>
    </w:div>
    <w:div w:id="1317764631">
      <w:bodyDiv w:val="1"/>
      <w:marLeft w:val="0"/>
      <w:marRight w:val="0"/>
      <w:marTop w:val="0"/>
      <w:marBottom w:val="0"/>
      <w:divBdr>
        <w:top w:val="none" w:sz="0" w:space="0" w:color="auto"/>
        <w:left w:val="none" w:sz="0" w:space="0" w:color="auto"/>
        <w:bottom w:val="none" w:sz="0" w:space="0" w:color="auto"/>
        <w:right w:val="none" w:sz="0" w:space="0" w:color="auto"/>
      </w:divBdr>
    </w:div>
    <w:div w:id="1394619171">
      <w:bodyDiv w:val="1"/>
      <w:marLeft w:val="0"/>
      <w:marRight w:val="0"/>
      <w:marTop w:val="0"/>
      <w:marBottom w:val="0"/>
      <w:divBdr>
        <w:top w:val="none" w:sz="0" w:space="0" w:color="auto"/>
        <w:left w:val="none" w:sz="0" w:space="0" w:color="auto"/>
        <w:bottom w:val="none" w:sz="0" w:space="0" w:color="auto"/>
        <w:right w:val="none" w:sz="0" w:space="0" w:color="auto"/>
      </w:divBdr>
    </w:div>
    <w:div w:id="1513451349">
      <w:bodyDiv w:val="1"/>
      <w:marLeft w:val="0"/>
      <w:marRight w:val="0"/>
      <w:marTop w:val="0"/>
      <w:marBottom w:val="0"/>
      <w:divBdr>
        <w:top w:val="none" w:sz="0" w:space="0" w:color="auto"/>
        <w:left w:val="none" w:sz="0" w:space="0" w:color="auto"/>
        <w:bottom w:val="none" w:sz="0" w:space="0" w:color="auto"/>
        <w:right w:val="none" w:sz="0" w:space="0" w:color="auto"/>
      </w:divBdr>
    </w:div>
    <w:div w:id="1540311954">
      <w:bodyDiv w:val="1"/>
      <w:marLeft w:val="0"/>
      <w:marRight w:val="0"/>
      <w:marTop w:val="0"/>
      <w:marBottom w:val="0"/>
      <w:divBdr>
        <w:top w:val="none" w:sz="0" w:space="0" w:color="auto"/>
        <w:left w:val="none" w:sz="0" w:space="0" w:color="auto"/>
        <w:bottom w:val="none" w:sz="0" w:space="0" w:color="auto"/>
        <w:right w:val="none" w:sz="0" w:space="0" w:color="auto"/>
      </w:divBdr>
    </w:div>
    <w:div w:id="1541279378">
      <w:bodyDiv w:val="1"/>
      <w:marLeft w:val="0"/>
      <w:marRight w:val="0"/>
      <w:marTop w:val="0"/>
      <w:marBottom w:val="0"/>
      <w:divBdr>
        <w:top w:val="none" w:sz="0" w:space="0" w:color="auto"/>
        <w:left w:val="none" w:sz="0" w:space="0" w:color="auto"/>
        <w:bottom w:val="none" w:sz="0" w:space="0" w:color="auto"/>
        <w:right w:val="none" w:sz="0" w:space="0" w:color="auto"/>
      </w:divBdr>
    </w:div>
    <w:div w:id="1546982497">
      <w:bodyDiv w:val="1"/>
      <w:marLeft w:val="0"/>
      <w:marRight w:val="0"/>
      <w:marTop w:val="0"/>
      <w:marBottom w:val="0"/>
      <w:divBdr>
        <w:top w:val="none" w:sz="0" w:space="0" w:color="auto"/>
        <w:left w:val="none" w:sz="0" w:space="0" w:color="auto"/>
        <w:bottom w:val="none" w:sz="0" w:space="0" w:color="auto"/>
        <w:right w:val="none" w:sz="0" w:space="0" w:color="auto"/>
      </w:divBdr>
    </w:div>
    <w:div w:id="1566837297">
      <w:bodyDiv w:val="1"/>
      <w:marLeft w:val="0"/>
      <w:marRight w:val="0"/>
      <w:marTop w:val="0"/>
      <w:marBottom w:val="0"/>
      <w:divBdr>
        <w:top w:val="none" w:sz="0" w:space="0" w:color="auto"/>
        <w:left w:val="none" w:sz="0" w:space="0" w:color="auto"/>
        <w:bottom w:val="none" w:sz="0" w:space="0" w:color="auto"/>
        <w:right w:val="none" w:sz="0" w:space="0" w:color="auto"/>
      </w:divBdr>
    </w:div>
    <w:div w:id="1658873778">
      <w:bodyDiv w:val="1"/>
      <w:marLeft w:val="0"/>
      <w:marRight w:val="0"/>
      <w:marTop w:val="0"/>
      <w:marBottom w:val="0"/>
      <w:divBdr>
        <w:top w:val="none" w:sz="0" w:space="0" w:color="auto"/>
        <w:left w:val="none" w:sz="0" w:space="0" w:color="auto"/>
        <w:bottom w:val="none" w:sz="0" w:space="0" w:color="auto"/>
        <w:right w:val="none" w:sz="0" w:space="0" w:color="auto"/>
      </w:divBdr>
    </w:div>
    <w:div w:id="1714302581">
      <w:bodyDiv w:val="1"/>
      <w:marLeft w:val="0"/>
      <w:marRight w:val="0"/>
      <w:marTop w:val="0"/>
      <w:marBottom w:val="0"/>
      <w:divBdr>
        <w:top w:val="none" w:sz="0" w:space="0" w:color="auto"/>
        <w:left w:val="none" w:sz="0" w:space="0" w:color="auto"/>
        <w:bottom w:val="none" w:sz="0" w:space="0" w:color="auto"/>
        <w:right w:val="none" w:sz="0" w:space="0" w:color="auto"/>
      </w:divBdr>
    </w:div>
    <w:div w:id="1749110168">
      <w:bodyDiv w:val="1"/>
      <w:marLeft w:val="0"/>
      <w:marRight w:val="0"/>
      <w:marTop w:val="0"/>
      <w:marBottom w:val="0"/>
      <w:divBdr>
        <w:top w:val="none" w:sz="0" w:space="0" w:color="auto"/>
        <w:left w:val="none" w:sz="0" w:space="0" w:color="auto"/>
        <w:bottom w:val="none" w:sz="0" w:space="0" w:color="auto"/>
        <w:right w:val="none" w:sz="0" w:space="0" w:color="auto"/>
      </w:divBdr>
    </w:div>
    <w:div w:id="1776093956">
      <w:bodyDiv w:val="1"/>
      <w:marLeft w:val="0"/>
      <w:marRight w:val="0"/>
      <w:marTop w:val="0"/>
      <w:marBottom w:val="0"/>
      <w:divBdr>
        <w:top w:val="none" w:sz="0" w:space="0" w:color="auto"/>
        <w:left w:val="none" w:sz="0" w:space="0" w:color="auto"/>
        <w:bottom w:val="none" w:sz="0" w:space="0" w:color="auto"/>
        <w:right w:val="none" w:sz="0" w:space="0" w:color="auto"/>
      </w:divBdr>
    </w:div>
    <w:div w:id="1810439770">
      <w:bodyDiv w:val="1"/>
      <w:marLeft w:val="0"/>
      <w:marRight w:val="0"/>
      <w:marTop w:val="0"/>
      <w:marBottom w:val="0"/>
      <w:divBdr>
        <w:top w:val="none" w:sz="0" w:space="0" w:color="auto"/>
        <w:left w:val="none" w:sz="0" w:space="0" w:color="auto"/>
        <w:bottom w:val="none" w:sz="0" w:space="0" w:color="auto"/>
        <w:right w:val="none" w:sz="0" w:space="0" w:color="auto"/>
      </w:divBdr>
    </w:div>
    <w:div w:id="1903445492">
      <w:bodyDiv w:val="1"/>
      <w:marLeft w:val="0"/>
      <w:marRight w:val="0"/>
      <w:marTop w:val="0"/>
      <w:marBottom w:val="0"/>
      <w:divBdr>
        <w:top w:val="none" w:sz="0" w:space="0" w:color="auto"/>
        <w:left w:val="none" w:sz="0" w:space="0" w:color="auto"/>
        <w:bottom w:val="none" w:sz="0" w:space="0" w:color="auto"/>
        <w:right w:val="none" w:sz="0" w:space="0" w:color="auto"/>
      </w:divBdr>
    </w:div>
    <w:div w:id="1911311035">
      <w:bodyDiv w:val="1"/>
      <w:marLeft w:val="0"/>
      <w:marRight w:val="0"/>
      <w:marTop w:val="0"/>
      <w:marBottom w:val="0"/>
      <w:divBdr>
        <w:top w:val="none" w:sz="0" w:space="0" w:color="auto"/>
        <w:left w:val="none" w:sz="0" w:space="0" w:color="auto"/>
        <w:bottom w:val="none" w:sz="0" w:space="0" w:color="auto"/>
        <w:right w:val="none" w:sz="0" w:space="0" w:color="auto"/>
      </w:divBdr>
    </w:div>
    <w:div w:id="2012635809">
      <w:bodyDiv w:val="1"/>
      <w:marLeft w:val="0"/>
      <w:marRight w:val="0"/>
      <w:marTop w:val="0"/>
      <w:marBottom w:val="0"/>
      <w:divBdr>
        <w:top w:val="none" w:sz="0" w:space="0" w:color="auto"/>
        <w:left w:val="none" w:sz="0" w:space="0" w:color="auto"/>
        <w:bottom w:val="none" w:sz="0" w:space="0" w:color="auto"/>
        <w:right w:val="none" w:sz="0" w:space="0" w:color="auto"/>
      </w:divBdr>
    </w:div>
    <w:div w:id="2023513305">
      <w:bodyDiv w:val="1"/>
      <w:marLeft w:val="0"/>
      <w:marRight w:val="0"/>
      <w:marTop w:val="0"/>
      <w:marBottom w:val="0"/>
      <w:divBdr>
        <w:top w:val="none" w:sz="0" w:space="0" w:color="auto"/>
        <w:left w:val="none" w:sz="0" w:space="0" w:color="auto"/>
        <w:bottom w:val="none" w:sz="0" w:space="0" w:color="auto"/>
        <w:right w:val="none" w:sz="0" w:space="0" w:color="auto"/>
      </w:divBdr>
    </w:div>
    <w:div w:id="2038457336">
      <w:bodyDiv w:val="1"/>
      <w:marLeft w:val="0"/>
      <w:marRight w:val="0"/>
      <w:marTop w:val="0"/>
      <w:marBottom w:val="0"/>
      <w:divBdr>
        <w:top w:val="none" w:sz="0" w:space="0" w:color="auto"/>
        <w:left w:val="none" w:sz="0" w:space="0" w:color="auto"/>
        <w:bottom w:val="none" w:sz="0" w:space="0" w:color="auto"/>
        <w:right w:val="none" w:sz="0" w:space="0" w:color="auto"/>
      </w:divBdr>
    </w:div>
    <w:div w:id="204178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41A12-4C47-4422-805F-C5837DFC3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1377</Words>
  <Characters>7578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Juarez Torres</dc:creator>
  <cp:lastModifiedBy>Gerardo Garcia Reyes</cp:lastModifiedBy>
  <cp:revision>15</cp:revision>
  <cp:lastPrinted>2021-04-24T21:07:00Z</cp:lastPrinted>
  <dcterms:created xsi:type="dcterms:W3CDTF">2019-01-23T17:29:00Z</dcterms:created>
  <dcterms:modified xsi:type="dcterms:W3CDTF">2024-03-22T19:41:00Z</dcterms:modified>
</cp:coreProperties>
</file>