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2F9" w:rsidRPr="008822F9" w:rsidRDefault="008822F9" w:rsidP="008822F9">
      <w:pPr>
        <w:spacing w:after="270" w:line="570" w:lineRule="atLeast"/>
        <w:textAlignment w:val="baseline"/>
        <w:outlineLvl w:val="0"/>
        <w:rPr>
          <w:rFonts w:ascii="inherit" w:eastAsia="Times New Roman" w:hAnsi="inherit" w:cs="Helvetica"/>
          <w:b/>
          <w:bCs/>
          <w:color w:val="444444"/>
          <w:kern w:val="36"/>
          <w:sz w:val="45"/>
          <w:szCs w:val="45"/>
          <w:lang w:eastAsia="es-MX"/>
        </w:rPr>
      </w:pPr>
      <w:r w:rsidRPr="008822F9">
        <w:rPr>
          <w:rFonts w:ascii="inherit" w:eastAsia="Times New Roman" w:hAnsi="inherit" w:cs="Helvetica"/>
          <w:b/>
          <w:bCs/>
          <w:color w:val="444444"/>
          <w:kern w:val="36"/>
          <w:sz w:val="45"/>
          <w:szCs w:val="45"/>
          <w:lang w:eastAsia="es-MX"/>
        </w:rPr>
        <w:t>Informe trimestral de enajenación de bienes muebles</w:t>
      </w:r>
    </w:p>
    <w:p w:rsidR="004825FA" w:rsidRDefault="008822F9" w:rsidP="004825FA">
      <w:pPr>
        <w:spacing w:after="75" w:line="30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</w:pPr>
      <w:r w:rsidRPr="004825FA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>1. Nombre de la dependencia, órgano o entidad</w:t>
      </w:r>
      <w:r w:rsidRPr="004825FA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br/>
        <w:t>2. Número de oficio de la solicitud de disposición final</w:t>
      </w:r>
      <w:r w:rsidRPr="004825FA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br/>
        <w:t>3. Número de oficio de autorización del acuerdo de enajenación emitido por la Secretaría de Administración.</w:t>
      </w:r>
      <w:r w:rsidRPr="004825FA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br/>
        <w:t>4. Número de anexo que corresponda según solicitud de disposición final</w:t>
      </w:r>
      <w:r w:rsidRPr="004825FA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br/>
        <w:t>5. Día, mes y año de la inspección del oficio del informe</w:t>
      </w:r>
      <w:r w:rsidRPr="004825FA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br/>
        <w:t>6. Descripción del bien</w:t>
      </w:r>
      <w:r w:rsidRPr="004825FA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br/>
        <w:t>7. Marca del bien</w:t>
      </w:r>
      <w:r w:rsidRPr="004825FA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br/>
        <w:t>8. Modelo del bien</w:t>
      </w:r>
      <w:r w:rsidRPr="004825FA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br/>
        <w:t>9. Número de serie</w:t>
      </w:r>
      <w:r w:rsidRPr="004825FA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br/>
        <w:t>10. Número de factura</w:t>
      </w:r>
      <w:r w:rsidRPr="004825FA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br/>
        <w:t>11. Número de inventario asignado</w:t>
      </w:r>
      <w:r w:rsidRPr="004825FA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br/>
        <w:t>12. Valor de adquisición o de factura</w:t>
      </w:r>
      <w:r w:rsidRPr="004825FA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br/>
        <w:t>13</w:t>
      </w:r>
      <w:r w:rsidR="004825FA" w:rsidRPr="004825FA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 xml:space="preserve">. Procedimiento de enajenación de conformidad con lo establecido en el Titulo Cuarto, </w:t>
      </w:r>
      <w:r w:rsidR="006D337C" w:rsidRPr="004825FA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>Capítulo</w:t>
      </w:r>
      <w:r w:rsidR="004825FA" w:rsidRPr="004825FA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 xml:space="preserve"> I, </w:t>
      </w:r>
      <w:r w:rsidR="00FB7C89" w:rsidRPr="004825FA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>Capítulo</w:t>
      </w:r>
      <w:r w:rsidR="004825FA" w:rsidRPr="004825FA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 xml:space="preserve"> II, </w:t>
      </w:r>
      <w:r w:rsidR="00FB7C89" w:rsidRPr="004825FA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>Capítulo</w:t>
      </w:r>
      <w:r w:rsidR="00FB7C89" w:rsidRPr="004825FA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 xml:space="preserve"> </w:t>
      </w:r>
      <w:r w:rsidR="004825FA" w:rsidRPr="004825FA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 xml:space="preserve">III, </w:t>
      </w:r>
      <w:r w:rsidR="00FB7C89" w:rsidRPr="004825FA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>Capítulo</w:t>
      </w:r>
      <w:r w:rsidR="004825FA" w:rsidRPr="004825FA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 xml:space="preserve"> IV de los Lineamientos Relativos a la Disposición Final, Enajenación y Baja de Bienes Muebles del Gobierno del Estado de Tabasco, publicas en el Periódico Oficial 7620, el día 16 de Septiembre de 2015, Suplemento 7620 B.</w:t>
      </w:r>
      <w:r w:rsidR="004825FA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 xml:space="preserve"> (Licitación mediante convocatoria pública, Adjudicación Directa, Subasta Públi</w:t>
      </w:r>
      <w:bookmarkStart w:id="0" w:name="_GoBack"/>
      <w:bookmarkEnd w:id="0"/>
      <w:r w:rsidR="004825FA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>ca)</w:t>
      </w:r>
      <w:r w:rsidR="005709B2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>.</w:t>
      </w:r>
    </w:p>
    <w:p w:rsidR="008822F9" w:rsidRPr="004825FA" w:rsidRDefault="008822F9" w:rsidP="004825FA">
      <w:pPr>
        <w:spacing w:after="75" w:line="30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</w:pPr>
      <w:r w:rsidRPr="004825FA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>15.  Valor final de la operación</w:t>
      </w:r>
      <w:r w:rsidRPr="004825FA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br/>
      </w:r>
      <w:r w:rsidRPr="004825FA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es-MX"/>
        </w:rPr>
        <w:t>16. Observaciones</w:t>
      </w:r>
    </w:p>
    <w:p w:rsidR="00BF480C" w:rsidRDefault="00BF480C"/>
    <w:sectPr w:rsidR="00BF48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F9"/>
    <w:rsid w:val="004825FA"/>
    <w:rsid w:val="005709B2"/>
    <w:rsid w:val="006D337C"/>
    <w:rsid w:val="008822F9"/>
    <w:rsid w:val="00BF480C"/>
    <w:rsid w:val="00FB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7468E-A67F-434A-8752-8F6083A7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82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822F9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88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2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9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10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36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De Los Angeles Hernández Palma</dc:creator>
  <cp:keywords/>
  <dc:description/>
  <cp:lastModifiedBy>Cecilia De Los Angeles Hernández Palma</cp:lastModifiedBy>
  <cp:revision>5</cp:revision>
  <dcterms:created xsi:type="dcterms:W3CDTF">2016-09-13T18:52:00Z</dcterms:created>
  <dcterms:modified xsi:type="dcterms:W3CDTF">2016-09-13T19:46:00Z</dcterms:modified>
</cp:coreProperties>
</file>